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u w:val="none"/>
        </w:rPr>
      </w:pPr>
      <w:r>
        <w:rPr>
          <w:color w:val="auto"/>
          <w:highlight w:val="none"/>
          <w:u w:val="none"/>
        </w:rPr>
        <w:drawing>
          <wp:anchor distT="0" distB="0" distL="114300" distR="114300" simplePos="0" relativeHeight="251659264" behindDoc="1" locked="0" layoutInCell="1" allowOverlap="1">
            <wp:simplePos x="0" y="0"/>
            <wp:positionH relativeFrom="page">
              <wp:posOffset>-69850</wp:posOffset>
            </wp:positionH>
            <wp:positionV relativeFrom="paragraph">
              <wp:posOffset>-880745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u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rPr>
          <w:rFonts w:ascii="宋体" w:hAnsi="宋体"/>
          <w:color w:val="auto"/>
          <w:highlight w:val="none"/>
          <w:u w:val="none"/>
        </w:rPr>
      </w:pPr>
    </w:p>
    <w:p>
      <w:pPr>
        <w:widowControl/>
        <w:spacing w:beforeAutospacing="1" w:afterAutospacing="1"/>
        <w:jc w:val="left"/>
        <w:rPr>
          <w:rFonts w:ascii="宋体" w:hAnsi="宋体"/>
          <w:color w:val="auto"/>
          <w:highlight w:val="none"/>
          <w:u w:val="none"/>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highlight w:val="none"/>
          <w:u w:val="none"/>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rPr>
      </w:pPr>
      <w:r>
        <w:rPr>
          <w:rFonts w:hint="eastAsia" w:ascii="黑体" w:hAnsi="黑体" w:eastAsia="黑体" w:cs="宋体"/>
          <w:b/>
          <w:color w:val="auto"/>
          <w:sz w:val="36"/>
          <w:szCs w:val="36"/>
          <w:highlight w:val="none"/>
          <w:u w:val="none"/>
          <w:lang w:val="zh-CN"/>
        </w:rPr>
        <w:t>昆明局2024年禄劝、昆北换流站杀毒U盘采购项目</w:t>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零星</w:t>
      </w:r>
      <w:r>
        <w:rPr>
          <w:rFonts w:hint="eastAsia" w:ascii="黑体" w:hAnsi="黑体" w:eastAsia="黑体"/>
          <w:b/>
          <w:color w:val="auto"/>
          <w:sz w:val="36"/>
          <w:szCs w:val="36"/>
          <w:highlight w:val="none"/>
          <w:u w:val="none"/>
        </w:rPr>
        <w:t>采购</w:t>
      </w:r>
      <w:r>
        <w:rPr>
          <w:rFonts w:hint="eastAsia" w:ascii="黑体" w:hAnsi="黑体" w:eastAsia="黑体"/>
          <w:b/>
          <w:color w:val="auto"/>
          <w:sz w:val="36"/>
          <w:szCs w:val="36"/>
          <w:highlight w:val="none"/>
          <w:u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u w:val="none"/>
        </w:rPr>
      </w:pPr>
      <w:bookmarkStart w:id="0" w:name="_Toc349031717"/>
      <w:r>
        <w:rPr>
          <w:rFonts w:hint="eastAsia"/>
          <w:b/>
          <w:color w:val="auto"/>
          <w:sz w:val="28"/>
          <w:szCs w:val="28"/>
          <w:highlight w:val="none"/>
          <w:u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none"/>
        </w:rPr>
      </w:pPr>
      <w:bookmarkStart w:id="1" w:name="_Toc349031716"/>
      <w:r>
        <w:rPr>
          <w:rFonts w:hint="eastAsia" w:ascii="宋体" w:hAnsi="宋体" w:eastAsia="宋体" w:cs="宋体"/>
          <w:color w:val="auto"/>
          <w:sz w:val="28"/>
          <w:szCs w:val="28"/>
          <w:highlight w:val="none"/>
          <w:u w:val="none"/>
          <w:lang w:val="en-US" w:eastAsia="zh-CN"/>
        </w:rPr>
        <w:t>1.1</w:t>
      </w:r>
      <w:r>
        <w:rPr>
          <w:rFonts w:hint="eastAsia" w:ascii="宋体" w:hAnsi="宋体" w:eastAsia="宋体" w:cs="宋体"/>
          <w:color w:val="auto"/>
          <w:sz w:val="28"/>
          <w:szCs w:val="28"/>
          <w:highlight w:val="none"/>
          <w:u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firstLine="560" w:firstLineChars="200"/>
        <w:textAlignment w:val="auto"/>
        <w:outlineLvl w:val="9"/>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目前禄劝、昆北换流站杀毒专用U盘特征库升级服务已过期，无法满足生产现场资料和文件拷贝安全性需求。需采购下一周期的特征库技术升级服务（3年），以满足生产现场资料和文件拷贝的安全性需求。</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i/>
          <w:color w:val="auto"/>
          <w:sz w:val="28"/>
          <w:szCs w:val="28"/>
          <w:highlight w:val="none"/>
          <w:u w:val="none"/>
          <w:lang w:val="en-US"/>
        </w:rPr>
      </w:pPr>
      <w:r>
        <w:rPr>
          <w:rFonts w:hint="eastAsia" w:ascii="宋体" w:hAnsi="宋体" w:eastAsia="宋体" w:cs="宋体"/>
          <w:color w:val="auto"/>
          <w:sz w:val="28"/>
          <w:szCs w:val="28"/>
          <w:highlight w:val="none"/>
          <w:u w:val="none"/>
          <w:lang w:val="en-US" w:eastAsia="zh-CN"/>
        </w:rPr>
        <w:t>1.2</w:t>
      </w:r>
      <w:r>
        <w:rPr>
          <w:rFonts w:hint="eastAsia" w:ascii="宋体" w:hAnsi="宋体" w:eastAsia="宋体" w:cs="宋体"/>
          <w:color w:val="auto"/>
          <w:sz w:val="28"/>
          <w:szCs w:val="28"/>
          <w:highlight w:val="none"/>
          <w:u w:val="none"/>
        </w:rPr>
        <w:t>批复文件：</w:t>
      </w:r>
      <w:r>
        <w:rPr>
          <w:rFonts w:hint="eastAsia" w:ascii="宋体" w:hAnsi="宋体" w:eastAsia="宋体" w:cs="宋体"/>
          <w:color w:val="auto"/>
          <w:sz w:val="28"/>
          <w:szCs w:val="28"/>
          <w:highlight w:val="none"/>
          <w:u w:val="none"/>
          <w:lang w:val="en-US" w:eastAsia="zh-CN"/>
        </w:rPr>
        <w:t>〔2024专37号〕昆明局2024年第一批项目（预下达）生产项目立项审核会议纪要。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1.3</w:t>
      </w:r>
      <w:r>
        <w:rPr>
          <w:rFonts w:hint="eastAsia" w:ascii="宋体" w:hAnsi="宋体" w:eastAsia="宋体" w:cs="宋体"/>
          <w:color w:val="auto"/>
          <w:sz w:val="28"/>
          <w:szCs w:val="28"/>
          <w:highlight w:val="none"/>
          <w:u w:val="none"/>
        </w:rPr>
        <w:t>项目最高限价</w:t>
      </w:r>
      <w:r>
        <w:rPr>
          <w:rFonts w:hint="eastAsia" w:ascii="宋体" w:hAnsi="宋体" w:eastAsia="宋体" w:cs="宋体"/>
          <w:color w:val="auto"/>
          <w:sz w:val="28"/>
          <w:szCs w:val="28"/>
          <w:highlight w:val="none"/>
          <w:u w:val="none"/>
          <w:lang w:eastAsia="zh-CN"/>
        </w:rPr>
        <w:t>（一般不超概算）</w:t>
      </w:r>
      <w:r>
        <w:rPr>
          <w:rFonts w:hint="eastAsia" w:ascii="宋体" w:hAnsi="宋体" w:eastAsia="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2.64</w:t>
      </w:r>
      <w:bookmarkStart w:id="4" w:name="_GoBack"/>
      <w:bookmarkEnd w:id="4"/>
      <w:r>
        <w:rPr>
          <w:rFonts w:hint="eastAsia" w:ascii="宋体" w:hAnsi="宋体" w:eastAsia="宋体" w:cs="宋体"/>
          <w:color w:val="auto"/>
          <w:sz w:val="28"/>
          <w:szCs w:val="28"/>
          <w:highlight w:val="none"/>
          <w:u w:val="none"/>
        </w:rPr>
        <w:t>万元。</w:t>
      </w:r>
    </w:p>
    <w:p>
      <w:pPr>
        <w:adjustRightInd w:val="0"/>
        <w:snapToGrid w:val="0"/>
        <w:spacing w:before="156" w:beforeLines="50" w:line="360" w:lineRule="auto"/>
        <w:outlineLvl w:val="0"/>
        <w:rPr>
          <w:rFonts w:hint="eastAsia" w:eastAsia="宋体"/>
          <w:b/>
          <w:color w:val="auto"/>
          <w:sz w:val="28"/>
          <w:szCs w:val="28"/>
          <w:highlight w:val="none"/>
          <w:u w:val="none"/>
          <w:lang w:val="en-US" w:eastAsia="zh-CN"/>
        </w:rPr>
      </w:pPr>
      <w:r>
        <w:rPr>
          <w:rFonts w:hint="eastAsia"/>
          <w:b/>
          <w:color w:val="auto"/>
          <w:sz w:val="28"/>
          <w:szCs w:val="28"/>
          <w:highlight w:val="none"/>
          <w:u w:val="none"/>
        </w:rPr>
        <w:t>二、</w:t>
      </w:r>
      <w:bookmarkEnd w:id="1"/>
      <w:r>
        <w:rPr>
          <w:rFonts w:hint="eastAsia"/>
          <w:b/>
          <w:color w:val="auto"/>
          <w:sz w:val="28"/>
          <w:szCs w:val="28"/>
          <w:highlight w:val="none"/>
          <w:u w:val="none"/>
        </w:rPr>
        <w:t>项目实施内容及要求</w:t>
      </w:r>
    </w:p>
    <w:bookmarkEnd w:id="0"/>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none"/>
          <w:u w:val="none"/>
          <w:lang w:val="en-US" w:eastAsia="zh-CN"/>
        </w:rPr>
      </w:pPr>
      <w:bookmarkStart w:id="2" w:name="_Toc349031731"/>
      <w:r>
        <w:rPr>
          <w:rFonts w:hint="eastAsia" w:ascii="宋体" w:hAnsi="宋体" w:eastAsia="宋体" w:cs="宋体"/>
          <w:color w:val="auto"/>
          <w:sz w:val="28"/>
          <w:szCs w:val="28"/>
          <w:highlight w:val="none"/>
          <w:u w:val="none"/>
          <w:lang w:val="en-US" w:eastAsia="zh-CN"/>
        </w:rPr>
        <w:t>2.1实施内容：禄劝换流站、昆北换流站杀毒U盘各4套，4套为Windows系统杀毒U盘、4套为Linux系统杀毒U盘。共计杀毒U盘8套。</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none"/>
          <w:lang w:val="en-US" w:eastAsia="zh-CN"/>
        </w:rPr>
      </w:pPr>
      <w:r>
        <w:rPr>
          <w:rFonts w:hint="eastAsia" w:ascii="宋体" w:hAnsi="宋体" w:eastAsia="宋体" w:cs="宋体"/>
          <w:b w:val="0"/>
          <w:bCs/>
          <w:color w:val="auto"/>
          <w:sz w:val="28"/>
          <w:szCs w:val="28"/>
          <w:highlight w:val="none"/>
          <w:u w:val="none"/>
          <w:lang w:val="en-US" w:eastAsia="zh-CN"/>
        </w:rPr>
        <w:t>2.2时间要求：</w:t>
      </w:r>
      <w:r>
        <w:rPr>
          <w:rFonts w:hint="eastAsia" w:ascii="宋体" w:hAnsi="宋体" w:cs="宋体"/>
          <w:b w:val="0"/>
          <w:bCs/>
          <w:color w:val="auto"/>
          <w:sz w:val="28"/>
          <w:szCs w:val="28"/>
          <w:highlight w:val="none"/>
          <w:u w:val="none"/>
          <w:lang w:val="en-US" w:eastAsia="zh-CN"/>
        </w:rPr>
        <w:t>2024</w:t>
      </w:r>
      <w:r>
        <w:rPr>
          <w:rFonts w:hint="eastAsia" w:ascii="宋体" w:hAnsi="宋体" w:eastAsia="宋体" w:cs="宋体"/>
          <w:b w:val="0"/>
          <w:bCs/>
          <w:color w:val="auto"/>
          <w:sz w:val="28"/>
          <w:szCs w:val="28"/>
          <w:highlight w:val="none"/>
          <w:u w:val="none"/>
          <w:lang w:val="en-US" w:eastAsia="zh-CN"/>
        </w:rPr>
        <w:t>年</w:t>
      </w:r>
      <w:r>
        <w:rPr>
          <w:rFonts w:hint="eastAsia" w:ascii="宋体" w:hAnsi="宋体" w:cs="宋体"/>
          <w:b w:val="0"/>
          <w:bCs/>
          <w:color w:val="auto"/>
          <w:sz w:val="28"/>
          <w:szCs w:val="28"/>
          <w:highlight w:val="none"/>
          <w:u w:val="none"/>
          <w:lang w:val="en-US" w:eastAsia="zh-CN"/>
        </w:rPr>
        <w:t>09</w:t>
      </w:r>
      <w:r>
        <w:rPr>
          <w:rFonts w:hint="eastAsia" w:ascii="宋体" w:hAnsi="宋体" w:eastAsia="宋体" w:cs="宋体"/>
          <w:b w:val="0"/>
          <w:bCs/>
          <w:color w:val="auto"/>
          <w:sz w:val="28"/>
          <w:szCs w:val="28"/>
          <w:highlight w:val="none"/>
          <w:u w:val="none"/>
          <w:lang w:val="en-US" w:eastAsia="zh-CN"/>
        </w:rPr>
        <w:t>月</w:t>
      </w:r>
      <w:r>
        <w:rPr>
          <w:rFonts w:hint="eastAsia" w:ascii="宋体" w:hAnsi="宋体" w:cs="宋体"/>
          <w:b w:val="0"/>
          <w:bCs/>
          <w:color w:val="auto"/>
          <w:sz w:val="28"/>
          <w:szCs w:val="28"/>
          <w:highlight w:val="none"/>
          <w:u w:val="none"/>
          <w:lang w:val="en-US" w:eastAsia="zh-CN"/>
        </w:rPr>
        <w:t>30</w:t>
      </w:r>
      <w:r>
        <w:rPr>
          <w:rFonts w:hint="eastAsia" w:ascii="宋体" w:hAnsi="宋体" w:eastAsia="宋体" w:cs="宋体"/>
          <w:b w:val="0"/>
          <w:bCs/>
          <w:color w:val="auto"/>
          <w:sz w:val="28"/>
          <w:szCs w:val="28"/>
          <w:highlight w:val="none"/>
          <w:u w:val="none"/>
          <w:lang w:val="en-US" w:eastAsia="zh-CN"/>
        </w:rPr>
        <w:t>日前到货，若定标时间晚于到货时间，到货时间双方协商后调整</w:t>
      </w:r>
      <w:r>
        <w:rPr>
          <w:rFonts w:hint="eastAsia" w:ascii="宋体" w:hAnsi="宋体" w:cs="宋体"/>
          <w:b w:val="0"/>
          <w:bCs/>
          <w:color w:val="auto"/>
          <w:sz w:val="28"/>
          <w:szCs w:val="28"/>
          <w:highlight w:val="none"/>
          <w:u w:val="none"/>
          <w:lang w:val="en-US" w:eastAsia="zh-CN"/>
        </w:rPr>
        <w:t>，以双方函件为准</w:t>
      </w:r>
      <w:r>
        <w:rPr>
          <w:rFonts w:hint="eastAsia" w:ascii="宋体" w:hAnsi="宋体" w:eastAsia="宋体" w:cs="宋体"/>
          <w:b w:val="0"/>
          <w:bCs/>
          <w:color w:val="auto"/>
          <w:sz w:val="28"/>
          <w:szCs w:val="28"/>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cs="宋体"/>
          <w:color w:val="auto"/>
          <w:sz w:val="28"/>
          <w:szCs w:val="28"/>
          <w:highlight w:val="none"/>
          <w:u w:val="none"/>
          <w:lang w:val="en-US" w:eastAsia="zh-CN"/>
        </w:rPr>
      </w:pPr>
      <w:r>
        <w:rPr>
          <w:rFonts w:hint="eastAsia" w:ascii="宋体" w:hAnsi="宋体" w:eastAsia="宋体" w:cs="宋体"/>
          <w:b w:val="0"/>
          <w:bCs/>
          <w:color w:val="auto"/>
          <w:sz w:val="28"/>
          <w:szCs w:val="28"/>
          <w:highlight w:val="none"/>
          <w:u w:val="none"/>
          <w:lang w:val="en-US" w:eastAsia="zh-CN"/>
        </w:rPr>
        <w:t>2.3到货地点：</w:t>
      </w:r>
      <w:r>
        <w:rPr>
          <w:rFonts w:hint="eastAsia" w:ascii="宋体" w:hAnsi="宋体" w:cs="宋体"/>
          <w:color w:val="auto"/>
          <w:sz w:val="28"/>
          <w:szCs w:val="28"/>
          <w:highlight w:val="none"/>
          <w:u w:val="none"/>
          <w:lang w:val="en-US" w:eastAsia="zh-CN"/>
        </w:rPr>
        <w:t>云南省昆明市禄劝县茂山镇丽山村±800kV昆北换流站（2套Windows系统杀毒U盘、2套Linux系统杀毒U盘）；云南省昆明市禄劝县中屏镇大凹子村±500kV禄劝换流站（2套Windows系统杀毒U盘、2套Linux系统杀毒U盘）。</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auto"/>
          <w:sz w:val="28"/>
          <w:szCs w:val="28"/>
          <w:highlight w:val="none"/>
          <w:u w:val="none"/>
          <w:lang w:val="en-US" w:eastAsia="zh-CN"/>
        </w:rPr>
      </w:pPr>
      <w:r>
        <w:rPr>
          <w:rFonts w:hint="eastAsia" w:ascii="宋体" w:hAnsi="宋体" w:eastAsia="宋体" w:cs="宋体"/>
          <w:b w:val="0"/>
          <w:bCs/>
          <w:color w:val="auto"/>
          <w:sz w:val="28"/>
          <w:szCs w:val="28"/>
          <w:highlight w:val="none"/>
          <w:u w:val="none"/>
          <w:lang w:val="en-US" w:eastAsia="zh-CN"/>
        </w:rPr>
        <w:t>2.4其他要求：</w:t>
      </w:r>
      <w:r>
        <w:rPr>
          <w:rFonts w:hint="eastAsia" w:ascii="宋体" w:hAnsi="宋体" w:cs="宋体"/>
          <w:b w:val="0"/>
          <w:bCs/>
          <w:color w:val="auto"/>
          <w:sz w:val="28"/>
          <w:szCs w:val="28"/>
          <w:highlight w:val="none"/>
          <w:u w:val="none"/>
          <w:lang w:val="en-US" w:eastAsia="zh-CN"/>
        </w:rPr>
        <w:t>无。</w:t>
      </w:r>
      <w:r>
        <w:rPr>
          <w:rFonts w:hint="eastAsia" w:ascii="宋体" w:hAnsi="宋体" w:eastAsia="宋体" w:cs="宋体"/>
          <w:b w:val="0"/>
          <w:bCs/>
          <w:color w:val="auto"/>
          <w:sz w:val="28"/>
          <w:szCs w:val="28"/>
          <w:highlight w:val="none"/>
          <w:u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u w:val="none"/>
          <w:lang w:val="en-US" w:eastAsia="zh-CN"/>
        </w:rPr>
      </w:pPr>
      <w:r>
        <w:rPr>
          <w:rFonts w:hint="eastAsia" w:ascii="宋体" w:hAnsi="宋体" w:eastAsia="宋体" w:cs="宋体"/>
          <w:b w:val="0"/>
          <w:bCs/>
          <w:color w:val="auto"/>
          <w:sz w:val="28"/>
          <w:szCs w:val="28"/>
          <w:highlight w:val="none"/>
          <w:u w:val="none"/>
          <w:lang w:val="en-US" w:eastAsia="zh-CN"/>
        </w:rPr>
        <w:t>2.5采购</w:t>
      </w:r>
      <w:r>
        <w:rPr>
          <w:rFonts w:hint="eastAsia" w:ascii="宋体" w:hAnsi="宋体" w:cs="宋体"/>
          <w:b w:val="0"/>
          <w:bCs/>
          <w:color w:val="auto"/>
          <w:sz w:val="28"/>
          <w:szCs w:val="28"/>
          <w:highlight w:val="none"/>
          <w:u w:val="none"/>
          <w:lang w:val="en-US" w:eastAsia="zh-CN"/>
        </w:rPr>
        <w:t>明细详见“六</w:t>
      </w:r>
      <w:r>
        <w:rPr>
          <w:rFonts w:hint="eastAsia" w:ascii="Times New Roman" w:hAnsi="Times New Roman" w:eastAsia="宋体" w:cs="Times New Roman"/>
          <w:b/>
          <w:color w:val="auto"/>
          <w:sz w:val="28"/>
          <w:szCs w:val="28"/>
          <w:highlight w:val="none"/>
          <w:u w:val="none"/>
          <w:lang w:val="en-US" w:eastAsia="zh-CN"/>
        </w:rPr>
        <w:t>设备附图</w:t>
      </w:r>
      <w:r>
        <w:rPr>
          <w:rFonts w:hint="eastAsia" w:cs="Times New Roman"/>
          <w:b/>
          <w:color w:val="auto"/>
          <w:sz w:val="28"/>
          <w:szCs w:val="28"/>
          <w:highlight w:val="none"/>
          <w:u w:val="none"/>
          <w:lang w:val="en-US" w:eastAsia="zh-CN"/>
        </w:rPr>
        <w:t>及参数</w:t>
      </w:r>
      <w:r>
        <w:rPr>
          <w:rFonts w:hint="eastAsia" w:ascii="宋体" w:hAnsi="宋体" w:cs="宋体"/>
          <w:b w:val="0"/>
          <w:bCs/>
          <w:color w:val="auto"/>
          <w:sz w:val="28"/>
          <w:szCs w:val="28"/>
          <w:highlight w:val="none"/>
          <w:u w:val="none"/>
          <w:lang w:val="en-US" w:eastAsia="zh-CN"/>
        </w:rPr>
        <w:t>”</w:t>
      </w:r>
    </w:p>
    <w:p>
      <w:pPr>
        <w:pStyle w:val="2"/>
        <w:rPr>
          <w:rFonts w:hint="eastAsia" w:ascii="宋体" w:hAnsi="宋体" w:eastAsia="宋体" w:cs="宋体"/>
          <w:b w:val="0"/>
          <w:bCs/>
          <w:color w:val="auto"/>
          <w:sz w:val="28"/>
          <w:szCs w:val="28"/>
          <w:highlight w:val="none"/>
          <w:u w:val="none"/>
          <w:lang w:val="en-US" w:eastAsia="zh-CN"/>
        </w:rPr>
      </w:pPr>
    </w:p>
    <w:p>
      <w:pPr>
        <w:pStyle w:val="3"/>
        <w:rPr>
          <w:rFonts w:hint="eastAsia" w:ascii="宋体" w:hAnsi="宋体" w:eastAsia="宋体" w:cs="宋体"/>
          <w:b w:val="0"/>
          <w:bCs/>
          <w:color w:val="auto"/>
          <w:sz w:val="28"/>
          <w:szCs w:val="28"/>
          <w:highlight w:val="none"/>
          <w:u w:val="none"/>
          <w:lang w:val="en-US" w:eastAsia="zh-CN"/>
        </w:rPr>
      </w:pPr>
    </w:p>
    <w:p>
      <w:pPr>
        <w:rPr>
          <w:rFonts w:hint="eastAsia"/>
          <w:color w:val="auto"/>
          <w:highlight w:val="none"/>
          <w:u w:val="none"/>
          <w:lang w:val="en-US" w:eastAsia="zh-CN"/>
        </w:rPr>
      </w:pPr>
    </w:p>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u w:val="none"/>
        </w:rPr>
      </w:pPr>
      <w:r>
        <w:rPr>
          <w:rFonts w:hint="eastAsia" w:ascii="Times New Roman" w:hAnsi="Times New Roman" w:eastAsia="宋体" w:cs="Times New Roman"/>
          <w:b/>
          <w:color w:val="auto"/>
          <w:sz w:val="28"/>
          <w:szCs w:val="28"/>
          <w:highlight w:val="none"/>
          <w:u w:val="none"/>
          <w:lang w:val="en-US" w:eastAsia="zh-CN"/>
        </w:rPr>
        <w:t xml:space="preserve">三、 </w:t>
      </w:r>
      <w:r>
        <w:rPr>
          <w:rFonts w:hint="eastAsia" w:ascii="Times New Roman" w:hAnsi="Times New Roman" w:eastAsia="宋体" w:cs="Times New Roman"/>
          <w:b/>
          <w:color w:val="auto"/>
          <w:sz w:val="28"/>
          <w:szCs w:val="28"/>
          <w:highlight w:val="none"/>
          <w:u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u w:val="none"/>
                <w:vertAlign w:val="baseline"/>
              </w:rPr>
            </w:pPr>
            <w:r>
              <w:rPr>
                <w:rFonts w:hint="eastAsia" w:ascii="宋体" w:hAnsi="宋体" w:eastAsia="宋体"/>
                <w:color w:val="auto"/>
                <w:sz w:val="24"/>
                <w:highlight w:val="none"/>
                <w:u w:val="none"/>
                <w:lang w:val="en-US" w:eastAsia="zh-CN"/>
              </w:rPr>
              <w:t>3</w:t>
            </w:r>
            <w:r>
              <w:rPr>
                <w:rFonts w:hint="eastAsia" w:ascii="宋体" w:hAnsi="宋体"/>
                <w:color w:val="auto"/>
                <w:sz w:val="24"/>
                <w:highlight w:val="none"/>
                <w:u w:val="none"/>
                <w:lang w:val="en-US" w:eastAsia="zh-CN"/>
              </w:rPr>
              <w:t>.</w:t>
            </w:r>
            <w:r>
              <w:rPr>
                <w:rFonts w:hint="eastAsia" w:ascii="宋体" w:hAnsi="宋体" w:eastAsia="宋体"/>
                <w:color w:val="auto"/>
                <w:sz w:val="24"/>
                <w:highlight w:val="none"/>
                <w:u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u w:val="none"/>
              </w:rPr>
            </w:pPr>
            <w:r>
              <w:rPr>
                <w:rFonts w:hint="eastAsia" w:ascii="宋体" w:hAnsi="宋体" w:eastAsia="宋体"/>
                <w:color w:val="auto"/>
                <w:sz w:val="24"/>
                <w:highlight w:val="none"/>
                <w:u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u w:val="none"/>
              </w:rPr>
            </w:pPr>
            <w:r>
              <w:rPr>
                <w:rFonts w:hint="eastAsia" w:ascii="宋体" w:hAnsi="宋体" w:eastAsia="宋体"/>
                <w:color w:val="auto"/>
                <w:sz w:val="24"/>
                <w:highlight w:val="none"/>
                <w:u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u w:val="none"/>
              </w:rPr>
            </w:pPr>
            <w:r>
              <w:rPr>
                <w:rFonts w:hint="eastAsia" w:ascii="宋体" w:hAnsi="宋体" w:eastAsia="宋体"/>
                <w:color w:val="auto"/>
                <w:sz w:val="24"/>
                <w:highlight w:val="none"/>
                <w:u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u w:val="none"/>
                <w:vertAlign w:val="baseline"/>
              </w:rPr>
            </w:pPr>
            <w:r>
              <w:rPr>
                <w:rFonts w:hint="eastAsia" w:ascii="宋体" w:hAnsi="宋体" w:eastAsia="宋体"/>
                <w:color w:val="auto"/>
                <w:sz w:val="24"/>
                <w:highlight w:val="none"/>
                <w:u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u w:val="none"/>
                <w:lang w:val="en-US" w:eastAsia="zh-CN" w:bidi="ar-SA"/>
              </w:rPr>
            </w:pPr>
            <w:r>
              <w:rPr>
                <w:rFonts w:hint="eastAsia" w:ascii="宋体" w:hAnsi="宋体" w:eastAsia="宋体"/>
                <w:color w:val="auto"/>
                <w:sz w:val="24"/>
                <w:highlight w:val="none"/>
                <w:u w:val="none"/>
                <w:lang w:val="en-US" w:eastAsia="zh-CN"/>
              </w:rPr>
              <w:t>3</w:t>
            </w:r>
            <w:r>
              <w:rPr>
                <w:rFonts w:hint="eastAsia" w:ascii="宋体" w:hAnsi="宋体"/>
                <w:color w:val="auto"/>
                <w:sz w:val="24"/>
                <w:highlight w:val="none"/>
                <w:u w:val="none"/>
                <w:lang w:val="en-US" w:eastAsia="zh-CN"/>
              </w:rPr>
              <w:t>.</w:t>
            </w:r>
            <w:r>
              <w:rPr>
                <w:rFonts w:hint="eastAsia" w:ascii="宋体" w:hAnsi="宋体" w:eastAsia="宋体"/>
                <w:color w:val="auto"/>
                <w:sz w:val="24"/>
                <w:highlight w:val="none"/>
                <w:u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u w:val="none"/>
                <w:lang w:val="en-US" w:eastAsia="zh-CN" w:bidi="ar-SA"/>
              </w:rPr>
            </w:pPr>
            <w:r>
              <w:rPr>
                <w:rFonts w:hint="eastAsia" w:ascii="宋体" w:hAnsi="宋体" w:eastAsia="宋体"/>
                <w:color w:val="auto"/>
                <w:sz w:val="24"/>
                <w:highlight w:val="none"/>
                <w:u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u w:val="none"/>
                <w:vertAlign w:val="baseline"/>
                <w:lang w:val="en-US" w:eastAsia="zh-CN"/>
              </w:rPr>
            </w:pPr>
            <w:r>
              <w:rPr>
                <w:rFonts w:hint="eastAsia" w:ascii="宋体" w:hAnsi="宋体" w:cs="Times New Roman"/>
                <w:color w:val="auto"/>
                <w:sz w:val="24"/>
                <w:highlight w:val="none"/>
                <w:u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u w:val="none"/>
                <w:vertAlign w:val="baseline"/>
              </w:rPr>
            </w:pPr>
            <w:r>
              <w:rPr>
                <w:rFonts w:hint="eastAsia" w:ascii="宋体" w:hAnsi="宋体" w:cs="Times New Roman"/>
                <w:color w:val="auto"/>
                <w:sz w:val="24"/>
                <w:highlight w:val="none"/>
                <w:u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u w:val="none"/>
                <w:vertAlign w:val="baseline"/>
                <w:lang w:val="en-US" w:eastAsia="zh-CN"/>
              </w:rPr>
            </w:pPr>
            <w:r>
              <w:rPr>
                <w:rFonts w:hint="eastAsia" w:ascii="宋体" w:hAnsi="宋体" w:cs="Times New Roman"/>
                <w:color w:val="auto"/>
                <w:sz w:val="24"/>
                <w:highlight w:val="none"/>
                <w:u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u w:val="none"/>
                <w:vertAlign w:val="baseline"/>
              </w:rPr>
            </w:pPr>
            <w:r>
              <w:rPr>
                <w:rFonts w:hint="eastAsia" w:ascii="宋体" w:hAnsi="宋体" w:cs="Times New Roman"/>
                <w:color w:val="auto"/>
                <w:sz w:val="24"/>
                <w:highlight w:val="none"/>
                <w:u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u w:val="none"/>
        </w:rPr>
      </w:pPr>
      <w:r>
        <w:rPr>
          <w:rFonts w:hint="eastAsia" w:ascii="Times New Roman" w:hAnsi="Times New Roman" w:eastAsia="宋体" w:cs="Times New Roman"/>
          <w:b/>
          <w:color w:val="auto"/>
          <w:sz w:val="28"/>
          <w:szCs w:val="28"/>
          <w:highlight w:val="none"/>
          <w:u w:val="none"/>
          <w:lang w:val="en-US" w:eastAsia="zh-CN"/>
        </w:rPr>
        <w:t>四、 技术及</w:t>
      </w:r>
      <w:r>
        <w:rPr>
          <w:rFonts w:hint="eastAsia" w:ascii="Times New Roman" w:hAnsi="Times New Roman" w:eastAsia="宋体" w:cs="Times New Roman"/>
          <w:b/>
          <w:color w:val="auto"/>
          <w:sz w:val="28"/>
          <w:szCs w:val="28"/>
          <w:highlight w:val="none"/>
          <w:u w:val="none"/>
        </w:rPr>
        <w:t>售后服务要求</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.1</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产品发票要求：</w:t>
      </w:r>
      <w:r>
        <w:rPr>
          <w:rFonts w:hint="eastAsia" w:ascii="宋体" w:hAnsi="宋体" w:eastAsia="宋体" w:cs="宋体"/>
          <w:color w:val="auto"/>
          <w:sz w:val="28"/>
          <w:szCs w:val="28"/>
          <w:highlight w:val="none"/>
          <w:u w:val="none"/>
          <w:lang w:eastAsia="zh-CN"/>
        </w:rPr>
        <w:t>卖方</w:t>
      </w:r>
      <w:r>
        <w:rPr>
          <w:rFonts w:hint="eastAsia" w:ascii="宋体" w:hAnsi="宋体" w:eastAsia="宋体" w:cs="宋体"/>
          <w:color w:val="auto"/>
          <w:sz w:val="28"/>
          <w:szCs w:val="28"/>
          <w:highlight w:val="none"/>
          <w:u w:val="none"/>
        </w:rPr>
        <w:t>可提供符合规定税率的全额增值税专用发票</w:t>
      </w:r>
      <w:r>
        <w:rPr>
          <w:rFonts w:hint="eastAsia" w:ascii="宋体" w:hAnsi="宋体" w:eastAsia="宋体" w:cs="宋体"/>
          <w:color w:val="auto"/>
          <w:sz w:val="28"/>
          <w:szCs w:val="28"/>
          <w:highlight w:val="none"/>
          <w:u w:val="none"/>
          <w:lang w:eastAsia="zh-CN"/>
        </w:rPr>
        <w:t>。（</w:t>
      </w:r>
      <w:r>
        <w:rPr>
          <w:rFonts w:hint="eastAsia" w:ascii="宋体" w:hAnsi="宋体" w:eastAsia="宋体" w:cs="宋体"/>
          <w:color w:val="auto"/>
          <w:sz w:val="28"/>
          <w:szCs w:val="28"/>
          <w:highlight w:val="none"/>
          <w:u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产品</w:t>
      </w:r>
      <w:r>
        <w:rPr>
          <w:rFonts w:hint="eastAsia" w:ascii="宋体" w:hAnsi="宋体" w:eastAsia="宋体" w:cs="宋体"/>
          <w:color w:val="auto"/>
          <w:sz w:val="28"/>
          <w:szCs w:val="28"/>
          <w:highlight w:val="none"/>
          <w:u w:val="none"/>
          <w:lang w:eastAsia="zh-CN"/>
        </w:rPr>
        <w:t>质量保证</w:t>
      </w:r>
      <w:r>
        <w:rPr>
          <w:rFonts w:hint="eastAsia" w:ascii="宋体" w:hAnsi="宋体" w:eastAsia="宋体" w:cs="宋体"/>
          <w:color w:val="auto"/>
          <w:sz w:val="28"/>
          <w:szCs w:val="28"/>
          <w:highlight w:val="none"/>
          <w:u w:val="none"/>
        </w:rPr>
        <w:t>及售后服务响应要求：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 xml:space="preserve">.1 </w:t>
      </w:r>
      <w:r>
        <w:rPr>
          <w:rFonts w:hint="eastAsia" w:ascii="宋体" w:hAnsi="宋体" w:eastAsia="宋体" w:cs="宋体"/>
          <w:color w:val="auto"/>
          <w:sz w:val="28"/>
          <w:szCs w:val="28"/>
          <w:highlight w:val="none"/>
          <w:u w:val="none"/>
        </w:rPr>
        <w:t>卖方应保证</w:t>
      </w:r>
      <w:r>
        <w:rPr>
          <w:rFonts w:hint="eastAsia" w:ascii="宋体" w:hAnsi="宋体" w:eastAsia="宋体" w:cs="宋体"/>
          <w:color w:val="auto"/>
          <w:sz w:val="28"/>
          <w:szCs w:val="28"/>
          <w:highlight w:val="none"/>
          <w:u w:val="none"/>
          <w:lang w:eastAsia="zh-CN"/>
        </w:rPr>
        <w:t>标的</w:t>
      </w:r>
      <w:r>
        <w:rPr>
          <w:rFonts w:hint="eastAsia" w:ascii="宋体" w:hAnsi="宋体" w:eastAsia="宋体" w:cs="宋体"/>
          <w:color w:val="auto"/>
          <w:sz w:val="28"/>
          <w:szCs w:val="28"/>
          <w:highlight w:val="none"/>
          <w:u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rPr>
        <w:t>货物的特点和需要分别加上防冲撞、防霉、防锈、防腐蚀、防冻、防盗的保护措施。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.2</w:t>
      </w:r>
      <w:r>
        <w:rPr>
          <w:rFonts w:hint="eastAsia" w:ascii="宋体" w:hAnsi="宋体" w:eastAsia="宋体" w:cs="宋体"/>
          <w:color w:val="auto"/>
          <w:sz w:val="28"/>
          <w:szCs w:val="28"/>
          <w:highlight w:val="none"/>
          <w:u w:val="none"/>
        </w:rPr>
        <w:t>卖方用于</w:t>
      </w:r>
      <w:r>
        <w:rPr>
          <w:rFonts w:hint="eastAsia" w:ascii="宋体" w:hAnsi="宋体" w:eastAsia="宋体" w:cs="宋体"/>
          <w:color w:val="auto"/>
          <w:sz w:val="28"/>
          <w:szCs w:val="28"/>
          <w:highlight w:val="none"/>
          <w:u w:val="none"/>
          <w:lang w:eastAsia="zh-CN"/>
        </w:rPr>
        <w:t>标的</w:t>
      </w:r>
      <w:r>
        <w:rPr>
          <w:rFonts w:hint="eastAsia" w:ascii="宋体" w:hAnsi="宋体" w:eastAsia="宋体" w:cs="宋体"/>
          <w:color w:val="auto"/>
          <w:sz w:val="28"/>
          <w:szCs w:val="28"/>
          <w:highlight w:val="none"/>
          <w:u w:val="none"/>
        </w:rPr>
        <w:t>物的包装材料，应符合国家相关环保标准；属应检验检疫的，应依法办理检验检疫手续并将相关资料移交给买方，否则，买方有权拒收。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.3</w:t>
      </w:r>
      <w:r>
        <w:rPr>
          <w:rFonts w:hint="eastAsia" w:ascii="宋体" w:hAnsi="宋体" w:eastAsia="宋体" w:cs="宋体"/>
          <w:color w:val="auto"/>
          <w:sz w:val="28"/>
          <w:szCs w:val="28"/>
          <w:highlight w:val="none"/>
          <w:u w:val="none"/>
        </w:rPr>
        <w:t>卖方负责将</w:t>
      </w:r>
      <w:r>
        <w:rPr>
          <w:rFonts w:hint="eastAsia" w:ascii="宋体" w:hAnsi="宋体" w:eastAsia="宋体" w:cs="宋体"/>
          <w:color w:val="auto"/>
          <w:sz w:val="28"/>
          <w:szCs w:val="28"/>
          <w:highlight w:val="none"/>
          <w:u w:val="none"/>
          <w:lang w:eastAsia="zh-CN"/>
        </w:rPr>
        <w:t>标的物</w:t>
      </w:r>
      <w:r>
        <w:rPr>
          <w:rFonts w:hint="eastAsia" w:ascii="宋体" w:hAnsi="宋体" w:eastAsia="宋体" w:cs="宋体"/>
          <w:color w:val="auto"/>
          <w:sz w:val="28"/>
          <w:szCs w:val="28"/>
          <w:highlight w:val="none"/>
          <w:u w:val="none"/>
        </w:rPr>
        <w:t>运至</w:t>
      </w:r>
      <w:r>
        <w:rPr>
          <w:rFonts w:hint="eastAsia" w:ascii="宋体" w:hAnsi="宋体" w:eastAsia="宋体" w:cs="宋体"/>
          <w:color w:val="auto"/>
          <w:sz w:val="28"/>
          <w:szCs w:val="28"/>
          <w:highlight w:val="none"/>
          <w:u w:val="none"/>
          <w:lang w:eastAsia="zh-CN"/>
        </w:rPr>
        <w:t>采购文件</w:t>
      </w:r>
      <w:r>
        <w:rPr>
          <w:rFonts w:hint="eastAsia" w:ascii="宋体" w:hAnsi="宋体" w:eastAsia="宋体" w:cs="宋体"/>
          <w:color w:val="auto"/>
          <w:sz w:val="28"/>
          <w:szCs w:val="28"/>
          <w:highlight w:val="none"/>
          <w:u w:val="none"/>
        </w:rPr>
        <w:t>约定的交货地点</w:t>
      </w:r>
      <w:r>
        <w:rPr>
          <w:rFonts w:hint="eastAsia" w:ascii="宋体" w:hAnsi="宋体" w:eastAsia="宋体" w:cs="宋体"/>
          <w:color w:val="auto"/>
          <w:sz w:val="28"/>
          <w:szCs w:val="28"/>
          <w:highlight w:val="none"/>
          <w:u w:val="none"/>
          <w:lang w:eastAsia="zh-CN"/>
        </w:rPr>
        <w:t>（另有约定除外）</w:t>
      </w:r>
      <w:r>
        <w:rPr>
          <w:rFonts w:hint="eastAsia" w:ascii="宋体" w:hAnsi="宋体" w:eastAsia="宋体" w:cs="宋体"/>
          <w:color w:val="auto"/>
          <w:sz w:val="28"/>
          <w:szCs w:val="28"/>
          <w:highlight w:val="none"/>
          <w:u w:val="none"/>
        </w:rPr>
        <w:t>并完成车板交货，在到货同时提交书面文件及电子文档。在货物送达后三日内，卖方应到货物交接地点办理交接手续。</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在</w:t>
      </w:r>
      <w:r>
        <w:rPr>
          <w:rFonts w:hint="eastAsia" w:ascii="宋体" w:hAnsi="宋体" w:eastAsia="宋体" w:cs="宋体"/>
          <w:color w:val="auto"/>
          <w:sz w:val="28"/>
          <w:szCs w:val="28"/>
          <w:highlight w:val="none"/>
          <w:u w:val="none"/>
          <w:lang w:eastAsia="zh-CN"/>
        </w:rPr>
        <w:t>标的物</w:t>
      </w:r>
      <w:r>
        <w:rPr>
          <w:rFonts w:hint="eastAsia" w:ascii="宋体" w:hAnsi="宋体" w:eastAsia="宋体" w:cs="宋体"/>
          <w:color w:val="auto"/>
          <w:sz w:val="28"/>
          <w:szCs w:val="28"/>
          <w:highlight w:val="none"/>
          <w:u w:val="none"/>
        </w:rPr>
        <w:t>备妥发出前</w:t>
      </w:r>
      <w:r>
        <w:rPr>
          <w:rFonts w:hint="eastAsia" w:ascii="宋体" w:hAnsi="宋体" w:eastAsia="宋体" w:cs="宋体"/>
          <w:color w:val="auto"/>
          <w:sz w:val="28"/>
          <w:szCs w:val="28"/>
          <w:highlight w:val="none"/>
          <w:u w:val="none"/>
          <w:lang w:val="en-US" w:eastAsia="zh-CN"/>
        </w:rPr>
        <w:t>24小时</w:t>
      </w:r>
      <w:r>
        <w:rPr>
          <w:rFonts w:hint="eastAsia" w:ascii="宋体" w:hAnsi="宋体" w:eastAsia="宋体" w:cs="宋体"/>
          <w:color w:val="auto"/>
          <w:sz w:val="28"/>
          <w:szCs w:val="28"/>
          <w:highlight w:val="none"/>
          <w:u w:val="none"/>
        </w:rPr>
        <w:t>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.5</w:t>
      </w:r>
      <w:r>
        <w:rPr>
          <w:rFonts w:hint="eastAsia" w:ascii="宋体" w:hAnsi="宋体" w:eastAsia="宋体" w:cs="宋体"/>
          <w:color w:val="auto"/>
          <w:sz w:val="28"/>
          <w:szCs w:val="28"/>
          <w:highlight w:val="none"/>
          <w:u w:val="none"/>
        </w:rPr>
        <w:t>买方有权对</w:t>
      </w:r>
      <w:r>
        <w:rPr>
          <w:rFonts w:hint="eastAsia" w:ascii="宋体" w:hAnsi="宋体" w:eastAsia="宋体" w:cs="宋体"/>
          <w:color w:val="auto"/>
          <w:sz w:val="28"/>
          <w:szCs w:val="28"/>
          <w:highlight w:val="none"/>
          <w:u w:val="none"/>
          <w:lang w:eastAsia="zh-CN"/>
        </w:rPr>
        <w:t>标的物</w:t>
      </w:r>
      <w:r>
        <w:rPr>
          <w:rFonts w:hint="eastAsia" w:ascii="宋体" w:hAnsi="宋体" w:eastAsia="宋体" w:cs="宋体"/>
          <w:color w:val="auto"/>
          <w:sz w:val="28"/>
          <w:szCs w:val="28"/>
          <w:highlight w:val="none"/>
          <w:u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u w:val="none"/>
          <w:lang w:eastAsia="zh-CN"/>
        </w:rPr>
        <w:t>，</w:t>
      </w:r>
      <w:r>
        <w:rPr>
          <w:rFonts w:hint="eastAsia" w:ascii="宋体" w:hAnsi="宋体" w:eastAsia="宋体" w:cs="宋体"/>
          <w:color w:val="auto"/>
          <w:sz w:val="28"/>
          <w:szCs w:val="28"/>
          <w:highlight w:val="none"/>
          <w:u w:val="none"/>
        </w:rPr>
        <w:t>买方有权拒收</w:t>
      </w:r>
      <w:r>
        <w:rPr>
          <w:rFonts w:hint="eastAsia" w:ascii="宋体" w:hAnsi="宋体" w:eastAsia="宋体" w:cs="宋体"/>
          <w:color w:val="auto"/>
          <w:sz w:val="28"/>
          <w:szCs w:val="28"/>
          <w:highlight w:val="none"/>
          <w:u w:val="none"/>
          <w:lang w:eastAsia="zh-CN"/>
        </w:rPr>
        <w:t>验收不合格货物。</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.6</w:t>
      </w:r>
      <w:r>
        <w:rPr>
          <w:rFonts w:hint="eastAsia" w:ascii="宋体" w:hAnsi="宋体" w:eastAsia="宋体" w:cs="宋体"/>
          <w:color w:val="auto"/>
          <w:sz w:val="28"/>
          <w:szCs w:val="28"/>
          <w:highlight w:val="none"/>
          <w:u w:val="none"/>
          <w:lang w:eastAsia="zh-CN"/>
        </w:rPr>
        <w:t>标的物</w:t>
      </w:r>
      <w:r>
        <w:rPr>
          <w:rFonts w:hint="eastAsia" w:ascii="宋体" w:hAnsi="宋体" w:eastAsia="宋体" w:cs="宋体"/>
          <w:color w:val="auto"/>
          <w:sz w:val="28"/>
          <w:szCs w:val="28"/>
          <w:highlight w:val="none"/>
          <w:u w:val="none"/>
        </w:rPr>
        <w:t>的质量保证期和使用寿命应当符合国家标准或行业标准的要求。没有相关标准时，各类物资的质保期和使用寿命应当满足产品设计要求。</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.7卖方完成本次投标活动视为接受并认可本采购文件所有条款。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.8</w:t>
      </w:r>
      <w:r>
        <w:rPr>
          <w:rFonts w:hint="eastAsia" w:ascii="宋体" w:hAnsi="宋体" w:eastAsia="宋体" w:cs="宋体"/>
          <w:color w:val="auto"/>
          <w:sz w:val="28"/>
          <w:szCs w:val="28"/>
          <w:highlight w:val="none"/>
          <w:u w:val="none"/>
          <w:lang w:eastAsia="zh-CN"/>
        </w:rPr>
        <w:t>质保期自验收合格日期起计算，质保期为</w:t>
      </w:r>
      <w:r>
        <w:rPr>
          <w:rFonts w:hint="eastAsia" w:ascii="宋体" w:hAnsi="宋体" w:eastAsia="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lang w:val="en-US" w:eastAsia="zh-CN"/>
        </w:rPr>
        <w:t>36</w:t>
      </w:r>
      <w:r>
        <w:rPr>
          <w:rFonts w:hint="eastAsia" w:ascii="宋体" w:hAnsi="宋体" w:eastAsia="宋体" w:cs="宋体"/>
          <w:color w:val="auto"/>
          <w:sz w:val="28"/>
          <w:szCs w:val="28"/>
          <w:highlight w:val="none"/>
          <w:u w:val="none"/>
          <w:lang w:val="en-US" w:eastAsia="zh-CN"/>
        </w:rPr>
        <w:t xml:space="preserve">  个月。</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rPr>
        <w:t>.2</w:t>
      </w:r>
      <w:r>
        <w:rPr>
          <w:rFonts w:hint="eastAsia" w:ascii="宋体" w:hAnsi="宋体" w:eastAsia="宋体" w:cs="宋体"/>
          <w:color w:val="auto"/>
          <w:sz w:val="28"/>
          <w:szCs w:val="28"/>
          <w:highlight w:val="none"/>
          <w:u w:val="none"/>
          <w:lang w:val="en-US" w:eastAsia="zh-CN"/>
        </w:rPr>
        <w:t>.9</w:t>
      </w:r>
      <w:r>
        <w:rPr>
          <w:rFonts w:hint="eastAsia" w:ascii="宋体" w:hAnsi="宋体" w:eastAsia="宋体" w:cs="宋体"/>
          <w:color w:val="auto"/>
          <w:sz w:val="28"/>
          <w:szCs w:val="28"/>
          <w:highlight w:val="none"/>
          <w:u w:val="none"/>
          <w:lang w:eastAsia="zh-CN"/>
        </w:rPr>
        <w:t>质保期内有任何质量问题将免费进行修理、更换；售后服</w:t>
      </w:r>
      <w:r>
        <w:rPr>
          <w:rFonts w:hint="eastAsia" w:ascii="宋体" w:hAnsi="宋体" w:eastAsia="宋体" w:cs="宋体"/>
          <w:color w:val="auto"/>
          <w:sz w:val="28"/>
          <w:szCs w:val="28"/>
          <w:highlight w:val="none"/>
          <w:u w:val="none"/>
          <w:lang w:val="en-US" w:eastAsia="zh-CN"/>
        </w:rPr>
        <w:t>务的响应时间在48小时内。</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4.3.0其他要求：   </w:t>
      </w:r>
      <w:r>
        <w:rPr>
          <w:rFonts w:hint="eastAsia" w:ascii="宋体" w:hAnsi="宋体" w:cs="宋体"/>
          <w:color w:val="auto"/>
          <w:sz w:val="28"/>
          <w:szCs w:val="28"/>
          <w:highlight w:val="none"/>
          <w:u w:val="none"/>
          <w:lang w:val="en-US" w:eastAsia="zh-CN"/>
        </w:rPr>
        <w:t>无。</w:t>
      </w:r>
      <w:r>
        <w:rPr>
          <w:rFonts w:hint="eastAsia" w:ascii="宋体" w:hAnsi="宋体" w:eastAsia="宋体" w:cs="宋体"/>
          <w:color w:val="auto"/>
          <w:sz w:val="28"/>
          <w:szCs w:val="28"/>
          <w:highlight w:val="none"/>
          <w:u w:val="none"/>
          <w:lang w:val="en-US" w:eastAsia="zh-CN"/>
        </w:rPr>
        <w:t xml:space="preserve">                        </w:t>
      </w:r>
    </w:p>
    <w:p>
      <w:pPr>
        <w:pStyle w:val="2"/>
        <w:rPr>
          <w:rFonts w:hint="default"/>
          <w:highlight w:val="none"/>
          <w:u w:val="none"/>
          <w:lang w:val="en-US" w:eastAsia="zh-CN"/>
        </w:rPr>
      </w:pPr>
    </w:p>
    <w:p>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u w:val="none"/>
          <w:lang w:val="en-US" w:eastAsia="zh-CN" w:bidi="ar-SA"/>
        </w:rPr>
      </w:pPr>
      <w:r>
        <w:rPr>
          <w:rFonts w:hint="eastAsia" w:ascii="Times New Roman" w:hAnsi="Times New Roman" w:eastAsia="宋体" w:cs="Times New Roman"/>
          <w:b/>
          <w:color w:val="auto"/>
          <w:sz w:val="28"/>
          <w:szCs w:val="28"/>
          <w:highlight w:val="none"/>
          <w:u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u w:val="none"/>
          <w:lang w:val="en-US" w:eastAsia="zh-CN" w:bidi="ar-SA"/>
        </w:rPr>
        <w:t>违约责任</w:t>
      </w:r>
      <w:bookmarkEnd w:id="3"/>
    </w:p>
    <w:p>
      <w:pPr>
        <w:widowControl/>
        <w:snapToGrid w:val="0"/>
        <w:spacing w:line="240" w:lineRule="exact"/>
        <w:rPr>
          <w:b/>
          <w:color w:val="auto"/>
          <w:kern w:val="0"/>
          <w:sz w:val="24"/>
          <w:highlight w:val="none"/>
          <w:u w:val="none"/>
        </w:rPr>
      </w:pPr>
    </w:p>
    <w:p>
      <w:pPr>
        <w:spacing w:line="360" w:lineRule="auto"/>
        <w:ind w:firstLine="560" w:firstLineChars="200"/>
        <w:rPr>
          <w:rFonts w:hint="default"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u w:val="none"/>
          <w:lang w:val="en-US" w:eastAsia="zh-Hans"/>
        </w:rPr>
        <w:t>未</w:t>
      </w:r>
      <w:r>
        <w:rPr>
          <w:rFonts w:hint="eastAsia" w:ascii="宋体" w:hAnsi="宋体" w:eastAsia="宋体" w:cs="宋体"/>
          <w:color w:val="auto"/>
          <w:sz w:val="28"/>
          <w:szCs w:val="28"/>
          <w:highlight w:val="none"/>
          <w:u w:val="none"/>
          <w:lang w:val="en-US" w:eastAsia="zh-CN"/>
        </w:rPr>
        <w:t>有效</w:t>
      </w:r>
      <w:r>
        <w:rPr>
          <w:rFonts w:hint="eastAsia" w:ascii="宋体" w:hAnsi="宋体" w:eastAsia="宋体" w:cs="宋体"/>
          <w:color w:val="auto"/>
          <w:sz w:val="28"/>
          <w:szCs w:val="28"/>
          <w:highlight w:val="none"/>
          <w:u w:val="none"/>
          <w:lang w:val="en-US" w:eastAsia="zh-Hans"/>
        </w:rPr>
        <w:t>响应并解决的</w:t>
      </w:r>
      <w:r>
        <w:rPr>
          <w:rFonts w:hint="default" w:ascii="宋体" w:hAnsi="宋体" w:eastAsia="宋体" w:cs="宋体"/>
          <w:color w:val="auto"/>
          <w:sz w:val="28"/>
          <w:szCs w:val="28"/>
          <w:highlight w:val="none"/>
          <w:u w:val="none"/>
          <w:lang w:val="en-US" w:eastAsia="zh-Hans"/>
        </w:rPr>
        <w:t>，</w:t>
      </w:r>
      <w:r>
        <w:rPr>
          <w:rFonts w:hint="eastAsia" w:ascii="宋体" w:hAnsi="宋体" w:eastAsia="宋体" w:cs="宋体"/>
          <w:color w:val="auto"/>
          <w:sz w:val="28"/>
          <w:szCs w:val="28"/>
          <w:highlight w:val="none"/>
          <w:u w:val="none"/>
          <w:lang w:val="en-US" w:eastAsia="zh-CN"/>
        </w:rPr>
        <w:t>买方</w:t>
      </w:r>
      <w:r>
        <w:rPr>
          <w:rFonts w:hint="eastAsia" w:ascii="宋体" w:hAnsi="宋体" w:eastAsia="宋体" w:cs="宋体"/>
          <w:color w:val="auto"/>
          <w:sz w:val="28"/>
          <w:szCs w:val="28"/>
          <w:highlight w:val="none"/>
          <w:u w:val="none"/>
          <w:lang w:val="en-US" w:eastAsia="zh-Hans"/>
        </w:rPr>
        <w:t>有权另行委托第三方机构提供服务</w:t>
      </w:r>
      <w:r>
        <w:rPr>
          <w:rFonts w:hint="eastAsia" w:ascii="宋体" w:hAnsi="宋体" w:eastAsia="宋体" w:cs="宋体"/>
          <w:color w:val="auto"/>
          <w:sz w:val="28"/>
          <w:szCs w:val="28"/>
          <w:highlight w:val="none"/>
          <w:u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5.3卖方应妥善作好买方所提供的文件资料的保存、回收及保密工作，不得泄漏、传播与监造设备有关的技术秘密和商业秘密。造成损失由卖方承担。</w:t>
      </w:r>
    </w:p>
    <w:p>
      <w:pPr>
        <w:spacing w:line="360" w:lineRule="auto"/>
        <w:ind w:firstLine="560" w:firstLineChars="200"/>
        <w:rPr>
          <w:rFonts w:hint="default"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5.4卖方与买方若存在纠纷，应友好协商解决，若存在诉讼，应在买方所在地提起诉讼或仲裁。</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val="en-US" w:eastAsia="zh-CN"/>
        </w:rPr>
        <w:t>5.6</w:t>
      </w:r>
      <w:r>
        <w:rPr>
          <w:rFonts w:hint="eastAsia" w:ascii="宋体" w:hAnsi="宋体" w:eastAsia="宋体" w:cs="宋体"/>
          <w:color w:val="auto"/>
          <w:sz w:val="28"/>
          <w:szCs w:val="28"/>
          <w:highlight w:val="none"/>
          <w:u w:val="none"/>
        </w:rPr>
        <w:t>合同货物质保期届满前，如发现卖方提供的货物有缺陷，不符合</w:t>
      </w:r>
      <w:r>
        <w:rPr>
          <w:rFonts w:hint="eastAsia" w:ascii="宋体" w:hAnsi="宋体" w:eastAsia="宋体" w:cs="宋体"/>
          <w:color w:val="auto"/>
          <w:sz w:val="28"/>
          <w:szCs w:val="28"/>
          <w:highlight w:val="none"/>
          <w:u w:val="none"/>
          <w:lang w:eastAsia="zh-CN"/>
        </w:rPr>
        <w:t>采购文件</w:t>
      </w:r>
      <w:r>
        <w:rPr>
          <w:rFonts w:hint="eastAsia" w:ascii="宋体" w:hAnsi="宋体" w:eastAsia="宋体" w:cs="宋体"/>
          <w:color w:val="auto"/>
          <w:sz w:val="28"/>
          <w:szCs w:val="28"/>
          <w:highlight w:val="none"/>
          <w:u w:val="none"/>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5.7</w:t>
      </w:r>
      <w:r>
        <w:rPr>
          <w:rFonts w:hint="eastAsia" w:ascii="宋体" w:hAnsi="宋体" w:eastAsia="宋体" w:cs="宋体"/>
          <w:color w:val="auto"/>
          <w:sz w:val="28"/>
          <w:szCs w:val="28"/>
          <w:highlight w:val="none"/>
          <w:u w:val="none"/>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highlight w:val="none"/>
          <w:u w:val="none"/>
          <w:lang w:val="en-US" w:eastAsia="zh-CN"/>
        </w:rPr>
        <w:t>买方有权单方面解除合同且不承担相关责任。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5.8其他责任：  </w:t>
      </w:r>
      <w:r>
        <w:rPr>
          <w:rFonts w:hint="eastAsia" w:ascii="宋体" w:hAnsi="宋体" w:cs="宋体"/>
          <w:color w:val="auto"/>
          <w:sz w:val="28"/>
          <w:szCs w:val="28"/>
          <w:highlight w:val="none"/>
          <w:u w:val="none"/>
          <w:lang w:val="en-US" w:eastAsia="zh-CN"/>
        </w:rPr>
        <w:t>无</w:t>
      </w:r>
      <w:r>
        <w:rPr>
          <w:rFonts w:hint="eastAsia" w:ascii="宋体" w:hAnsi="宋体" w:eastAsia="宋体" w:cs="宋体"/>
          <w:color w:val="auto"/>
          <w:sz w:val="28"/>
          <w:szCs w:val="28"/>
          <w:highlight w:val="none"/>
          <w:u w:val="none"/>
          <w:lang w:val="en-US" w:eastAsia="zh-CN"/>
        </w:rPr>
        <w:t xml:space="preserve"> </w:t>
      </w:r>
    </w:p>
    <w:p>
      <w:pPr>
        <w:pStyle w:val="2"/>
        <w:rPr>
          <w:rFonts w:hint="eastAsia"/>
          <w:highlight w:val="none"/>
          <w:u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u w:val="none"/>
          <w:lang w:val="en-US" w:eastAsia="zh-CN"/>
        </w:rPr>
      </w:pPr>
      <w:r>
        <w:rPr>
          <w:rFonts w:hint="eastAsia" w:ascii="Times New Roman" w:hAnsi="Times New Roman" w:eastAsia="宋体" w:cs="Times New Roman"/>
          <w:b/>
          <w:color w:val="auto"/>
          <w:sz w:val="28"/>
          <w:szCs w:val="28"/>
          <w:highlight w:val="none"/>
          <w:u w:val="none"/>
          <w:lang w:val="en-US" w:eastAsia="zh-CN"/>
        </w:rPr>
        <w:t>六、设备附图</w:t>
      </w:r>
      <w:r>
        <w:rPr>
          <w:rFonts w:hint="eastAsia" w:cs="Times New Roman"/>
          <w:b/>
          <w:color w:val="auto"/>
          <w:sz w:val="28"/>
          <w:szCs w:val="28"/>
          <w:highlight w:val="none"/>
          <w:u w:val="none"/>
          <w:lang w:val="en-US" w:eastAsia="zh-CN"/>
        </w:rPr>
        <w:t>及参数</w:t>
      </w:r>
      <w:r>
        <w:rPr>
          <w:rFonts w:hint="eastAsia" w:ascii="Times New Roman" w:hAnsi="Times New Roman" w:eastAsia="宋体" w:cs="Times New Roman"/>
          <w:b/>
          <w:color w:val="FF0000"/>
          <w:sz w:val="28"/>
          <w:szCs w:val="28"/>
          <w:highlight w:val="none"/>
          <w:u w:val="none"/>
          <w:lang w:val="en-US" w:eastAsia="zh-CN"/>
        </w:rPr>
        <w:t>（有设备的，例如设备修理需附图，分整体和局部，需写明所需服务内容，尽量细致）</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3604"/>
        <w:gridCol w:w="1206"/>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u w:val="none"/>
              </w:rPr>
            </w:pPr>
            <w:r>
              <w:rPr>
                <w:rFonts w:hint="default" w:ascii="宋体" w:hAnsi="宋体" w:eastAsia="宋体"/>
                <w:b/>
                <w:color w:val="auto"/>
                <w:kern w:val="0"/>
                <w:sz w:val="18"/>
                <w:szCs w:val="21"/>
                <w:highlight w:val="none"/>
                <w:u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u w:val="none"/>
              </w:rPr>
            </w:pPr>
            <w:r>
              <w:rPr>
                <w:rFonts w:hint="eastAsia" w:ascii="宋体" w:hAnsi="宋体" w:eastAsia="宋体"/>
                <w:b/>
                <w:color w:val="auto"/>
                <w:kern w:val="0"/>
                <w:sz w:val="18"/>
                <w:szCs w:val="21"/>
                <w:highlight w:val="none"/>
                <w:u w:val="none"/>
                <w:lang w:eastAsia="zh-CN"/>
              </w:rPr>
              <w:t>子项</w:t>
            </w:r>
            <w:r>
              <w:rPr>
                <w:rFonts w:hint="default" w:ascii="宋体" w:hAnsi="宋体" w:eastAsia="宋体"/>
                <w:b/>
                <w:color w:val="auto"/>
                <w:kern w:val="0"/>
                <w:sz w:val="18"/>
                <w:szCs w:val="21"/>
                <w:highlight w:val="none"/>
                <w:u w:val="none"/>
              </w:rPr>
              <w:t>名称</w:t>
            </w:r>
          </w:p>
        </w:tc>
        <w:tc>
          <w:tcPr>
            <w:tcW w:w="3604" w:type="dxa"/>
            <w:noWrap w:val="0"/>
            <w:vAlign w:val="center"/>
          </w:tcPr>
          <w:p>
            <w:pPr>
              <w:adjustRightInd w:val="0"/>
              <w:snapToGrid w:val="0"/>
              <w:spacing w:beforeLines="0" w:afterLines="0" w:line="360" w:lineRule="auto"/>
              <w:jc w:val="center"/>
              <w:rPr>
                <w:rFonts w:hint="default" w:ascii="宋体" w:hAnsi="宋体" w:eastAsia="宋体" w:cs="宋体"/>
                <w:b/>
                <w:bCs/>
                <w:color w:val="auto"/>
                <w:kern w:val="0"/>
                <w:sz w:val="18"/>
                <w:szCs w:val="20"/>
                <w:highlight w:val="none"/>
                <w:u w:val="none"/>
                <w:lang w:val="en-US" w:eastAsia="zh-CN"/>
              </w:rPr>
            </w:pPr>
            <w:r>
              <w:rPr>
                <w:rFonts w:hint="eastAsia" w:ascii="宋体" w:hAnsi="宋体" w:eastAsia="宋体"/>
                <w:b/>
                <w:color w:val="auto"/>
                <w:kern w:val="0"/>
                <w:sz w:val="18"/>
                <w:szCs w:val="21"/>
                <w:highlight w:val="none"/>
                <w:u w:val="none"/>
                <w:lang w:eastAsia="zh-CN"/>
              </w:rPr>
              <w:t>型号</w:t>
            </w:r>
            <w:r>
              <w:rPr>
                <w:rFonts w:hint="eastAsia" w:ascii="宋体" w:hAnsi="宋体"/>
                <w:b/>
                <w:color w:val="auto"/>
                <w:kern w:val="0"/>
                <w:sz w:val="18"/>
                <w:szCs w:val="21"/>
                <w:highlight w:val="none"/>
                <w:u w:val="none"/>
                <w:lang w:val="en-US" w:eastAsia="zh-CN"/>
              </w:rPr>
              <w:t>及参数</w:t>
            </w:r>
          </w:p>
        </w:tc>
        <w:tc>
          <w:tcPr>
            <w:tcW w:w="1206"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u w:val="none"/>
              </w:rPr>
            </w:pPr>
            <w:r>
              <w:rPr>
                <w:rFonts w:hint="eastAsia" w:ascii="宋体" w:hAnsi="宋体"/>
                <w:b/>
                <w:color w:val="auto"/>
                <w:kern w:val="0"/>
                <w:sz w:val="18"/>
                <w:szCs w:val="21"/>
                <w:highlight w:val="none"/>
                <w:u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u w:val="none"/>
              </w:rPr>
            </w:pPr>
            <w:r>
              <w:rPr>
                <w:rFonts w:hint="default" w:ascii="宋体" w:hAnsi="宋体" w:eastAsia="宋体"/>
                <w:b/>
                <w:color w:val="auto"/>
                <w:kern w:val="0"/>
                <w:sz w:val="18"/>
                <w:szCs w:val="21"/>
                <w:highlight w:val="none"/>
                <w:u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u w:val="none"/>
              </w:rPr>
            </w:pPr>
            <w:r>
              <w:rPr>
                <w:rFonts w:hint="default" w:ascii="宋体" w:hAnsi="宋体" w:eastAsia="宋体"/>
                <w:color w:val="auto"/>
                <w:kern w:val="0"/>
                <w:sz w:val="18"/>
                <w:szCs w:val="21"/>
                <w:highlight w:val="none"/>
                <w:u w:val="none"/>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highlight w:val="none"/>
                <w:u w:val="none"/>
              </w:rPr>
              <w:t>Windows系统杀毒U盘、Linux系统杀毒U盘</w:t>
            </w:r>
          </w:p>
        </w:tc>
        <w:tc>
          <w:tcPr>
            <w:tcW w:w="3604"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highlight w:val="none"/>
                <w:u w:val="none"/>
              </w:rPr>
              <w:t>(1)接口传送速率不低于2.0； (2)容量:128GB ；(3)读取速率&gt;80MB/S,写入速率&gt;8MB/S ；(4)U盘可擦写次数大于10万次 ；(5)支持 Windows 及 Linux系统，4套为Windows系统杀毒U盘、4套为Linux系统杀毒U盘。 ；(6)U盘支持即插即用；（7）U盘采购日起三年，U盘出现质量问题由供应商负责更换需要再甲方通知后的15个工作日内完成补货；（8）防病毒引擎1套，3年服务期内提供免费病毒特征库升级；（9）服务期内提供防病毒软件安装服务；（10）杀毒U盘应能实现数据存储功能，对写入U盘的数据进行实时扫描保护，确保U盘存储数据安全。（11）配置专业USB接口的恶意软件扫描与清除工具，适用于网络隔离环境，离线设备，工业控制系统，封闭系统，无界面设备，及各种无法安装防病毒软件的环境。（1</w:t>
            </w:r>
            <w:r>
              <w:rPr>
                <w:rFonts w:hint="eastAsia"/>
                <w:highlight w:val="none"/>
                <w:u w:val="none"/>
                <w:lang w:val="en-US" w:eastAsia="zh-CN"/>
              </w:rPr>
              <w:t>2</w:t>
            </w:r>
            <w:r>
              <w:rPr>
                <w:rFonts w:hint="eastAsia"/>
                <w:highlight w:val="none"/>
                <w:u w:val="none"/>
              </w:rPr>
              <w:t>）支持病毒、木马、蠕虫等恶意代码查杀，支持快速、全盘、指定位置多种查杀方式，支持感染恶意代码文件的保存和导出。Windows、Linux及国产信创操作系统下具备访问控制、入侵防范、安全审计及恶意程序防范，病毒检测、病毒处理、策略自定义、隔离区管理、逃避检测防护、告警信息、日志、升级更新、异常文件处理功能。自主可控，支持离线更新病毒库。（1</w:t>
            </w:r>
            <w:r>
              <w:rPr>
                <w:rFonts w:hint="eastAsia"/>
                <w:highlight w:val="none"/>
                <w:u w:val="none"/>
                <w:lang w:val="en-US" w:eastAsia="zh-CN"/>
              </w:rPr>
              <w:t>3</w:t>
            </w:r>
            <w:r>
              <w:rPr>
                <w:rFonts w:hint="eastAsia"/>
                <w:highlight w:val="none"/>
                <w:u w:val="none"/>
              </w:rPr>
              <w:t>）定期(每3个月)安全巡检;（1</w:t>
            </w:r>
            <w:r>
              <w:rPr>
                <w:rFonts w:hint="eastAsia"/>
                <w:highlight w:val="none"/>
                <w:u w:val="none"/>
                <w:lang w:val="en-US" w:eastAsia="zh-CN"/>
              </w:rPr>
              <w:t>4</w:t>
            </w:r>
            <w:r>
              <w:rPr>
                <w:rFonts w:hint="eastAsia"/>
                <w:highlight w:val="none"/>
                <w:u w:val="none"/>
              </w:rPr>
              <w:t>）服务期内提供每周 7×24 小时的在线技术支持；（1</w:t>
            </w:r>
            <w:r>
              <w:rPr>
                <w:rFonts w:hint="eastAsia"/>
                <w:highlight w:val="none"/>
                <w:u w:val="none"/>
                <w:lang w:val="en-US" w:eastAsia="zh-CN"/>
              </w:rPr>
              <w:t>5</w:t>
            </w:r>
            <w:r>
              <w:rPr>
                <w:rFonts w:hint="eastAsia"/>
                <w:highlight w:val="none"/>
                <w:u w:val="none"/>
              </w:rPr>
              <w:t>）3年服务期内，紧急情况下提供派驻现场服务工程师的上门服务。</w:t>
            </w:r>
          </w:p>
        </w:tc>
        <w:tc>
          <w:tcPr>
            <w:tcW w:w="1206" w:type="dxa"/>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highlight w:val="none"/>
                <w:u w:val="none"/>
                <w:lang w:val="en-US" w:eastAsia="zh-CN" w:bidi="ar-SA"/>
              </w:rPr>
            </w:pPr>
            <w:r>
              <w:rPr>
                <w:rFonts w:hint="eastAsia" w:ascii="宋体" w:hAnsi="宋体" w:cs="宋体"/>
                <w:color w:val="auto"/>
                <w:kern w:val="2"/>
                <w:sz w:val="18"/>
                <w:szCs w:val="18"/>
                <w:highlight w:val="none"/>
                <w:u w:val="none"/>
                <w:lang w:val="en-US" w:eastAsia="zh-CN" w:bidi="ar-SA"/>
              </w:rPr>
              <w:t>无。</w:t>
            </w:r>
          </w:p>
        </w:tc>
        <w:tc>
          <w:tcPr>
            <w:tcW w:w="2732" w:type="dxa"/>
            <w:noWrap w:val="0"/>
            <w:vAlign w:val="center"/>
          </w:tcPr>
          <w:p>
            <w:pPr>
              <w:ind w:firstLine="1260" w:firstLineChars="600"/>
              <w:rPr>
                <w:highlight w:val="none"/>
                <w:u w:val="none"/>
              </w:rPr>
            </w:pPr>
            <w:r>
              <w:rPr>
                <w:rFonts w:hint="eastAsia"/>
                <w:highlight w:val="none"/>
                <w:u w:val="none"/>
              </w:rPr>
              <w:t xml:space="preserve"> </w:t>
            </w:r>
            <w:r>
              <w:rPr>
                <w:rFonts w:hint="eastAsia" w:ascii="宋体" w:hAnsi="宋体" w:cs="宋体"/>
                <w:color w:val="auto"/>
                <w:kern w:val="2"/>
                <w:sz w:val="18"/>
                <w:szCs w:val="18"/>
                <w:highlight w:val="none"/>
                <w:u w:val="none"/>
                <w:lang w:val="en-US" w:eastAsia="zh-CN" w:bidi="ar-SA"/>
              </w:rPr>
              <w:t>无。</w:t>
            </w:r>
          </w:p>
          <w:p>
            <w:pPr>
              <w:adjustRightInd w:val="0"/>
              <w:snapToGrid w:val="0"/>
              <w:spacing w:line="360" w:lineRule="auto"/>
              <w:jc w:val="both"/>
              <w:rPr>
                <w:rFonts w:hint="eastAsia" w:ascii="宋体" w:hAnsi="宋体" w:eastAsia="宋体" w:cs="宋体"/>
                <w:b w:val="0"/>
                <w:bCs w:val="0"/>
                <w:color w:val="FF0000"/>
                <w:kern w:val="0"/>
                <w:sz w:val="18"/>
                <w:szCs w:val="18"/>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default" w:ascii="宋体" w:hAnsi="宋体" w:eastAsia="宋体"/>
                <w:color w:val="auto"/>
                <w:kern w:val="0"/>
                <w:sz w:val="18"/>
                <w:szCs w:val="21"/>
                <w:highlight w:val="none"/>
                <w:u w:val="none"/>
              </w:rPr>
            </w:pP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none"/>
                <w:u w:val="none"/>
                <w:lang w:val="en-US" w:eastAsia="zh-CN"/>
              </w:rPr>
            </w:pPr>
          </w:p>
        </w:tc>
        <w:tc>
          <w:tcPr>
            <w:tcW w:w="3604" w:type="dxa"/>
            <w:noWrap w:val="0"/>
            <w:vAlign w:val="center"/>
          </w:tcPr>
          <w:p>
            <w:pPr>
              <w:adjustRightInd w:val="0"/>
              <w:snapToGrid w:val="0"/>
              <w:spacing w:beforeLines="0" w:afterLines="0" w:line="360" w:lineRule="auto"/>
              <w:jc w:val="center"/>
              <w:rPr>
                <w:rFonts w:hint="eastAsia" w:ascii="宋体" w:hAnsi="宋体" w:eastAsia="宋体" w:cs="宋体"/>
                <w:b w:val="0"/>
                <w:bCs w:val="0"/>
                <w:color w:val="auto"/>
                <w:kern w:val="0"/>
                <w:sz w:val="18"/>
                <w:szCs w:val="18"/>
                <w:highlight w:val="none"/>
                <w:u w:val="none"/>
                <w:lang w:val="en-US" w:eastAsia="zh-CN"/>
              </w:rPr>
            </w:pPr>
          </w:p>
        </w:tc>
        <w:tc>
          <w:tcPr>
            <w:tcW w:w="1206"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u w:val="none"/>
                <w:lang w:val="en-US" w:eastAsia="zh-CN" w:bidi="ar-SA"/>
              </w:rPr>
            </w:pP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none"/>
                <w:u w:val="none"/>
                <w:lang w:val="en-US" w:eastAsia="zh-CN"/>
              </w:rPr>
            </w:pPr>
          </w:p>
        </w:tc>
      </w:tr>
    </w:tbl>
    <w:p>
      <w:pPr>
        <w:rPr>
          <w:rFonts w:hint="eastAsia"/>
          <w:color w:val="auto"/>
          <w:highlight w:val="none"/>
          <w:u w:val="none"/>
          <w:lang w:val="en-US" w:eastAsia="zh-CN"/>
        </w:rPr>
      </w:pPr>
    </w:p>
    <w:p>
      <w:pPr>
        <w:pStyle w:val="2"/>
        <w:rPr>
          <w:rFonts w:hint="eastAsia"/>
          <w:color w:val="auto"/>
          <w:highlight w:val="none"/>
          <w:u w:val="none"/>
          <w:lang w:val="en-US" w:eastAsia="zh-CN"/>
        </w:rPr>
      </w:pPr>
    </w:p>
    <w:p>
      <w:pPr>
        <w:pStyle w:val="2"/>
        <w:rPr>
          <w:rFonts w:hint="eastAsia"/>
          <w:color w:val="auto"/>
          <w:highlight w:val="none"/>
          <w:u w:val="none"/>
          <w:lang w:val="en-US" w:eastAsia="zh-CN"/>
        </w:rPr>
      </w:pPr>
    </w:p>
    <w:p>
      <w:pPr>
        <w:pStyle w:val="3"/>
        <w:rPr>
          <w:rFonts w:hint="eastAsia"/>
          <w:color w:val="auto"/>
          <w:highlight w:val="none"/>
          <w:u w:val="none"/>
          <w:lang w:val="en-US" w:eastAsia="zh-CN"/>
        </w:rPr>
      </w:pPr>
    </w:p>
    <w:p>
      <w:pPr>
        <w:rPr>
          <w:rFonts w:hint="eastAsia"/>
          <w:color w:val="auto"/>
          <w:highlight w:val="none"/>
          <w:u w:val="none"/>
          <w:lang w:val="en-US" w:eastAsia="zh-CN"/>
        </w:rPr>
      </w:pPr>
    </w:p>
    <w:p>
      <w:pPr>
        <w:pStyle w:val="2"/>
        <w:rPr>
          <w:rFonts w:hint="eastAsia"/>
          <w:color w:val="auto"/>
          <w:highlight w:val="none"/>
          <w:u w:val="none"/>
          <w:lang w:val="en-US" w:eastAsia="zh-CN"/>
        </w:rPr>
      </w:pPr>
    </w:p>
    <w:p>
      <w:pPr>
        <w:pStyle w:val="3"/>
        <w:rPr>
          <w:rFonts w:hint="eastAsia"/>
          <w:color w:val="auto"/>
          <w:highlight w:val="none"/>
          <w:u w:val="none"/>
          <w:lang w:val="en-US" w:eastAsia="zh-CN"/>
        </w:rPr>
      </w:pPr>
    </w:p>
    <w:p>
      <w:pPr>
        <w:rPr>
          <w:rFonts w:hint="eastAsia"/>
          <w:color w:val="auto"/>
          <w:highlight w:val="none"/>
          <w:u w:val="none"/>
          <w:lang w:val="en-US" w:eastAsia="zh-CN"/>
        </w:rPr>
      </w:pPr>
    </w:p>
    <w:p>
      <w:pPr>
        <w:pStyle w:val="2"/>
        <w:rPr>
          <w:rFonts w:hint="eastAsia"/>
          <w:highlight w:val="none"/>
          <w:u w:val="none"/>
          <w:lang w:val="en-US" w:eastAsia="zh-CN"/>
        </w:rPr>
      </w:pPr>
    </w:p>
    <w:p>
      <w:pPr>
        <w:pStyle w:val="2"/>
        <w:rPr>
          <w:rFonts w:hint="eastAsia"/>
          <w:color w:val="auto"/>
          <w:highlight w:val="none"/>
          <w:u w:val="none"/>
          <w:lang w:val="en-US" w:eastAsia="zh-CN"/>
        </w:rPr>
      </w:pPr>
    </w:p>
    <w:p>
      <w:pPr>
        <w:pStyle w:val="3"/>
        <w:rPr>
          <w:rFonts w:hint="eastAsia"/>
          <w:color w:val="auto"/>
          <w:highlight w:val="none"/>
          <w:u w:val="none"/>
          <w:lang w:val="en-US" w:eastAsia="zh-CN"/>
        </w:rPr>
      </w:pPr>
    </w:p>
    <w:p>
      <w:pPr>
        <w:rPr>
          <w:rFonts w:hint="eastAsia"/>
          <w:color w:val="auto"/>
          <w:highlight w:val="none"/>
          <w:u w:val="none"/>
          <w:lang w:val="en-US" w:eastAsia="zh-CN"/>
        </w:rPr>
      </w:pPr>
    </w:p>
    <w:p>
      <w:pPr>
        <w:numPr>
          <w:ilvl w:val="0"/>
          <w:numId w:val="1"/>
        </w:numPr>
        <w:spacing w:line="360" w:lineRule="auto"/>
        <w:jc w:val="left"/>
        <w:outlineLvl w:val="9"/>
        <w:rPr>
          <w:rFonts w:hint="eastAsia" w:ascii="Times New Roman" w:hAnsi="Times New Roman" w:eastAsia="宋体" w:cs="Times New Roman"/>
          <w:b/>
          <w:color w:val="auto"/>
          <w:sz w:val="28"/>
          <w:szCs w:val="28"/>
          <w:highlight w:val="none"/>
          <w:u w:val="none"/>
          <w:lang w:val="en-US" w:eastAsia="zh-CN"/>
        </w:rPr>
      </w:pPr>
      <w:r>
        <w:rPr>
          <w:rFonts w:hint="eastAsia" w:cs="Times New Roman"/>
          <w:b/>
          <w:color w:val="auto"/>
          <w:sz w:val="28"/>
          <w:szCs w:val="28"/>
          <w:highlight w:val="none"/>
          <w:u w:val="none"/>
          <w:lang w:val="en-US" w:eastAsia="zh-CN"/>
        </w:rPr>
        <w:t>联系人信息</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u w:val="none"/>
          <w:lang w:val="en-US" w:eastAsia="zh-CN"/>
        </w:rPr>
      </w:pPr>
      <w:r>
        <w:rPr>
          <w:rFonts w:hint="eastAsia" w:cs="Times New Roman"/>
          <w:b/>
          <w:color w:val="auto"/>
          <w:sz w:val="28"/>
          <w:szCs w:val="28"/>
          <w:highlight w:val="none"/>
          <w:u w:val="none"/>
          <w:lang w:val="en-US" w:eastAsia="zh-CN"/>
        </w:rPr>
        <w:t xml:space="preserve">                          ***公司（供应商填写）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u w:val="none"/>
                <w:vertAlign w:val="baseline"/>
                <w:lang w:val="en-US" w:eastAsia="zh-CN"/>
              </w:rPr>
            </w:pPr>
            <w:r>
              <w:rPr>
                <w:rFonts w:hint="eastAsia" w:cs="Times New Roman"/>
                <w:b/>
                <w:color w:val="auto"/>
                <w:sz w:val="28"/>
                <w:szCs w:val="28"/>
                <w:highlight w:val="none"/>
                <w:u w:val="none"/>
                <w:vertAlign w:val="baseline"/>
                <w:lang w:val="en-US" w:eastAsia="zh-CN"/>
              </w:rPr>
              <w:t>姓名</w:t>
            </w:r>
          </w:p>
        </w:tc>
        <w:tc>
          <w:tcPr>
            <w:tcW w:w="1626"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u w:val="none"/>
                <w:vertAlign w:val="baseline"/>
                <w:lang w:val="en-US" w:eastAsia="zh-CN"/>
              </w:rPr>
            </w:pPr>
            <w:r>
              <w:rPr>
                <w:rFonts w:hint="eastAsia" w:cs="Times New Roman"/>
                <w:b/>
                <w:color w:val="auto"/>
                <w:sz w:val="28"/>
                <w:szCs w:val="28"/>
                <w:highlight w:val="none"/>
                <w:u w:val="none"/>
                <w:vertAlign w:val="baseline"/>
                <w:lang w:val="en-US" w:eastAsia="zh-CN"/>
              </w:rPr>
              <w:t>职务</w:t>
            </w:r>
          </w:p>
        </w:tc>
        <w:tc>
          <w:tcPr>
            <w:tcW w:w="1704"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u w:val="none"/>
                <w:vertAlign w:val="baseline"/>
                <w:lang w:val="en-US" w:eastAsia="zh-CN" w:bidi="ar-SA"/>
              </w:rPr>
            </w:pPr>
            <w:r>
              <w:rPr>
                <w:rFonts w:hint="eastAsia" w:cs="Times New Roman"/>
                <w:b/>
                <w:color w:val="auto"/>
                <w:sz w:val="28"/>
                <w:szCs w:val="28"/>
                <w:highlight w:val="none"/>
                <w:u w:val="none"/>
                <w:vertAlign w:val="baseline"/>
                <w:lang w:val="en-US" w:eastAsia="zh-CN"/>
              </w:rPr>
              <w:t>联系方式</w:t>
            </w:r>
          </w:p>
        </w:tc>
        <w:tc>
          <w:tcPr>
            <w:tcW w:w="1705"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u w:val="none"/>
                <w:vertAlign w:val="baseline"/>
                <w:lang w:val="en-US" w:eastAsia="zh-CN" w:bidi="ar-SA"/>
              </w:rPr>
            </w:pPr>
            <w:r>
              <w:rPr>
                <w:rFonts w:hint="eastAsia" w:cs="Times New Roman"/>
                <w:b/>
                <w:color w:val="auto"/>
                <w:sz w:val="28"/>
                <w:szCs w:val="28"/>
                <w:highlight w:val="none"/>
                <w:u w:val="none"/>
                <w:vertAlign w:val="baseline"/>
                <w:lang w:val="en-US" w:eastAsia="zh-CN"/>
              </w:rPr>
              <w:t>邮箱</w:t>
            </w: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r>
              <w:rPr>
                <w:rFonts w:hint="eastAsia" w:cs="Times New Roman"/>
                <w:b/>
                <w:color w:val="auto"/>
                <w:sz w:val="28"/>
                <w:szCs w:val="28"/>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vertAlign w:val="baseline"/>
                <w:lang w:val="en-US" w:eastAsia="zh-CN"/>
              </w:rPr>
            </w:pP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u w:val="none"/>
          <w:lang w:val="en-US" w:eastAsia="zh-CN"/>
        </w:rPr>
      </w:pPr>
      <w:r>
        <w:rPr>
          <w:rFonts w:hint="eastAsia" w:cs="Times New Roman"/>
          <w:b/>
          <w:color w:val="auto"/>
          <w:sz w:val="28"/>
          <w:szCs w:val="28"/>
          <w:highlight w:val="none"/>
          <w:u w:val="none"/>
          <w:lang w:val="en-US" w:eastAsia="zh-CN"/>
        </w:rPr>
        <w:t>为方便沟通，请将此项目联系人信息填写后，上传系统。</w:t>
      </w:r>
    </w:p>
    <w:p>
      <w:pPr>
        <w:pStyle w:val="2"/>
        <w:rPr>
          <w:rFonts w:hint="eastAsia"/>
          <w:color w:val="auto"/>
          <w:highlight w:val="none"/>
          <w:u w:val="none"/>
          <w:lang w:val="en-US" w:eastAsia="zh-CN"/>
        </w:rPr>
      </w:pPr>
    </w:p>
    <w:p>
      <w:pPr>
        <w:pStyle w:val="3"/>
        <w:rPr>
          <w:rFonts w:hint="eastAsia"/>
          <w:highlight w:val="none"/>
          <w:u w:val="none"/>
          <w:lang w:val="en-US" w:eastAsia="zh-CN"/>
        </w:rPr>
      </w:pPr>
    </w:p>
    <w:p>
      <w:pPr>
        <w:rPr>
          <w:highlight w:val="none"/>
          <w:u w:val="none"/>
        </w:rPr>
      </w:pPr>
    </w:p>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F56971"/>
    <w:multiLevelType w:val="singleLevel"/>
    <w:tmpl w:val="19F5697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F2710"/>
    <w:rsid w:val="005306C8"/>
    <w:rsid w:val="00743E81"/>
    <w:rsid w:val="00790700"/>
    <w:rsid w:val="00941B80"/>
    <w:rsid w:val="00A91657"/>
    <w:rsid w:val="00B563FA"/>
    <w:rsid w:val="00B5734B"/>
    <w:rsid w:val="00BF24D2"/>
    <w:rsid w:val="00C83FE0"/>
    <w:rsid w:val="00D4720A"/>
    <w:rsid w:val="00E54961"/>
    <w:rsid w:val="01014A28"/>
    <w:rsid w:val="0123364A"/>
    <w:rsid w:val="012A5FCF"/>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8334C"/>
    <w:rsid w:val="028950A1"/>
    <w:rsid w:val="028C43A1"/>
    <w:rsid w:val="02920A9A"/>
    <w:rsid w:val="02973B3D"/>
    <w:rsid w:val="029D636C"/>
    <w:rsid w:val="02B87B46"/>
    <w:rsid w:val="02C45CF6"/>
    <w:rsid w:val="02CB2C26"/>
    <w:rsid w:val="02CE29E4"/>
    <w:rsid w:val="02DA3B58"/>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97772C"/>
    <w:rsid w:val="08A33BB4"/>
    <w:rsid w:val="08A94117"/>
    <w:rsid w:val="08AD5F51"/>
    <w:rsid w:val="08BC08B5"/>
    <w:rsid w:val="08D66D28"/>
    <w:rsid w:val="08E14C97"/>
    <w:rsid w:val="08E93460"/>
    <w:rsid w:val="09021A29"/>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473C64"/>
    <w:rsid w:val="0B5C1AEB"/>
    <w:rsid w:val="0B6C711D"/>
    <w:rsid w:val="0B7F40B4"/>
    <w:rsid w:val="0B8348E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EC4CD3"/>
    <w:rsid w:val="10F22C94"/>
    <w:rsid w:val="10F45DD8"/>
    <w:rsid w:val="110E3883"/>
    <w:rsid w:val="1118633F"/>
    <w:rsid w:val="112E41A3"/>
    <w:rsid w:val="11357CF5"/>
    <w:rsid w:val="11537B7A"/>
    <w:rsid w:val="116F73AE"/>
    <w:rsid w:val="11743932"/>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950723"/>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56738"/>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9E6689"/>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7D1CF1"/>
    <w:rsid w:val="1D8433CC"/>
    <w:rsid w:val="1D9014C4"/>
    <w:rsid w:val="1D922B7A"/>
    <w:rsid w:val="1DB73B59"/>
    <w:rsid w:val="1DB855ED"/>
    <w:rsid w:val="1DC22608"/>
    <w:rsid w:val="1DCA4A23"/>
    <w:rsid w:val="1DD36B25"/>
    <w:rsid w:val="1DD70EB6"/>
    <w:rsid w:val="1DE32FBA"/>
    <w:rsid w:val="1DEC5012"/>
    <w:rsid w:val="1E0B3ACF"/>
    <w:rsid w:val="1E1D61BE"/>
    <w:rsid w:val="1E283427"/>
    <w:rsid w:val="1E537B50"/>
    <w:rsid w:val="1E5606FC"/>
    <w:rsid w:val="1E5B1EF7"/>
    <w:rsid w:val="1E8D00BC"/>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85B8F"/>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A751D6"/>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5DC5D6A"/>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A3285"/>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5B05D1"/>
    <w:rsid w:val="33745883"/>
    <w:rsid w:val="338029CF"/>
    <w:rsid w:val="33AF5B22"/>
    <w:rsid w:val="33CB6F7C"/>
    <w:rsid w:val="33CC3712"/>
    <w:rsid w:val="33D53007"/>
    <w:rsid w:val="33DC72F3"/>
    <w:rsid w:val="33EC1FB1"/>
    <w:rsid w:val="33F264C6"/>
    <w:rsid w:val="33F47E67"/>
    <w:rsid w:val="33F93E09"/>
    <w:rsid w:val="341C5B9F"/>
    <w:rsid w:val="34231B44"/>
    <w:rsid w:val="343164AB"/>
    <w:rsid w:val="345B0173"/>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834C6"/>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D46AC4"/>
    <w:rsid w:val="37E00C77"/>
    <w:rsid w:val="37F84EEB"/>
    <w:rsid w:val="37F93671"/>
    <w:rsid w:val="3802734B"/>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4F7085"/>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13CE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2E1C0C"/>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425B1E"/>
    <w:rsid w:val="41462A36"/>
    <w:rsid w:val="416D5F36"/>
    <w:rsid w:val="41793C8A"/>
    <w:rsid w:val="41846D32"/>
    <w:rsid w:val="4199428A"/>
    <w:rsid w:val="41BD0C14"/>
    <w:rsid w:val="41CA5C68"/>
    <w:rsid w:val="41DB145C"/>
    <w:rsid w:val="41F71EDB"/>
    <w:rsid w:val="41FD491F"/>
    <w:rsid w:val="42012231"/>
    <w:rsid w:val="420153BA"/>
    <w:rsid w:val="421B1084"/>
    <w:rsid w:val="42463CF2"/>
    <w:rsid w:val="424E7592"/>
    <w:rsid w:val="426C1C19"/>
    <w:rsid w:val="42745D96"/>
    <w:rsid w:val="42812AB4"/>
    <w:rsid w:val="42A70B14"/>
    <w:rsid w:val="42B14241"/>
    <w:rsid w:val="42C51575"/>
    <w:rsid w:val="4307269F"/>
    <w:rsid w:val="43253A48"/>
    <w:rsid w:val="432B47C2"/>
    <w:rsid w:val="432C1F9E"/>
    <w:rsid w:val="43326A55"/>
    <w:rsid w:val="434945A5"/>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0D1A6F"/>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CD72BE"/>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5B745A"/>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1B5647"/>
    <w:rsid w:val="51206DA2"/>
    <w:rsid w:val="51210FA7"/>
    <w:rsid w:val="51291F37"/>
    <w:rsid w:val="513064F5"/>
    <w:rsid w:val="513310BE"/>
    <w:rsid w:val="51375029"/>
    <w:rsid w:val="51442AF4"/>
    <w:rsid w:val="51455FB7"/>
    <w:rsid w:val="514B045C"/>
    <w:rsid w:val="51573814"/>
    <w:rsid w:val="51705C3A"/>
    <w:rsid w:val="51712D48"/>
    <w:rsid w:val="51742864"/>
    <w:rsid w:val="51746352"/>
    <w:rsid w:val="5178414B"/>
    <w:rsid w:val="517C45F7"/>
    <w:rsid w:val="51887CCA"/>
    <w:rsid w:val="51B371B0"/>
    <w:rsid w:val="51CC1389"/>
    <w:rsid w:val="51D75253"/>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3041A"/>
    <w:rsid w:val="540B3869"/>
    <w:rsid w:val="540D2C74"/>
    <w:rsid w:val="54147CEB"/>
    <w:rsid w:val="542441BC"/>
    <w:rsid w:val="542C110E"/>
    <w:rsid w:val="543B3CC9"/>
    <w:rsid w:val="543E164A"/>
    <w:rsid w:val="54492AD9"/>
    <w:rsid w:val="54586003"/>
    <w:rsid w:val="545D0932"/>
    <w:rsid w:val="545F1B52"/>
    <w:rsid w:val="5468342F"/>
    <w:rsid w:val="549439E0"/>
    <w:rsid w:val="54A00546"/>
    <w:rsid w:val="54AD2461"/>
    <w:rsid w:val="54B02E8A"/>
    <w:rsid w:val="54B722BA"/>
    <w:rsid w:val="54B83459"/>
    <w:rsid w:val="54B9376F"/>
    <w:rsid w:val="54BA7F0D"/>
    <w:rsid w:val="54C66634"/>
    <w:rsid w:val="54CF4FA8"/>
    <w:rsid w:val="54D72587"/>
    <w:rsid w:val="54E1404F"/>
    <w:rsid w:val="54FC0A73"/>
    <w:rsid w:val="54FE397E"/>
    <w:rsid w:val="54FF5920"/>
    <w:rsid w:val="550E35D1"/>
    <w:rsid w:val="551F5FB4"/>
    <w:rsid w:val="552B01BA"/>
    <w:rsid w:val="554C6A03"/>
    <w:rsid w:val="5564200D"/>
    <w:rsid w:val="55842B5D"/>
    <w:rsid w:val="55884349"/>
    <w:rsid w:val="55960CCF"/>
    <w:rsid w:val="55974162"/>
    <w:rsid w:val="55997E7C"/>
    <w:rsid w:val="55A35523"/>
    <w:rsid w:val="55C37936"/>
    <w:rsid w:val="55C969EE"/>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04666"/>
    <w:rsid w:val="5E46496A"/>
    <w:rsid w:val="5E4948EE"/>
    <w:rsid w:val="5E896E38"/>
    <w:rsid w:val="5E8B6933"/>
    <w:rsid w:val="5E911F90"/>
    <w:rsid w:val="5E9E5A46"/>
    <w:rsid w:val="5EA96F04"/>
    <w:rsid w:val="5EAC13C0"/>
    <w:rsid w:val="5EC26BA9"/>
    <w:rsid w:val="5ED0283E"/>
    <w:rsid w:val="5EDD6907"/>
    <w:rsid w:val="5EE66460"/>
    <w:rsid w:val="5EF64A0F"/>
    <w:rsid w:val="5F147B64"/>
    <w:rsid w:val="5F7E2B12"/>
    <w:rsid w:val="5F883B7D"/>
    <w:rsid w:val="5F9419F3"/>
    <w:rsid w:val="5FCD1CA8"/>
    <w:rsid w:val="5FE6750E"/>
    <w:rsid w:val="5FF91D1F"/>
    <w:rsid w:val="600B1588"/>
    <w:rsid w:val="60316920"/>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13E8C"/>
    <w:rsid w:val="625F3A33"/>
    <w:rsid w:val="62745445"/>
    <w:rsid w:val="627A102D"/>
    <w:rsid w:val="62805CDB"/>
    <w:rsid w:val="629D2E88"/>
    <w:rsid w:val="62A11F0A"/>
    <w:rsid w:val="62BD413E"/>
    <w:rsid w:val="62E26A95"/>
    <w:rsid w:val="62EB5099"/>
    <w:rsid w:val="62EB5772"/>
    <w:rsid w:val="62EC6150"/>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E9310A"/>
    <w:rsid w:val="67F24AE2"/>
    <w:rsid w:val="680841F7"/>
    <w:rsid w:val="68216248"/>
    <w:rsid w:val="6832491F"/>
    <w:rsid w:val="686A5143"/>
    <w:rsid w:val="68795A22"/>
    <w:rsid w:val="687B737E"/>
    <w:rsid w:val="68865177"/>
    <w:rsid w:val="68A4304D"/>
    <w:rsid w:val="68FA6995"/>
    <w:rsid w:val="69132EF3"/>
    <w:rsid w:val="693C63F2"/>
    <w:rsid w:val="69406316"/>
    <w:rsid w:val="695C20B0"/>
    <w:rsid w:val="69624533"/>
    <w:rsid w:val="696640E7"/>
    <w:rsid w:val="697E091A"/>
    <w:rsid w:val="699A256F"/>
    <w:rsid w:val="699D197B"/>
    <w:rsid w:val="69CD0F93"/>
    <w:rsid w:val="69CE6300"/>
    <w:rsid w:val="69E24BC0"/>
    <w:rsid w:val="69FD6498"/>
    <w:rsid w:val="6A292402"/>
    <w:rsid w:val="6A2B4A37"/>
    <w:rsid w:val="6A2F1500"/>
    <w:rsid w:val="6A394EAB"/>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EA02EE"/>
    <w:rsid w:val="6BFC1D45"/>
    <w:rsid w:val="6C07391E"/>
    <w:rsid w:val="6C0B0D2C"/>
    <w:rsid w:val="6C1741DA"/>
    <w:rsid w:val="6C18662D"/>
    <w:rsid w:val="6C235DEB"/>
    <w:rsid w:val="6C585147"/>
    <w:rsid w:val="6C58715E"/>
    <w:rsid w:val="6CA0671C"/>
    <w:rsid w:val="6CBE702B"/>
    <w:rsid w:val="6CCA2865"/>
    <w:rsid w:val="6CCD3E40"/>
    <w:rsid w:val="6CD4538A"/>
    <w:rsid w:val="6CDB520D"/>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FB6D13"/>
    <w:rsid w:val="6EFD5BBE"/>
    <w:rsid w:val="6F211D2D"/>
    <w:rsid w:val="6F281BA4"/>
    <w:rsid w:val="6F327323"/>
    <w:rsid w:val="6F333990"/>
    <w:rsid w:val="6F4540F7"/>
    <w:rsid w:val="6F59423B"/>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45817"/>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85826"/>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7B0F4D"/>
    <w:rsid w:val="758142BF"/>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ED2F50"/>
    <w:rsid w:val="77FC5A67"/>
    <w:rsid w:val="7800084F"/>
    <w:rsid w:val="78014A1B"/>
    <w:rsid w:val="78113C7A"/>
    <w:rsid w:val="783950C8"/>
    <w:rsid w:val="78497B22"/>
    <w:rsid w:val="784C43FC"/>
    <w:rsid w:val="78546FA4"/>
    <w:rsid w:val="786E1465"/>
    <w:rsid w:val="787B2A93"/>
    <w:rsid w:val="78801A14"/>
    <w:rsid w:val="78826E2B"/>
    <w:rsid w:val="788502F6"/>
    <w:rsid w:val="7885720D"/>
    <w:rsid w:val="78AA0BD1"/>
    <w:rsid w:val="78DF609B"/>
    <w:rsid w:val="78E54CAA"/>
    <w:rsid w:val="792D1339"/>
    <w:rsid w:val="793A6D81"/>
    <w:rsid w:val="794B4CA7"/>
    <w:rsid w:val="79566F7E"/>
    <w:rsid w:val="796D7D49"/>
    <w:rsid w:val="7976514A"/>
    <w:rsid w:val="79771BA0"/>
    <w:rsid w:val="79832A24"/>
    <w:rsid w:val="798B03F2"/>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91495"/>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乔柱桥</cp:lastModifiedBy>
  <dcterms:modified xsi:type="dcterms:W3CDTF">2024-08-13T02:46:36Z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8FF852C427A84FB3A431359C96ED9233</vt:lpwstr>
  </property>
</Properties>
</file>