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东方</w:t>
      </w:r>
      <w:r>
        <w:rPr>
          <w:rFonts w:hint="eastAsia" w:ascii="方正小标宋_GBK" w:hAnsi="方正小标宋_GBK" w:eastAsia="方正小标宋_GBK" w:cs="方正小标宋_GBK"/>
          <w:b w:val="0"/>
          <w:bCs w:val="0"/>
          <w:sz w:val="44"/>
          <w:szCs w:val="44"/>
          <w:lang w:eastAsia="zh-CN"/>
        </w:rPr>
        <w:t>供电局</w:t>
      </w:r>
      <w:r>
        <w:rPr>
          <w:rFonts w:hint="eastAsia" w:ascii="方正小标宋_GBK" w:hAnsi="方正小标宋_GBK" w:eastAsia="方正小标宋_GBK" w:cs="方正小标宋_GBK"/>
          <w:b w:val="0"/>
          <w:bCs w:val="0"/>
          <w:sz w:val="44"/>
          <w:szCs w:val="44"/>
          <w:lang w:val="en-US" w:eastAsia="zh-CN"/>
        </w:rPr>
        <w:t>2024年市场营销部高压</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default" w:ascii="方正小标宋_GBK" w:hAnsi="方正小标宋_GBK" w:eastAsia="方正小标宋_GBK" w:cs="方正小标宋_GBK"/>
          <w:b w:val="0"/>
          <w:bCs w:val="0"/>
          <w:sz w:val="44"/>
          <w:szCs w:val="44"/>
          <w:lang w:val="en-US"/>
        </w:rPr>
      </w:pPr>
      <w:r>
        <w:rPr>
          <w:rFonts w:hint="eastAsia" w:ascii="方正小标宋_GBK" w:hAnsi="方正小标宋_GBK" w:eastAsia="方正小标宋_GBK" w:cs="方正小标宋_GBK"/>
          <w:b w:val="0"/>
          <w:bCs w:val="0"/>
          <w:sz w:val="44"/>
          <w:szCs w:val="44"/>
          <w:lang w:val="en-US" w:eastAsia="zh-CN"/>
        </w:rPr>
        <w:t>专变客户档案整理采购方案</w:t>
      </w:r>
    </w:p>
    <w:p>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为规范</w:t>
      </w:r>
      <w:r>
        <w:rPr>
          <w:rFonts w:hint="eastAsia" w:ascii="仿宋_GB2312" w:hAnsi="仿宋_GB2312" w:eastAsia="仿宋_GB2312" w:cs="仿宋_GB2312"/>
          <w:sz w:val="32"/>
          <w:szCs w:val="32"/>
          <w:lang w:val="en-US" w:eastAsia="zh-CN"/>
        </w:rPr>
        <w:t>东方</w:t>
      </w:r>
      <w:r>
        <w:rPr>
          <w:rFonts w:hint="eastAsia" w:ascii="仿宋_GB2312" w:hAnsi="仿宋_GB2312" w:eastAsia="仿宋_GB2312" w:cs="仿宋_GB2312"/>
          <w:sz w:val="32"/>
          <w:szCs w:val="32"/>
          <w:lang w:eastAsia="zh-CN"/>
        </w:rPr>
        <w:t>供电局</w:t>
      </w:r>
      <w:r>
        <w:rPr>
          <w:rFonts w:hint="eastAsia" w:ascii="仿宋_GB2312" w:hAnsi="仿宋_GB2312" w:eastAsia="仿宋_GB2312" w:cs="仿宋_GB2312"/>
          <w:sz w:val="32"/>
          <w:szCs w:val="32"/>
          <w:lang w:val="en-US" w:eastAsia="zh-CN"/>
        </w:rPr>
        <w:t>市场营销部高压专变客户档案整理</w:t>
      </w:r>
      <w:r>
        <w:rPr>
          <w:rFonts w:hint="eastAsia" w:ascii="仿宋_GB2312" w:hAnsi="仿宋_GB2312" w:eastAsia="仿宋_GB2312" w:cs="仿宋_GB2312"/>
          <w:sz w:val="32"/>
          <w:szCs w:val="32"/>
          <w:lang w:eastAsia="zh-CN"/>
        </w:rPr>
        <w:t>工作，根据《海南电网有限责任公司零星采购业务指导书（202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年版）》相关规定，制定本</w:t>
      </w:r>
      <w:r>
        <w:rPr>
          <w:rFonts w:hint="eastAsia" w:ascii="仿宋_GB2312" w:hAnsi="仿宋_GB2312" w:eastAsia="仿宋_GB2312" w:cs="仿宋_GB2312"/>
          <w:sz w:val="32"/>
          <w:szCs w:val="32"/>
        </w:rPr>
        <w:t>方案</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一、采购信息</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val="en-US" w:eastAsia="zh-CN"/>
        </w:rPr>
      </w:pPr>
      <w:r>
        <w:rPr>
          <w:rFonts w:hint="eastAsia" w:ascii="楷体_GB2312" w:hAnsi="楷体_GB2312" w:eastAsia="楷体_GB2312" w:cs="楷体_GB2312"/>
          <w:snapToGrid w:val="0"/>
          <w:color w:val="000000"/>
          <w:kern w:val="0"/>
          <w:sz w:val="32"/>
          <w:szCs w:val="32"/>
          <w:lang w:eastAsia="zh-CN"/>
        </w:rPr>
        <w:t>（一）项目名称：</w:t>
      </w:r>
      <w:r>
        <w:rPr>
          <w:rFonts w:hint="eastAsia" w:ascii="楷体_GB2312" w:hAnsi="楷体_GB2312" w:eastAsia="楷体_GB2312" w:cs="楷体_GB2312"/>
          <w:snapToGrid w:val="0"/>
          <w:color w:val="000000"/>
          <w:kern w:val="0"/>
          <w:sz w:val="32"/>
          <w:szCs w:val="32"/>
          <w:lang w:val="en-US" w:eastAsia="zh-CN"/>
        </w:rPr>
        <w:t>东方</w:t>
      </w:r>
      <w:r>
        <w:rPr>
          <w:rFonts w:hint="eastAsia" w:ascii="楷体_GB2312" w:hAnsi="楷体_GB2312" w:eastAsia="楷体_GB2312" w:cs="楷体_GB2312"/>
          <w:snapToGrid w:val="0"/>
          <w:color w:val="000000"/>
          <w:kern w:val="0"/>
          <w:sz w:val="32"/>
          <w:szCs w:val="32"/>
          <w:lang w:eastAsia="zh-CN"/>
        </w:rPr>
        <w:t>供电局</w:t>
      </w:r>
      <w:r>
        <w:rPr>
          <w:rFonts w:hint="eastAsia" w:ascii="楷体_GB2312" w:hAnsi="楷体_GB2312" w:eastAsia="楷体_GB2312" w:cs="楷体_GB2312"/>
          <w:snapToGrid w:val="0"/>
          <w:color w:val="000000"/>
          <w:kern w:val="0"/>
          <w:sz w:val="32"/>
          <w:szCs w:val="32"/>
          <w:lang w:val="en-US" w:eastAsia="zh-CN"/>
        </w:rPr>
        <w:t>2024年市场营销部高压</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val="en-US" w:eastAsia="zh-CN"/>
        </w:rPr>
        <w:t>专变客户档案整理。</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（二）资金来源：外部劳务费。</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（三）资金落实情况：已下达</w:t>
      </w:r>
      <w:r>
        <w:rPr>
          <w:rFonts w:hint="eastAsia" w:ascii="楷体_GB2312" w:hAnsi="楷体_GB2312" w:eastAsia="楷体_GB2312" w:cs="楷体_GB2312"/>
          <w:snapToGrid w:val="0"/>
          <w:color w:val="000000"/>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val="en-US" w:eastAsia="zh-CN"/>
        </w:rPr>
        <w:t>（四）采购方式：零星采购。</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val="en-US" w:eastAsia="zh-CN"/>
        </w:rPr>
      </w:pPr>
      <w:r>
        <w:rPr>
          <w:rFonts w:hint="eastAsia" w:ascii="楷体_GB2312" w:hAnsi="楷体_GB2312" w:eastAsia="楷体_GB2312" w:cs="楷体_GB2312"/>
          <w:snapToGrid w:val="0"/>
          <w:color w:val="000000"/>
          <w:kern w:val="0"/>
          <w:sz w:val="32"/>
          <w:szCs w:val="32"/>
          <w:lang w:val="en-US" w:eastAsia="zh-CN"/>
        </w:rPr>
        <w:t>（五）项目实施地点：东方供电局市场营销部</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（六）承办部门：</w:t>
      </w:r>
      <w:r>
        <w:rPr>
          <w:rFonts w:hint="eastAsia" w:ascii="楷体_GB2312" w:hAnsi="楷体_GB2312" w:eastAsia="楷体_GB2312" w:cs="楷体_GB2312"/>
          <w:snapToGrid w:val="0"/>
          <w:color w:val="000000"/>
          <w:kern w:val="0"/>
          <w:sz w:val="32"/>
          <w:szCs w:val="32"/>
          <w:lang w:val="en-US" w:eastAsia="zh-CN"/>
        </w:rPr>
        <w:t>东方</w:t>
      </w:r>
      <w:r>
        <w:rPr>
          <w:rFonts w:hint="eastAsia" w:ascii="楷体_GB2312" w:hAnsi="楷体_GB2312" w:eastAsia="楷体_GB2312" w:cs="楷体_GB2312"/>
          <w:snapToGrid w:val="0"/>
          <w:color w:val="000000"/>
          <w:kern w:val="0"/>
          <w:sz w:val="32"/>
          <w:szCs w:val="32"/>
          <w:lang w:eastAsia="zh-CN"/>
        </w:rPr>
        <w:t>供电局</w:t>
      </w:r>
      <w:r>
        <w:rPr>
          <w:rFonts w:hint="eastAsia" w:ascii="楷体_GB2312" w:hAnsi="楷体_GB2312" w:eastAsia="楷体_GB2312" w:cs="楷体_GB2312"/>
          <w:snapToGrid w:val="0"/>
          <w:color w:val="000000"/>
          <w:kern w:val="0"/>
          <w:sz w:val="32"/>
          <w:szCs w:val="32"/>
          <w:lang w:val="en-US" w:eastAsia="zh-CN"/>
        </w:rPr>
        <w:t>市场营销部</w:t>
      </w:r>
      <w:r>
        <w:rPr>
          <w:rFonts w:hint="eastAsia" w:ascii="楷体_GB2312" w:hAnsi="楷体_GB2312" w:eastAsia="楷体_GB2312" w:cs="楷体_GB2312"/>
          <w:snapToGrid w:val="0"/>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（七）合同履行计划于</w:t>
      </w:r>
      <w:r>
        <w:rPr>
          <w:rFonts w:hint="eastAsia" w:ascii="楷体_GB2312" w:hAnsi="楷体_GB2312" w:eastAsia="楷体_GB2312" w:cs="楷体_GB2312"/>
          <w:snapToGrid w:val="0"/>
          <w:color w:val="000000"/>
          <w:kern w:val="0"/>
          <w:sz w:val="32"/>
          <w:szCs w:val="32"/>
          <w:lang w:val="en-US" w:eastAsia="zh-CN"/>
        </w:rPr>
        <w:t>2024年8月23日</w:t>
      </w:r>
      <w:r>
        <w:rPr>
          <w:rFonts w:hint="eastAsia" w:ascii="楷体_GB2312" w:hAnsi="楷体_GB2312" w:eastAsia="楷体_GB2312" w:cs="楷体_GB2312"/>
          <w:snapToGrid w:val="0"/>
          <w:color w:val="000000"/>
          <w:kern w:val="0"/>
          <w:sz w:val="32"/>
          <w:szCs w:val="32"/>
          <w:lang w:eastAsia="zh-CN"/>
        </w:rPr>
        <w:t>至</w:t>
      </w:r>
      <w:r>
        <w:rPr>
          <w:rFonts w:hint="eastAsia" w:ascii="楷体_GB2312" w:hAnsi="楷体_GB2312" w:eastAsia="楷体_GB2312" w:cs="楷体_GB2312"/>
          <w:snapToGrid w:val="0"/>
          <w:color w:val="000000"/>
          <w:kern w:val="0"/>
          <w:sz w:val="32"/>
          <w:szCs w:val="32"/>
          <w:lang w:val="en-US" w:eastAsia="zh-CN"/>
        </w:rPr>
        <w:t>2024年11月30日</w:t>
      </w:r>
      <w:r>
        <w:rPr>
          <w:rFonts w:hint="eastAsia" w:ascii="楷体_GB2312" w:hAnsi="楷体_GB2312" w:eastAsia="楷体_GB2312" w:cs="楷体_GB2312"/>
          <w:snapToGrid w:val="0"/>
          <w:color w:val="000000"/>
          <w:kern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lang w:eastAsia="zh-CN"/>
        </w:rPr>
        <w:t>采购物清单</w:t>
      </w:r>
    </w:p>
    <w:tbl>
      <w:tblPr>
        <w:tblStyle w:val="9"/>
        <w:tblW w:w="7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278"/>
        <w:gridCol w:w="1097"/>
        <w:gridCol w:w="150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2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color w:val="auto"/>
                <w:sz w:val="22"/>
                <w:szCs w:val="22"/>
              </w:rPr>
            </w:pPr>
            <w:r>
              <w:rPr>
                <w:rFonts w:hint="eastAsia" w:ascii="仿宋_GB2312" w:hAnsi="仿宋_GB2312" w:eastAsia="仿宋_GB2312" w:cs="仿宋_GB2312"/>
                <w:b/>
                <w:bCs/>
                <w:color w:val="auto"/>
                <w:sz w:val="22"/>
                <w:szCs w:val="22"/>
                <w:highlight w:val="none"/>
                <w:u w:val="none"/>
                <w:vertAlign w:val="baseline"/>
                <w:lang w:val="en-US" w:eastAsia="zh-CN"/>
              </w:rPr>
              <w:t>序号</w:t>
            </w:r>
          </w:p>
        </w:tc>
        <w:tc>
          <w:tcPr>
            <w:tcW w:w="227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color w:val="auto"/>
                <w:sz w:val="22"/>
                <w:szCs w:val="22"/>
              </w:rPr>
            </w:pPr>
            <w:r>
              <w:rPr>
                <w:rFonts w:hint="eastAsia" w:ascii="仿宋_GB2312" w:hAnsi="仿宋_GB2312" w:eastAsia="仿宋_GB2312" w:cs="仿宋_GB2312"/>
                <w:b/>
                <w:bCs/>
                <w:color w:val="auto"/>
                <w:sz w:val="22"/>
                <w:szCs w:val="22"/>
                <w:highlight w:val="none"/>
                <w:u w:val="none"/>
                <w:vertAlign w:val="baseline"/>
                <w:lang w:val="en-US" w:eastAsia="zh-CN"/>
              </w:rPr>
              <w:t>名称</w:t>
            </w:r>
          </w:p>
        </w:tc>
        <w:tc>
          <w:tcPr>
            <w:tcW w:w="109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color w:val="auto"/>
                <w:sz w:val="22"/>
                <w:szCs w:val="22"/>
                <w:lang w:val="en-US" w:eastAsia="zh-CN"/>
              </w:rPr>
            </w:pPr>
            <w:r>
              <w:rPr>
                <w:rFonts w:hint="eastAsia" w:ascii="仿宋_GB2312" w:hAnsi="仿宋_GB2312" w:eastAsia="仿宋_GB2312" w:cs="仿宋_GB2312"/>
                <w:b/>
                <w:bCs/>
                <w:color w:val="auto"/>
                <w:sz w:val="22"/>
                <w:szCs w:val="22"/>
                <w:lang w:val="en-US" w:eastAsia="zh-CN"/>
              </w:rPr>
              <w:t>数量</w:t>
            </w:r>
          </w:p>
        </w:tc>
        <w:tc>
          <w:tcPr>
            <w:tcW w:w="15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color w:val="auto"/>
                <w:sz w:val="22"/>
                <w:szCs w:val="22"/>
                <w:highlight w:val="none"/>
                <w:u w:val="none"/>
                <w:vertAlign w:val="baseline"/>
                <w:lang w:val="en-US" w:eastAsia="zh-CN"/>
              </w:rPr>
            </w:pPr>
            <w:r>
              <w:rPr>
                <w:rFonts w:hint="eastAsia" w:ascii="仿宋_GB2312" w:hAnsi="仿宋_GB2312" w:eastAsia="仿宋_GB2312" w:cs="仿宋_GB2312"/>
                <w:b/>
                <w:bCs/>
                <w:color w:val="auto"/>
                <w:sz w:val="22"/>
                <w:szCs w:val="22"/>
                <w:highlight w:val="none"/>
                <w:u w:val="none"/>
                <w:vertAlign w:val="baseline"/>
                <w:lang w:val="en-US" w:eastAsia="zh-CN"/>
              </w:rPr>
              <w:t>计量单位</w:t>
            </w:r>
          </w:p>
        </w:tc>
        <w:tc>
          <w:tcPr>
            <w:tcW w:w="11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color w:val="auto"/>
                <w:sz w:val="22"/>
                <w:szCs w:val="22"/>
              </w:rPr>
            </w:pPr>
            <w:r>
              <w:rPr>
                <w:rFonts w:hint="eastAsia" w:ascii="仿宋_GB2312" w:hAnsi="仿宋_GB2312" w:eastAsia="仿宋_GB2312" w:cs="仿宋_GB2312"/>
                <w:b/>
                <w:bCs/>
                <w:color w:val="auto"/>
                <w:sz w:val="22"/>
                <w:szCs w:val="22"/>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2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highlight w:val="none"/>
                <w:u w:val="none"/>
                <w:vertAlign w:val="baseline"/>
                <w:lang w:val="en-US" w:eastAsia="zh-CN"/>
              </w:rPr>
              <w:t>1</w:t>
            </w:r>
          </w:p>
        </w:tc>
        <w:tc>
          <w:tcPr>
            <w:tcW w:w="227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b w:val="0"/>
                <w:bCs w:val="0"/>
                <w:sz w:val="28"/>
                <w:szCs w:val="28"/>
                <w:lang w:val="en-US" w:eastAsia="zh-CN"/>
              </w:rPr>
              <w:t>营销部高压专变客户档案整理</w:t>
            </w:r>
          </w:p>
        </w:tc>
        <w:tc>
          <w:tcPr>
            <w:tcW w:w="109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1100</w:t>
            </w:r>
          </w:p>
        </w:tc>
        <w:tc>
          <w:tcPr>
            <w:tcW w:w="15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highlight w:val="none"/>
                <w:u w:val="none"/>
                <w:vertAlign w:val="baseline"/>
                <w:lang w:val="en-US" w:eastAsia="zh-CN"/>
              </w:rPr>
            </w:pPr>
            <w:r>
              <w:rPr>
                <w:rFonts w:hint="eastAsia" w:ascii="仿宋_GB2312" w:hAnsi="仿宋_GB2312" w:eastAsia="仿宋_GB2312" w:cs="仿宋_GB2312"/>
                <w:color w:val="auto"/>
                <w:sz w:val="28"/>
                <w:szCs w:val="28"/>
                <w:highlight w:val="none"/>
                <w:u w:val="none"/>
                <w:vertAlign w:val="baseline"/>
                <w:lang w:val="en-US" w:eastAsia="zh-CN"/>
              </w:rPr>
              <w:t>份</w:t>
            </w:r>
          </w:p>
        </w:tc>
        <w:tc>
          <w:tcPr>
            <w:tcW w:w="11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outlineLvl w:val="9"/>
        <w:rPr>
          <w:rFonts w:hint="eastAsia" w:ascii="仿宋_GB2312" w:hAnsi="仿宋_GB2312" w:eastAsia="仿宋_GB2312" w:cs="仿宋_GB2312"/>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outlineLvl w:val="9"/>
        <w:rPr>
          <w:rFonts w:hint="eastAsia" w:ascii="仿宋_GB2312" w:hAnsi="仿宋_GB2312" w:eastAsia="仿宋_GB2312" w:cs="仿宋_GB2312"/>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outlineLvl w:val="9"/>
        <w:rPr>
          <w:rFonts w:hint="eastAsia" w:ascii="仿宋_GB2312" w:hAnsi="仿宋_GB2312" w:eastAsia="仿宋_GB2312" w:cs="仿宋_GB2312"/>
          <w:b/>
          <w:bCs/>
          <w:sz w:val="32"/>
          <w:szCs w:val="32"/>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三、资格要求</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val="en-US" w:eastAsia="zh-CN"/>
        </w:rPr>
      </w:pPr>
      <w:r>
        <w:rPr>
          <w:rFonts w:hint="eastAsia" w:ascii="楷体_GB2312" w:hAnsi="楷体_GB2312" w:eastAsia="楷体_GB2312" w:cs="楷体_GB2312"/>
          <w:snapToGrid w:val="0"/>
          <w:color w:val="000000"/>
          <w:kern w:val="0"/>
          <w:sz w:val="32"/>
          <w:szCs w:val="32"/>
          <w:lang w:eastAsia="zh-CN"/>
        </w:rPr>
        <w:t>（</w:t>
      </w:r>
      <w:r>
        <w:rPr>
          <w:rFonts w:hint="eastAsia" w:ascii="楷体_GB2312" w:hAnsi="楷体_GB2312" w:eastAsia="楷体_GB2312" w:cs="楷体_GB2312"/>
          <w:snapToGrid w:val="0"/>
          <w:color w:val="000000"/>
          <w:kern w:val="0"/>
          <w:sz w:val="32"/>
          <w:szCs w:val="32"/>
          <w:lang w:val="en-US" w:eastAsia="zh-CN"/>
        </w:rPr>
        <w:t>一</w:t>
      </w:r>
      <w:r>
        <w:rPr>
          <w:rFonts w:hint="eastAsia" w:ascii="楷体_GB2312" w:hAnsi="楷体_GB2312" w:eastAsia="楷体_GB2312" w:cs="楷体_GB2312"/>
          <w:snapToGrid w:val="0"/>
          <w:color w:val="000000"/>
          <w:kern w:val="0"/>
          <w:sz w:val="32"/>
          <w:szCs w:val="32"/>
          <w:lang w:eastAsia="zh-CN"/>
        </w:rPr>
        <w:t>）</w:t>
      </w:r>
      <w:r>
        <w:rPr>
          <w:rFonts w:hint="eastAsia" w:ascii="楷体_GB2312" w:hAnsi="楷体_GB2312" w:eastAsia="楷体_GB2312" w:cs="楷体_GB2312"/>
          <w:snapToGrid w:val="0"/>
          <w:color w:val="000000"/>
          <w:kern w:val="0"/>
          <w:sz w:val="32"/>
          <w:szCs w:val="32"/>
          <w:lang w:val="en-US" w:eastAsia="zh-CN"/>
        </w:rPr>
        <w:t>通用资格要求</w:t>
      </w:r>
    </w:p>
    <w:tbl>
      <w:tblPr>
        <w:tblStyle w:val="8"/>
        <w:tblW w:w="8702" w:type="dxa"/>
        <w:jc w:val="center"/>
        <w:tblLayout w:type="fixed"/>
        <w:tblCellMar>
          <w:top w:w="0" w:type="dxa"/>
          <w:left w:w="0" w:type="dxa"/>
          <w:bottom w:w="0" w:type="dxa"/>
          <w:right w:w="0" w:type="dxa"/>
        </w:tblCellMar>
      </w:tblPr>
      <w:tblGrid>
        <w:gridCol w:w="1188"/>
        <w:gridCol w:w="7514"/>
      </w:tblGrid>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内容</w:t>
            </w:r>
          </w:p>
        </w:tc>
      </w:tr>
      <w:tr>
        <w:tblPrEx>
          <w:tblCellMar>
            <w:top w:w="0" w:type="dxa"/>
            <w:left w:w="0" w:type="dxa"/>
            <w:bottom w:w="0" w:type="dxa"/>
            <w:right w:w="0" w:type="dxa"/>
          </w:tblCellMar>
        </w:tblPrEx>
        <w:trPr>
          <w:trHeight w:val="122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在中华人民共和国境内注册，具备独立法人资格，持有合法有效的法人证书（或法人身份证明文件）。</w:t>
            </w:r>
          </w:p>
        </w:tc>
      </w:tr>
      <w:tr>
        <w:tblPrEx>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具有良好的社会信誉，在最近三年内没有骗取中标（隐瞒或提供虚假资料等）行为和严重违法、违约记录。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报价供应商</w:t>
            </w:r>
            <w:r>
              <w:rPr>
                <w:rFonts w:hint="eastAsia" w:ascii="仿宋_GB2312" w:hAnsi="仿宋_GB2312" w:eastAsia="仿宋_GB2312" w:cs="仿宋_GB2312"/>
                <w:sz w:val="32"/>
                <w:szCs w:val="32"/>
              </w:rPr>
              <w:t>具有良好信誉，在以往经营中无任何</w:t>
            </w:r>
            <w:r>
              <w:rPr>
                <w:rFonts w:hint="eastAsia" w:ascii="仿宋_GB2312" w:hAnsi="仿宋_GB2312" w:eastAsia="仿宋_GB2312" w:cs="仿宋_GB2312"/>
                <w:sz w:val="32"/>
                <w:szCs w:val="32"/>
                <w:lang w:eastAsia="zh-CN"/>
              </w:rPr>
              <w:t>质量</w:t>
            </w:r>
            <w:r>
              <w:rPr>
                <w:rFonts w:hint="eastAsia" w:ascii="仿宋_GB2312" w:hAnsi="仿宋_GB2312" w:eastAsia="仿宋_GB2312" w:cs="仿宋_GB2312"/>
                <w:sz w:val="32"/>
                <w:szCs w:val="32"/>
              </w:rPr>
              <w:t>、安全等方面的不良记录。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列入南方电网有限责任公司黑名单供应商，不得对其进行采购。</w:t>
            </w:r>
          </w:p>
        </w:tc>
      </w:tr>
    </w:tbl>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（二）服务地点及要求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CN"/>
        </w:rPr>
        <w:t>服务地点：</w:t>
      </w:r>
      <w:r>
        <w:rPr>
          <w:rFonts w:hint="eastAsia" w:ascii="仿宋_GB2312" w:hAnsi="仿宋_GB2312" w:eastAsia="仿宋_GB2312" w:cs="仿宋_GB2312"/>
          <w:color w:val="auto"/>
          <w:sz w:val="32"/>
          <w:szCs w:val="32"/>
          <w:highlight w:val="none"/>
          <w:lang w:val="en-US" w:eastAsia="zh-CN"/>
        </w:rPr>
        <w:t>在东方供电局市场营销部一楼104档案室</w:t>
      </w:r>
      <w:r>
        <w:rPr>
          <w:rFonts w:hint="eastAsia" w:ascii="仿宋_GB2312" w:hAnsi="仿宋_GB2312" w:eastAsia="仿宋_GB2312" w:cs="仿宋_GB2312"/>
          <w:color w:val="auto"/>
          <w:sz w:val="32"/>
          <w:szCs w:val="32"/>
          <w:highlight w:val="none"/>
          <w:lang w:eastAsia="zh-CN"/>
        </w:rPr>
        <w:t>，按照</w:t>
      </w:r>
      <w:r>
        <w:rPr>
          <w:rFonts w:hint="eastAsia" w:ascii="仿宋_GB2312" w:hAnsi="仿宋_GB2312" w:eastAsia="仿宋_GB2312" w:cs="仿宋_GB2312"/>
          <w:color w:val="auto"/>
          <w:sz w:val="32"/>
          <w:szCs w:val="32"/>
          <w:highlight w:val="none"/>
          <w:lang w:val="en-US" w:eastAsia="zh-CN"/>
        </w:rPr>
        <w:t>东方市</w:t>
      </w:r>
      <w:r>
        <w:rPr>
          <w:rFonts w:hint="eastAsia" w:ascii="仿宋_GB2312" w:hAnsi="仿宋_GB2312" w:eastAsia="仿宋_GB2312" w:cs="仿宋_GB2312"/>
          <w:color w:val="auto"/>
          <w:sz w:val="32"/>
          <w:szCs w:val="32"/>
          <w:highlight w:val="none"/>
          <w:lang w:eastAsia="zh-CN"/>
        </w:rPr>
        <w:t>城地区服务响应时间为</w:t>
      </w:r>
      <w:r>
        <w:rPr>
          <w:rFonts w:hint="eastAsia" w:ascii="仿宋_GB2312" w:hAnsi="仿宋_GB2312" w:eastAsia="仿宋_GB2312" w:cs="仿宋_GB2312"/>
          <w:color w:val="auto"/>
          <w:sz w:val="32"/>
          <w:szCs w:val="32"/>
          <w:highlight w:val="none"/>
          <w:lang w:val="en-US" w:eastAsia="zh-CN"/>
        </w:rPr>
        <w:t>45分钟内到场。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eastAsia="zh-CN"/>
        </w:rPr>
        <w:t>服务要求：</w:t>
      </w:r>
      <w:r>
        <w:rPr>
          <w:rFonts w:hint="eastAsia" w:ascii="仿宋_GB2312" w:hAnsi="仿宋_GB2312" w:eastAsia="仿宋_GB2312" w:cs="仿宋_GB2312"/>
          <w:color w:val="auto"/>
          <w:sz w:val="32"/>
          <w:szCs w:val="32"/>
          <w:highlight w:val="none"/>
          <w:lang w:val="en-US" w:eastAsia="zh-CN"/>
        </w:rPr>
        <w:t>档案整理工作完成后，</w:t>
      </w:r>
      <w:r>
        <w:rPr>
          <w:rFonts w:hint="eastAsia" w:ascii="仿宋_GB2312" w:hAnsi="仿宋_GB2312" w:eastAsia="仿宋_GB2312" w:cs="仿宋_GB2312"/>
          <w:snapToGrid w:val="0"/>
          <w:color w:val="000000"/>
          <w:kern w:val="0"/>
          <w:sz w:val="32"/>
          <w:szCs w:val="32"/>
          <w:lang w:eastAsia="zh-CN"/>
        </w:rPr>
        <w:t>项目成交供应商</w:t>
      </w:r>
      <w:r>
        <w:rPr>
          <w:rFonts w:hint="eastAsia" w:ascii="仿宋_GB2312" w:hAnsi="仿宋_GB2312" w:eastAsia="仿宋_GB2312" w:cs="仿宋_GB2312"/>
          <w:color w:val="auto"/>
          <w:sz w:val="32"/>
          <w:szCs w:val="32"/>
          <w:highlight w:val="none"/>
          <w:lang w:val="en-US" w:eastAsia="zh-CN"/>
        </w:rPr>
        <w:t>应在三个月内满足采购方提出的整改或返工要求。</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四、采购方式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（一）中国南方电网供应链统一服务平台零星采购公告。</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（二）报价时间及要求：</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_GB2312" w:hAnsi="仿宋_GB2312" w:eastAsia="仿宋_GB2312" w:cs="仿宋_GB2312"/>
          <w:snapToGrid w:val="0"/>
          <w:color w:val="000000"/>
          <w:kern w:val="0"/>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报价起始：</w:t>
      </w:r>
      <w:r>
        <w:rPr>
          <w:rFonts w:hint="eastAsia" w:ascii="仿宋_GB2312" w:hAnsi="仿宋_GB2312" w:eastAsia="仿宋_GB2312" w:cs="仿宋_GB2312"/>
          <w:sz w:val="32"/>
          <w:szCs w:val="32"/>
          <w:lang w:val="en-US" w:eastAsia="zh-CN"/>
        </w:rPr>
        <w:t>按照公告发布时间为准</w:t>
      </w:r>
      <w:r>
        <w:rPr>
          <w:rFonts w:hint="eastAsia" w:ascii="仿宋_GB2312" w:hAnsi="仿宋_GB2312" w:eastAsia="仿宋_GB2312" w:cs="仿宋_GB2312"/>
          <w:snapToGrid w:val="0"/>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_GB2312" w:hAnsi="仿宋_GB2312" w:eastAsia="仿宋_GB2312" w:cs="仿宋_GB2312"/>
          <w:snapToGrid w:val="0"/>
          <w:color w:val="000000"/>
          <w:kern w:val="0"/>
          <w:sz w:val="32"/>
          <w:szCs w:val="32"/>
          <w:lang w:eastAsia="zh-CN"/>
        </w:rPr>
      </w:pPr>
      <w:r>
        <w:rPr>
          <w:rFonts w:hint="eastAsia" w:ascii="仿宋_GB2312" w:hAnsi="仿宋_GB2312" w:eastAsia="仿宋_GB2312" w:cs="仿宋_GB2312"/>
          <w:snapToGrid w:val="0"/>
          <w:color w:val="000000"/>
          <w:kern w:val="0"/>
          <w:sz w:val="32"/>
          <w:szCs w:val="32"/>
          <w:lang w:val="en-US" w:eastAsia="zh-CN"/>
        </w:rPr>
        <w:t>2．报价要求：</w:t>
      </w:r>
      <w:r>
        <w:rPr>
          <w:rFonts w:hint="eastAsia" w:ascii="仿宋_GB2312" w:hAnsi="仿宋_GB2312" w:eastAsia="仿宋_GB2312" w:cs="仿宋_GB2312"/>
          <w:snapToGrid w:val="0"/>
          <w:color w:val="000000"/>
          <w:kern w:val="0"/>
          <w:sz w:val="32"/>
          <w:szCs w:val="32"/>
          <w:lang w:eastAsia="zh-CN"/>
        </w:rPr>
        <w:t>响应文件要满足资格要求和服务要求，报价低于下浮</w:t>
      </w:r>
      <w:r>
        <w:rPr>
          <w:rFonts w:hint="eastAsia" w:ascii="仿宋_GB2312" w:hAnsi="仿宋_GB2312" w:eastAsia="仿宋_GB2312" w:cs="仿宋_GB2312"/>
          <w:snapToGrid w:val="0"/>
          <w:color w:val="000000"/>
          <w:kern w:val="0"/>
          <w:sz w:val="32"/>
          <w:szCs w:val="32"/>
          <w:lang w:val="en-US" w:eastAsia="zh-CN"/>
        </w:rPr>
        <w:t>10%（含本数）的，要附上成本分析</w:t>
      </w:r>
      <w:r>
        <w:rPr>
          <w:rFonts w:hint="eastAsia" w:ascii="仿宋_GB2312" w:hAnsi="仿宋_GB2312" w:eastAsia="仿宋_GB2312" w:cs="仿宋_GB2312"/>
          <w:snapToGrid w:val="0"/>
          <w:color w:val="000000"/>
          <w:kern w:val="0"/>
          <w:sz w:val="32"/>
          <w:szCs w:val="32"/>
          <w:lang w:eastAsia="zh-CN"/>
        </w:rPr>
        <w:t>。</w:t>
      </w:r>
    </w:p>
    <w:p>
      <w:pPr>
        <w:pStyle w:val="2"/>
        <w:rPr>
          <w:rFonts w:hint="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五、供应商确认方式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（一）评审与推荐原则</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_GB2312" w:hAnsi="仿宋_GB2312" w:eastAsia="仿宋_GB2312" w:cs="仿宋_GB2312"/>
          <w:snapToGrid w:val="0"/>
          <w:color w:val="000000"/>
          <w:kern w:val="0"/>
          <w:sz w:val="32"/>
          <w:szCs w:val="32"/>
          <w:lang w:eastAsia="zh-CN"/>
        </w:rPr>
      </w:pPr>
      <w:r>
        <w:rPr>
          <w:rFonts w:hint="eastAsia" w:ascii="仿宋_GB2312" w:hAnsi="仿宋_GB2312" w:eastAsia="仿宋_GB2312" w:cs="仿宋_GB2312"/>
          <w:snapToGrid w:val="0"/>
          <w:color w:val="000000"/>
          <w:kern w:val="0"/>
          <w:sz w:val="32"/>
          <w:szCs w:val="32"/>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eastAsia="zh-CN"/>
        </w:rPr>
        <w:t>（二）成交标准</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_GB2312" w:hAnsi="仿宋_GB2312" w:eastAsia="仿宋_GB2312" w:cs="仿宋_GB2312"/>
          <w:snapToGrid w:val="0"/>
          <w:color w:val="000000"/>
          <w:kern w:val="0"/>
          <w:sz w:val="32"/>
          <w:szCs w:val="32"/>
          <w:lang w:eastAsia="zh-CN"/>
        </w:rPr>
      </w:pPr>
      <w:r>
        <w:rPr>
          <w:rFonts w:hint="eastAsia" w:ascii="仿宋_GB2312" w:hAnsi="仿宋_GB2312" w:eastAsia="仿宋_GB2312" w:cs="仿宋_GB2312"/>
          <w:snapToGrid w:val="0"/>
          <w:color w:val="000000"/>
          <w:kern w:val="0"/>
          <w:sz w:val="32"/>
          <w:szCs w:val="32"/>
          <w:lang w:eastAsia="zh-CN"/>
        </w:rPr>
        <w:t>采购方将充分考虑成交候选人的服务能力和必要的、合适的资料，来确定该成交候选人是否有能力合格地履行合同义务，并确定最终成交单位。签订书面合同前，如果供应商正实施的项目出现事故，采购人将有权取消该供应商的成交资格。</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_GB2312" w:hAnsi="仿宋_GB2312" w:eastAsia="仿宋_GB2312" w:cs="仿宋_GB2312"/>
          <w:snapToGrid w:val="0"/>
          <w:color w:val="00000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东方</w:t>
      </w:r>
      <w:r>
        <w:rPr>
          <w:rFonts w:hint="eastAsia" w:ascii="仿宋_GB2312" w:hAnsi="仿宋_GB2312" w:eastAsia="仿宋_GB2312" w:cs="仿宋_GB2312"/>
          <w:sz w:val="32"/>
          <w:szCs w:val="32"/>
          <w:lang w:eastAsia="zh-CN"/>
        </w:rPr>
        <w:t>供电局</w:t>
      </w:r>
      <w:r>
        <w:rPr>
          <w:rFonts w:hint="eastAsia" w:ascii="仿宋_GB2312" w:hAnsi="仿宋_GB2312" w:eastAsia="仿宋_GB2312" w:cs="仿宋_GB2312"/>
          <w:sz w:val="32"/>
          <w:szCs w:val="32"/>
          <w:lang w:val="en-US" w:eastAsia="zh-CN"/>
        </w:rPr>
        <w:t>市场营销部</w:t>
      </w:r>
    </w:p>
    <w:p>
      <w:pPr>
        <w:keepNext w:val="0"/>
        <w:keepLines w:val="0"/>
        <w:pageBreakBefore w:val="0"/>
        <w:widowControl w:val="0"/>
        <w:tabs>
          <w:tab w:val="left" w:pos="6720"/>
        </w:tabs>
        <w:kinsoku/>
        <w:wordWrap/>
        <w:overflowPunct/>
        <w:topLinePunct w:val="0"/>
        <w:autoSpaceDE/>
        <w:autoSpaceDN/>
        <w:bidi w:val="0"/>
        <w:adjustRightInd/>
        <w:snapToGrid/>
        <w:spacing w:line="580" w:lineRule="exact"/>
        <w:ind w:firstLine="4480" w:firstLineChars="14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23</w:t>
      </w:r>
      <w:bookmarkStart w:id="0" w:name="_GoBack"/>
      <w:bookmarkEnd w:id="0"/>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BF380D"/>
    <w:rsid w:val="00550AAC"/>
    <w:rsid w:val="00A8079C"/>
    <w:rsid w:val="00D04FCE"/>
    <w:rsid w:val="00F035CC"/>
    <w:rsid w:val="00F974A4"/>
    <w:rsid w:val="02781BC8"/>
    <w:rsid w:val="03557DDC"/>
    <w:rsid w:val="035E2389"/>
    <w:rsid w:val="047612D1"/>
    <w:rsid w:val="04CA78DE"/>
    <w:rsid w:val="052F70D6"/>
    <w:rsid w:val="05367102"/>
    <w:rsid w:val="0585790E"/>
    <w:rsid w:val="060E182E"/>
    <w:rsid w:val="060F6D3F"/>
    <w:rsid w:val="06294661"/>
    <w:rsid w:val="067824CB"/>
    <w:rsid w:val="06A244F4"/>
    <w:rsid w:val="070901BF"/>
    <w:rsid w:val="076220AF"/>
    <w:rsid w:val="079832F8"/>
    <w:rsid w:val="07D66543"/>
    <w:rsid w:val="09581004"/>
    <w:rsid w:val="09815AA0"/>
    <w:rsid w:val="09BF380D"/>
    <w:rsid w:val="0AAC706A"/>
    <w:rsid w:val="0AC71FEB"/>
    <w:rsid w:val="0BD30473"/>
    <w:rsid w:val="0C02719F"/>
    <w:rsid w:val="0C4D5E73"/>
    <w:rsid w:val="0D056D75"/>
    <w:rsid w:val="0D1E0BEA"/>
    <w:rsid w:val="0D24541A"/>
    <w:rsid w:val="0E4D0836"/>
    <w:rsid w:val="0E991AC5"/>
    <w:rsid w:val="0EB81349"/>
    <w:rsid w:val="0EE863F3"/>
    <w:rsid w:val="0F7C7125"/>
    <w:rsid w:val="0F7F1D46"/>
    <w:rsid w:val="0FF812BB"/>
    <w:rsid w:val="10107404"/>
    <w:rsid w:val="10414420"/>
    <w:rsid w:val="108966EC"/>
    <w:rsid w:val="10FF23DE"/>
    <w:rsid w:val="111F097A"/>
    <w:rsid w:val="11291FAB"/>
    <w:rsid w:val="114E7220"/>
    <w:rsid w:val="12271F87"/>
    <w:rsid w:val="123D2359"/>
    <w:rsid w:val="12671CCA"/>
    <w:rsid w:val="128D513D"/>
    <w:rsid w:val="14AF7C59"/>
    <w:rsid w:val="15005B1A"/>
    <w:rsid w:val="153A5A29"/>
    <w:rsid w:val="16283862"/>
    <w:rsid w:val="162B4ED3"/>
    <w:rsid w:val="16400090"/>
    <w:rsid w:val="165567E6"/>
    <w:rsid w:val="165F72C3"/>
    <w:rsid w:val="16683AE1"/>
    <w:rsid w:val="1673052C"/>
    <w:rsid w:val="16CB38CD"/>
    <w:rsid w:val="17842D6D"/>
    <w:rsid w:val="17A53759"/>
    <w:rsid w:val="17BA6C19"/>
    <w:rsid w:val="18137609"/>
    <w:rsid w:val="1827248A"/>
    <w:rsid w:val="191B4100"/>
    <w:rsid w:val="19801DEC"/>
    <w:rsid w:val="19AB25A9"/>
    <w:rsid w:val="1A251D70"/>
    <w:rsid w:val="1A427FBA"/>
    <w:rsid w:val="1A901505"/>
    <w:rsid w:val="1C5A0892"/>
    <w:rsid w:val="1D474A5C"/>
    <w:rsid w:val="1DC61552"/>
    <w:rsid w:val="1DE55E1B"/>
    <w:rsid w:val="1E4C3ECF"/>
    <w:rsid w:val="1E9A7158"/>
    <w:rsid w:val="1EB451EE"/>
    <w:rsid w:val="1F0C4709"/>
    <w:rsid w:val="1F0F1E4A"/>
    <w:rsid w:val="1F6C401A"/>
    <w:rsid w:val="1FAB568A"/>
    <w:rsid w:val="1FD83C1A"/>
    <w:rsid w:val="2015772C"/>
    <w:rsid w:val="20180DC2"/>
    <w:rsid w:val="207E4B8A"/>
    <w:rsid w:val="20936BB8"/>
    <w:rsid w:val="20A15D31"/>
    <w:rsid w:val="20A97D74"/>
    <w:rsid w:val="20FE273C"/>
    <w:rsid w:val="214712F7"/>
    <w:rsid w:val="2238086F"/>
    <w:rsid w:val="228F30E4"/>
    <w:rsid w:val="22BA150A"/>
    <w:rsid w:val="22FC6EE1"/>
    <w:rsid w:val="230853C6"/>
    <w:rsid w:val="23BC04D5"/>
    <w:rsid w:val="23D022AF"/>
    <w:rsid w:val="24971EEC"/>
    <w:rsid w:val="25800715"/>
    <w:rsid w:val="265E10A5"/>
    <w:rsid w:val="27E9144A"/>
    <w:rsid w:val="27EB6310"/>
    <w:rsid w:val="283D27FD"/>
    <w:rsid w:val="288E0FF4"/>
    <w:rsid w:val="292D17A6"/>
    <w:rsid w:val="29BA52E0"/>
    <w:rsid w:val="29D2680F"/>
    <w:rsid w:val="2A490BB7"/>
    <w:rsid w:val="2AC13DD7"/>
    <w:rsid w:val="2B47758B"/>
    <w:rsid w:val="2B835EF8"/>
    <w:rsid w:val="2BB05186"/>
    <w:rsid w:val="2C060E22"/>
    <w:rsid w:val="2C111F58"/>
    <w:rsid w:val="2CB62D01"/>
    <w:rsid w:val="2CF4776D"/>
    <w:rsid w:val="2D1E42DD"/>
    <w:rsid w:val="2D44327E"/>
    <w:rsid w:val="2E4B7AD8"/>
    <w:rsid w:val="2F096AB4"/>
    <w:rsid w:val="2FA93645"/>
    <w:rsid w:val="30014C29"/>
    <w:rsid w:val="301116B5"/>
    <w:rsid w:val="312C1F27"/>
    <w:rsid w:val="3172508E"/>
    <w:rsid w:val="31900060"/>
    <w:rsid w:val="31BF7E23"/>
    <w:rsid w:val="32815BF5"/>
    <w:rsid w:val="32BF26AF"/>
    <w:rsid w:val="333415A3"/>
    <w:rsid w:val="33AE0905"/>
    <w:rsid w:val="33EB6063"/>
    <w:rsid w:val="34243156"/>
    <w:rsid w:val="342546ED"/>
    <w:rsid w:val="34A638C9"/>
    <w:rsid w:val="34B20711"/>
    <w:rsid w:val="35AB7CA3"/>
    <w:rsid w:val="35DD5C47"/>
    <w:rsid w:val="35FB0374"/>
    <w:rsid w:val="361123C6"/>
    <w:rsid w:val="368E0274"/>
    <w:rsid w:val="36F61C70"/>
    <w:rsid w:val="37AC2162"/>
    <w:rsid w:val="37C000C8"/>
    <w:rsid w:val="37E5630E"/>
    <w:rsid w:val="38070ABD"/>
    <w:rsid w:val="381C60EC"/>
    <w:rsid w:val="3894345E"/>
    <w:rsid w:val="396816DF"/>
    <w:rsid w:val="39DE4B60"/>
    <w:rsid w:val="3AFC74DE"/>
    <w:rsid w:val="3B0F27BA"/>
    <w:rsid w:val="3B40515E"/>
    <w:rsid w:val="3B736A22"/>
    <w:rsid w:val="3B902A7C"/>
    <w:rsid w:val="3C727AF3"/>
    <w:rsid w:val="3CD004E1"/>
    <w:rsid w:val="3E2E3212"/>
    <w:rsid w:val="408C0A06"/>
    <w:rsid w:val="415E5DAF"/>
    <w:rsid w:val="41DD55EC"/>
    <w:rsid w:val="41F7229E"/>
    <w:rsid w:val="41FE5C77"/>
    <w:rsid w:val="42F43B5C"/>
    <w:rsid w:val="431E5925"/>
    <w:rsid w:val="44950CF9"/>
    <w:rsid w:val="449E5791"/>
    <w:rsid w:val="472F161E"/>
    <w:rsid w:val="47833367"/>
    <w:rsid w:val="47F653B6"/>
    <w:rsid w:val="48011EE8"/>
    <w:rsid w:val="48581E2B"/>
    <w:rsid w:val="489A2BC2"/>
    <w:rsid w:val="48EA670D"/>
    <w:rsid w:val="49253752"/>
    <w:rsid w:val="4A530E8B"/>
    <w:rsid w:val="4B691746"/>
    <w:rsid w:val="4C907373"/>
    <w:rsid w:val="4CA70991"/>
    <w:rsid w:val="4D58053A"/>
    <w:rsid w:val="4E3D0A67"/>
    <w:rsid w:val="4ED00D41"/>
    <w:rsid w:val="4F1B7636"/>
    <w:rsid w:val="4F283CB4"/>
    <w:rsid w:val="4FB63743"/>
    <w:rsid w:val="4FFE3D27"/>
    <w:rsid w:val="521B3882"/>
    <w:rsid w:val="52521B1A"/>
    <w:rsid w:val="52D46307"/>
    <w:rsid w:val="531405A8"/>
    <w:rsid w:val="53302C01"/>
    <w:rsid w:val="53C616AB"/>
    <w:rsid w:val="545B7B77"/>
    <w:rsid w:val="55370776"/>
    <w:rsid w:val="559D27FB"/>
    <w:rsid w:val="55A6059B"/>
    <w:rsid w:val="560F22CB"/>
    <w:rsid w:val="56632482"/>
    <w:rsid w:val="566D67EB"/>
    <w:rsid w:val="57886CCB"/>
    <w:rsid w:val="578F3D29"/>
    <w:rsid w:val="57DE41EF"/>
    <w:rsid w:val="582D0CBD"/>
    <w:rsid w:val="590A42B1"/>
    <w:rsid w:val="599A1C0F"/>
    <w:rsid w:val="5A8A5021"/>
    <w:rsid w:val="5B273F3C"/>
    <w:rsid w:val="5BF336C2"/>
    <w:rsid w:val="5BF46E77"/>
    <w:rsid w:val="5C0C40F3"/>
    <w:rsid w:val="5CB001C1"/>
    <w:rsid w:val="5CBF614F"/>
    <w:rsid w:val="5CC631A5"/>
    <w:rsid w:val="5CF649B4"/>
    <w:rsid w:val="5D7772E7"/>
    <w:rsid w:val="5D820C77"/>
    <w:rsid w:val="5DAC76F5"/>
    <w:rsid w:val="5F680472"/>
    <w:rsid w:val="5F6A7EC8"/>
    <w:rsid w:val="5F84662B"/>
    <w:rsid w:val="60656368"/>
    <w:rsid w:val="60920AF2"/>
    <w:rsid w:val="61C0261C"/>
    <w:rsid w:val="61D92C85"/>
    <w:rsid w:val="62911C89"/>
    <w:rsid w:val="630A02A4"/>
    <w:rsid w:val="6327597A"/>
    <w:rsid w:val="63A05631"/>
    <w:rsid w:val="64602AB6"/>
    <w:rsid w:val="648659EC"/>
    <w:rsid w:val="65495C0B"/>
    <w:rsid w:val="65BA2045"/>
    <w:rsid w:val="66017D42"/>
    <w:rsid w:val="66410D02"/>
    <w:rsid w:val="66EC000C"/>
    <w:rsid w:val="672207EE"/>
    <w:rsid w:val="679F77C4"/>
    <w:rsid w:val="67A42A5F"/>
    <w:rsid w:val="67AE68DE"/>
    <w:rsid w:val="685028DE"/>
    <w:rsid w:val="68F47EE0"/>
    <w:rsid w:val="690A7A71"/>
    <w:rsid w:val="696479CA"/>
    <w:rsid w:val="6A0E7FDC"/>
    <w:rsid w:val="6A617821"/>
    <w:rsid w:val="6A716980"/>
    <w:rsid w:val="6A7B3C07"/>
    <w:rsid w:val="6B080509"/>
    <w:rsid w:val="6B504359"/>
    <w:rsid w:val="6BD67A50"/>
    <w:rsid w:val="6BFC7C6B"/>
    <w:rsid w:val="6D3E4E45"/>
    <w:rsid w:val="6DB46109"/>
    <w:rsid w:val="6DC949FF"/>
    <w:rsid w:val="6E7A31A5"/>
    <w:rsid w:val="6EEF7B01"/>
    <w:rsid w:val="70663704"/>
    <w:rsid w:val="7107249A"/>
    <w:rsid w:val="717D313D"/>
    <w:rsid w:val="71D40303"/>
    <w:rsid w:val="735A0365"/>
    <w:rsid w:val="74993883"/>
    <w:rsid w:val="75AA1B72"/>
    <w:rsid w:val="77D84510"/>
    <w:rsid w:val="784207AA"/>
    <w:rsid w:val="784A2763"/>
    <w:rsid w:val="7A4E1FA5"/>
    <w:rsid w:val="7B21430A"/>
    <w:rsid w:val="7C220093"/>
    <w:rsid w:val="7CB03196"/>
    <w:rsid w:val="7E741B85"/>
    <w:rsid w:val="7E944638"/>
    <w:rsid w:val="7EBA0FF5"/>
    <w:rsid w:val="7EFF63F1"/>
    <w:rsid w:val="7F541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autoSpaceDE w:val="0"/>
      <w:autoSpaceDN w:val="0"/>
      <w:adjustRightInd w:val="0"/>
      <w:spacing w:line="480" w:lineRule="exact"/>
      <w:jc w:val="left"/>
      <w:textAlignment w:val="baseline"/>
    </w:pPr>
    <w:rPr>
      <w:rFonts w:ascii="宋体"/>
      <w:kern w:val="0"/>
      <w:sz w:val="32"/>
      <w:szCs w:val="20"/>
    </w:r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Body Text Indent"/>
    <w:basedOn w:val="1"/>
    <w:qFormat/>
    <w:uiPriority w:val="0"/>
    <w:pPr>
      <w:spacing w:after="120" w:afterLines="0" w:afterAutospacing="0"/>
      <w:ind w:left="420" w:leftChars="200"/>
    </w:p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qFormat/>
    <w:uiPriority w:val="0"/>
    <w:pPr>
      <w:ind w:firstLine="420" w:firstLine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ylg</Company>
  <Pages>1</Pages>
  <Words>0</Words>
  <Characters>0</Characters>
  <Lines>0</Lines>
  <Paragraphs>0</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王广毅</cp:lastModifiedBy>
  <cp:lastPrinted>2023-01-19T14:45:00Z</cp:lastPrinted>
  <dcterms:modified xsi:type="dcterms:W3CDTF">2024-07-23T06:43:34Z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A36FD28BAEA24F1AB33DB31701618263</vt:lpwstr>
  </property>
</Properties>
</file>