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spacing w:after="0"/>
        <w:jc w:val="center"/>
        <w:rPr>
          <w:rFonts w:hint="eastAsia" w:ascii="方正小标宋_GBK" w:hAnsi="方正小标宋_GBK" w:eastAsia="方正小标宋_GBK" w:cs="方正小标宋_GBK"/>
          <w:b/>
          <w:kern w:val="2"/>
          <w:sz w:val="36"/>
          <w:szCs w:val="36"/>
          <w:lang w:val="en-US" w:eastAsia="zh-CN"/>
        </w:rPr>
      </w:pPr>
      <w:bookmarkStart w:id="0" w:name="项目名称双调建管分公司建管业务优化与职能管控提升项目"/>
      <w:r>
        <w:rPr>
          <w:rFonts w:hint="eastAsia" w:ascii="微软雅黑" w:hAnsi="微软雅黑" w:eastAsia="微软雅黑" w:cs="Times New Roman"/>
          <w:b/>
          <w:kern w:val="2"/>
          <w:sz w:val="36"/>
          <w:szCs w:val="30"/>
          <w:lang w:eastAsia="zh-CN"/>
        </w:rPr>
        <w:t xml:space="preserve"> </w:t>
      </w:r>
      <w:r>
        <w:rPr>
          <w:rFonts w:hint="eastAsia" w:ascii="方正小标宋_GBK" w:hAnsi="方正小标宋_GBK" w:eastAsia="方正小标宋_GBK" w:cs="方正小标宋_GBK"/>
          <w:b/>
          <w:kern w:val="2"/>
          <w:sz w:val="36"/>
          <w:szCs w:val="36"/>
          <w:lang w:eastAsia="zh-CN"/>
        </w:rPr>
        <w:t>云南储能</w:t>
      </w:r>
      <w:r>
        <w:rPr>
          <w:rFonts w:hint="eastAsia" w:ascii="方正小标宋_GBK" w:hAnsi="方正小标宋_GBK" w:eastAsia="方正小标宋_GBK" w:cs="方正小标宋_GBK"/>
          <w:b/>
          <w:kern w:val="2"/>
          <w:sz w:val="36"/>
          <w:szCs w:val="36"/>
          <w:lang w:val="en-US" w:eastAsia="zh-CN"/>
        </w:rPr>
        <w:t>2024年安全管理绩效提升阶段性咨询项目</w:t>
      </w:r>
    </w:p>
    <w:p>
      <w:pPr>
        <w:widowControl w:val="0"/>
        <w:spacing w:after="0"/>
        <w:jc w:val="center"/>
        <w:rPr>
          <w:rFonts w:hint="eastAsia" w:ascii="方正小标宋_GBK" w:hAnsi="方正小标宋_GBK" w:eastAsia="方正小标宋_GBK" w:cs="方正小标宋_GBK"/>
          <w:b/>
          <w:kern w:val="2"/>
          <w:sz w:val="36"/>
          <w:szCs w:val="36"/>
          <w:lang w:eastAsia="zh-CN"/>
        </w:rPr>
      </w:pPr>
      <w:r>
        <w:rPr>
          <w:rFonts w:hint="eastAsia" w:ascii="方正小标宋_GBK" w:hAnsi="方正小标宋_GBK" w:eastAsia="方正小标宋_GBK" w:cs="方正小标宋_GBK"/>
          <w:b/>
          <w:kern w:val="2"/>
          <w:sz w:val="36"/>
          <w:szCs w:val="36"/>
          <w:lang w:eastAsia="zh-CN"/>
        </w:rPr>
        <w:t>技术规范书</w:t>
      </w:r>
    </w:p>
    <w:p>
      <w:pPr>
        <w:numPr>
          <w:ilvl w:val="0"/>
          <w:numId w:val="0"/>
        </w:numPr>
        <w:spacing w:before="156" w:beforeLines="50" w:after="156" w:afterLines="50" w:line="360" w:lineRule="auto"/>
        <w:ind w:left="420" w:leftChars="0"/>
        <w:rPr>
          <w:rFonts w:hint="eastAsia" w:ascii="宋体" w:hAnsi="宋体"/>
          <w:b/>
          <w:bCs/>
          <w:kern w:val="44"/>
          <w:sz w:val="32"/>
          <w:szCs w:val="32"/>
          <w:lang w:eastAsia="zh-CN"/>
        </w:rPr>
      </w:pPr>
      <w:r>
        <w:rPr>
          <w:rFonts w:hint="eastAsia" w:hAnsi="宋体"/>
          <w:b/>
          <w:bCs/>
          <w:kern w:val="44"/>
          <w:sz w:val="32"/>
          <w:szCs w:val="32"/>
          <w:lang w:val="en-US" w:eastAsia="zh-CN"/>
        </w:rPr>
        <w:t>一、</w:t>
      </w:r>
      <w:r>
        <w:rPr>
          <w:rFonts w:hint="eastAsia" w:ascii="宋体" w:hAnsi="宋体"/>
          <w:b/>
          <w:bCs/>
          <w:kern w:val="44"/>
          <w:sz w:val="32"/>
          <w:szCs w:val="32"/>
          <w:lang w:eastAsia="zh-CN"/>
        </w:rPr>
        <w:t>总则</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hAnsi="宋体" w:cs="宋体"/>
          <w:kern w:val="2"/>
          <w:sz w:val="28"/>
          <w:szCs w:val="28"/>
          <w:lang w:val="en-US" w:eastAsia="zh-CN" w:bidi="ar-SA"/>
        </w:rPr>
      </w:pPr>
      <w:r>
        <w:rPr>
          <w:rFonts w:hint="eastAsia" w:ascii="宋体" w:hAnsi="宋体" w:eastAsia="宋体" w:cs="宋体"/>
          <w:kern w:val="2"/>
          <w:sz w:val="28"/>
          <w:szCs w:val="28"/>
          <w:lang w:val="en-US" w:eastAsia="zh-CN" w:bidi="ar-SA"/>
        </w:rPr>
        <w:t>1.本技术规范书适用于</w:t>
      </w:r>
      <w:r>
        <w:rPr>
          <w:rFonts w:hint="eastAsia" w:hAnsi="宋体" w:cs="宋体"/>
          <w:kern w:val="2"/>
          <w:sz w:val="28"/>
          <w:szCs w:val="28"/>
          <w:lang w:val="en-US" w:eastAsia="zh-CN" w:bidi="ar-SA"/>
        </w:rPr>
        <w:t>云南储能2024年安全管理绩效提升阶段性咨询项目。</w:t>
      </w:r>
    </w:p>
    <w:p>
      <w:pPr>
        <w:pStyle w:val="78"/>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sz w:val="28"/>
          <w:szCs w:val="28"/>
        </w:rPr>
      </w:pPr>
      <w:r>
        <w:rPr>
          <w:rFonts w:hint="eastAsia" w:eastAsia="宋体" w:cs="宋体"/>
          <w:sz w:val="28"/>
          <w:szCs w:val="28"/>
          <w:lang w:val="en-US" w:eastAsia="zh-CN"/>
        </w:rPr>
        <w:t>2.</w:t>
      </w:r>
      <w:r>
        <w:rPr>
          <w:rFonts w:hint="eastAsia" w:ascii="宋体" w:hAnsi="宋体" w:eastAsia="宋体" w:cs="宋体"/>
          <w:sz w:val="28"/>
          <w:szCs w:val="28"/>
        </w:rPr>
        <w:t>本技术规范书提出的是最低限度的技术要求。凡本招标技术规范书中未规定，但在相关的行业标准、国家标准条文，</w:t>
      </w:r>
      <w:r>
        <w:rPr>
          <w:rFonts w:hint="eastAsia" w:eastAsia="宋体" w:cs="宋体"/>
          <w:sz w:val="28"/>
          <w:szCs w:val="28"/>
          <w:lang w:eastAsia="zh-CN"/>
        </w:rPr>
        <w:t>服务</w:t>
      </w:r>
      <w:r>
        <w:rPr>
          <w:rFonts w:hint="eastAsia" w:ascii="宋体" w:hAnsi="宋体" w:eastAsia="宋体" w:cs="宋体"/>
          <w:sz w:val="28"/>
          <w:szCs w:val="28"/>
        </w:rPr>
        <w:t>方</w:t>
      </w:r>
      <w:r>
        <w:rPr>
          <w:rFonts w:hint="eastAsia" w:ascii="宋体" w:hAnsi="宋体" w:eastAsia="宋体" w:cs="宋体"/>
          <w:color w:val="000000"/>
          <w:sz w:val="28"/>
          <w:szCs w:val="28"/>
        </w:rPr>
        <w:t>应按相应标准的条文</w:t>
      </w:r>
      <w:r>
        <w:rPr>
          <w:rFonts w:hint="eastAsia" w:cs="宋体"/>
          <w:color w:val="000000"/>
          <w:sz w:val="28"/>
          <w:szCs w:val="28"/>
          <w:lang w:eastAsia="zh-CN"/>
        </w:rPr>
        <w:t>执行</w:t>
      </w:r>
      <w:r>
        <w:rPr>
          <w:rFonts w:hint="eastAsia" w:ascii="宋体" w:hAnsi="宋体" w:eastAsia="宋体" w:cs="宋体"/>
          <w:sz w:val="28"/>
          <w:szCs w:val="28"/>
        </w:rPr>
        <w:t>。对国家有关安全、环保等强制性标准，必须满足其要求。</w:t>
      </w:r>
    </w:p>
    <w:p>
      <w:pPr>
        <w:pStyle w:val="78"/>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eastAsia="宋体" w:cs="宋体"/>
          <w:sz w:val="28"/>
          <w:szCs w:val="28"/>
          <w:lang w:val="en-US" w:eastAsia="zh-CN"/>
        </w:rPr>
        <w:t>3.</w:t>
      </w:r>
      <w:r>
        <w:rPr>
          <w:rFonts w:hint="eastAsia" w:ascii="宋体" w:hAnsi="宋体" w:eastAsia="宋体" w:cs="宋体"/>
          <w:color w:val="000000"/>
          <w:sz w:val="28"/>
          <w:szCs w:val="28"/>
        </w:rPr>
        <w:t>如果</w:t>
      </w:r>
      <w:r>
        <w:rPr>
          <w:rFonts w:hint="eastAsia" w:eastAsia="宋体" w:cs="宋体"/>
          <w:color w:val="000000"/>
          <w:sz w:val="28"/>
          <w:szCs w:val="28"/>
          <w:lang w:val="en-US" w:eastAsia="zh-CN"/>
        </w:rPr>
        <w:t>服务</w:t>
      </w:r>
      <w:r>
        <w:rPr>
          <w:rFonts w:hint="eastAsia" w:ascii="宋体" w:hAnsi="宋体" w:eastAsia="宋体" w:cs="宋体"/>
          <w:sz w:val="28"/>
          <w:szCs w:val="28"/>
        </w:rPr>
        <w:t>方</w:t>
      </w:r>
      <w:r>
        <w:rPr>
          <w:rFonts w:hint="eastAsia" w:ascii="宋体" w:hAnsi="宋体" w:eastAsia="宋体" w:cs="宋体"/>
          <w:color w:val="000000"/>
          <w:sz w:val="28"/>
          <w:szCs w:val="28"/>
        </w:rPr>
        <w:t>没有以书面形式对本技术规范书的条文提出异议，则意味着</w:t>
      </w:r>
      <w:r>
        <w:rPr>
          <w:rFonts w:hint="eastAsia" w:cs="宋体"/>
          <w:sz w:val="28"/>
          <w:szCs w:val="28"/>
          <w:lang w:val="en-US" w:eastAsia="zh-CN"/>
        </w:rPr>
        <w:t>安全生产管理绩效提升项目</w:t>
      </w:r>
      <w:r>
        <w:rPr>
          <w:rFonts w:hint="eastAsia" w:eastAsia="宋体" w:cs="宋体"/>
          <w:color w:val="000000"/>
          <w:sz w:val="28"/>
          <w:szCs w:val="28"/>
          <w:lang w:val="en-US" w:eastAsia="zh-CN"/>
        </w:rPr>
        <w:t>服务</w:t>
      </w:r>
      <w:r>
        <w:rPr>
          <w:rFonts w:hint="eastAsia" w:ascii="宋体" w:hAnsi="宋体" w:eastAsia="宋体" w:cs="宋体"/>
          <w:color w:val="000000"/>
          <w:sz w:val="28"/>
          <w:szCs w:val="28"/>
        </w:rPr>
        <w:t>方提供的</w:t>
      </w:r>
      <w:r>
        <w:rPr>
          <w:rFonts w:hint="eastAsia" w:eastAsia="宋体" w:cs="宋体"/>
          <w:color w:val="000000"/>
          <w:sz w:val="28"/>
          <w:szCs w:val="28"/>
          <w:lang w:eastAsia="zh-CN"/>
        </w:rPr>
        <w:t>服务</w:t>
      </w:r>
      <w:r>
        <w:rPr>
          <w:rFonts w:hint="eastAsia" w:ascii="宋体" w:hAnsi="宋体" w:eastAsia="宋体" w:cs="宋体"/>
          <w:color w:val="000000"/>
          <w:sz w:val="28"/>
          <w:szCs w:val="28"/>
        </w:rPr>
        <w:t>完全符合本技术规范书的要求。如有异议，不管是多么微小，都应以“对技术规范书的意见和同技术规范书的差异”为标题的专门章节中加以详细描述。</w:t>
      </w:r>
    </w:p>
    <w:p>
      <w:pPr>
        <w:pStyle w:val="78"/>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sz w:val="28"/>
          <w:szCs w:val="28"/>
        </w:rPr>
      </w:pPr>
      <w:r>
        <w:rPr>
          <w:rFonts w:hint="eastAsia" w:eastAsia="宋体" w:cs="宋体"/>
          <w:sz w:val="28"/>
          <w:szCs w:val="28"/>
          <w:lang w:val="en-US" w:eastAsia="zh-CN"/>
        </w:rPr>
        <w:t>4.</w:t>
      </w:r>
      <w:r>
        <w:rPr>
          <w:rFonts w:hint="eastAsia" w:ascii="宋体" w:hAnsi="宋体" w:eastAsia="宋体" w:cs="宋体"/>
          <w:sz w:val="28"/>
          <w:szCs w:val="28"/>
        </w:rPr>
        <w:t>本技术规范书所使用的标准如遇与</w:t>
      </w:r>
      <w:r>
        <w:rPr>
          <w:rFonts w:hint="eastAsia" w:cs="宋体"/>
          <w:sz w:val="28"/>
          <w:szCs w:val="28"/>
          <w:lang w:val="en-US" w:eastAsia="zh-CN"/>
        </w:rPr>
        <w:t>服务</w:t>
      </w:r>
      <w:r>
        <w:rPr>
          <w:rFonts w:hint="eastAsia" w:ascii="宋体" w:hAnsi="宋体" w:eastAsia="宋体" w:cs="宋体"/>
          <w:sz w:val="28"/>
          <w:szCs w:val="28"/>
        </w:rPr>
        <w:t>方所执行的标准不一致时，按较高标准执行。</w:t>
      </w:r>
    </w:p>
    <w:p>
      <w:pPr>
        <w:pStyle w:val="78"/>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sz w:val="28"/>
          <w:szCs w:val="28"/>
        </w:rPr>
      </w:pPr>
      <w:r>
        <w:rPr>
          <w:rFonts w:hint="eastAsia" w:eastAsia="宋体" w:cs="宋体"/>
          <w:sz w:val="28"/>
          <w:szCs w:val="28"/>
          <w:lang w:val="en-US" w:eastAsia="zh-CN"/>
        </w:rPr>
        <w:t>5.</w:t>
      </w:r>
      <w:r>
        <w:rPr>
          <w:rFonts w:hint="eastAsia" w:ascii="宋体" w:hAnsi="宋体" w:eastAsia="宋体" w:cs="宋体"/>
          <w:sz w:val="28"/>
          <w:szCs w:val="28"/>
        </w:rPr>
        <w:t>本技术规范书经双方确认后作为</w:t>
      </w:r>
      <w:r>
        <w:rPr>
          <w:rFonts w:hint="eastAsia" w:cs="宋体"/>
          <w:sz w:val="28"/>
          <w:szCs w:val="28"/>
          <w:lang w:val="en-US" w:eastAsia="zh-CN"/>
        </w:rPr>
        <w:t>安全生产管理绩效提升项目</w:t>
      </w:r>
      <w:r>
        <w:rPr>
          <w:rFonts w:hint="eastAsia" w:eastAsia="宋体" w:cs="宋体"/>
          <w:sz w:val="28"/>
          <w:szCs w:val="28"/>
          <w:lang w:eastAsia="zh-CN"/>
        </w:rPr>
        <w:t>服务</w:t>
      </w:r>
      <w:r>
        <w:rPr>
          <w:rFonts w:hint="eastAsia" w:ascii="宋体" w:hAnsi="宋体" w:eastAsia="宋体" w:cs="宋体"/>
          <w:sz w:val="28"/>
          <w:szCs w:val="28"/>
        </w:rPr>
        <w:t>合同的技术附件，与合同正文具有同等的法律效力。</w:t>
      </w:r>
    </w:p>
    <w:p>
      <w:pPr>
        <w:pStyle w:val="78"/>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sz w:val="28"/>
          <w:szCs w:val="28"/>
        </w:rPr>
      </w:pPr>
      <w:r>
        <w:rPr>
          <w:rFonts w:hint="eastAsia" w:eastAsia="宋体" w:cs="宋体"/>
          <w:sz w:val="28"/>
          <w:szCs w:val="28"/>
          <w:lang w:val="en-US" w:eastAsia="zh-CN"/>
        </w:rPr>
        <w:t>6.</w:t>
      </w:r>
      <w:r>
        <w:rPr>
          <w:rFonts w:hint="eastAsia" w:ascii="宋体" w:hAnsi="宋体" w:eastAsia="宋体" w:cs="宋体"/>
          <w:sz w:val="28"/>
          <w:szCs w:val="28"/>
        </w:rPr>
        <w:t>本技术规范书未尽事宜，由双方协商确定。</w:t>
      </w:r>
    </w:p>
    <w:p>
      <w:pPr>
        <w:pStyle w:val="78"/>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lang w:eastAsia="zh-CN"/>
        </w:rPr>
      </w:pPr>
      <w:r>
        <w:rPr>
          <w:rFonts w:hint="eastAsia" w:eastAsia="宋体" w:cs="宋体"/>
          <w:sz w:val="28"/>
          <w:szCs w:val="28"/>
          <w:lang w:val="en-US" w:eastAsia="zh-CN"/>
        </w:rPr>
        <w:t>7.安全生产管理绩效提升项目</w:t>
      </w:r>
      <w:r>
        <w:rPr>
          <w:rFonts w:hint="eastAsia" w:eastAsia="宋体" w:cs="宋体"/>
          <w:sz w:val="28"/>
          <w:szCs w:val="28"/>
          <w:lang w:eastAsia="zh-CN"/>
        </w:rPr>
        <w:t>服务</w:t>
      </w:r>
      <w:r>
        <w:rPr>
          <w:rFonts w:hint="eastAsia" w:ascii="宋体" w:hAnsi="宋体" w:eastAsia="宋体" w:cs="宋体"/>
          <w:sz w:val="28"/>
          <w:szCs w:val="28"/>
        </w:rPr>
        <w:t>方应充分理解本技术规范书并按本技术规范书的具体条款、格式要求填写应标的技术规范书，如发现应标的技术规范书条款、格式不符合本招标技术规范书的要求，则认为应标不严肃，在评标时将有不同程度的扣分。</w:t>
      </w:r>
    </w:p>
    <w:p>
      <w:pPr>
        <w:numPr>
          <w:ilvl w:val="0"/>
          <w:numId w:val="0"/>
        </w:numPr>
        <w:spacing w:before="156" w:beforeLines="50" w:after="156" w:afterLines="50" w:line="360" w:lineRule="auto"/>
        <w:ind w:left="420" w:leftChars="0"/>
        <w:rPr>
          <w:rFonts w:hint="eastAsia" w:hAnsi="宋体"/>
          <w:b/>
          <w:bCs/>
          <w:kern w:val="44"/>
          <w:sz w:val="32"/>
          <w:szCs w:val="32"/>
          <w:lang w:val="en-US" w:eastAsia="zh-CN"/>
        </w:rPr>
      </w:pPr>
      <w:bookmarkStart w:id="1" w:name="一项目目的"/>
      <w:r>
        <w:rPr>
          <w:rFonts w:hint="eastAsia" w:hAnsi="宋体"/>
          <w:b/>
          <w:bCs/>
          <w:kern w:val="44"/>
          <w:sz w:val="32"/>
          <w:szCs w:val="32"/>
          <w:lang w:val="en-US" w:eastAsia="zh-CN"/>
        </w:rPr>
        <w:t>二、项目概况</w:t>
      </w:r>
    </w:p>
    <w:bookmarkEnd w:id="1"/>
    <w:p>
      <w:pPr>
        <w:keepNext w:val="0"/>
        <w:keepLines w:val="0"/>
        <w:pageBreakBefore w:val="0"/>
        <w:widowControl/>
        <w:numPr>
          <w:ilvl w:val="0"/>
          <w:numId w:val="0"/>
        </w:numPr>
        <w:kinsoku/>
        <w:wordWrap/>
        <w:overflowPunct/>
        <w:topLinePunct w:val="0"/>
        <w:autoSpaceDE/>
        <w:autoSpaceDN/>
        <w:bidi w:val="0"/>
        <w:adjustRightInd/>
        <w:snapToGrid/>
        <w:spacing w:before="156" w:beforeLines="50" w:after="156" w:afterLines="50" w:line="360" w:lineRule="auto"/>
        <w:ind w:left="420" w:leftChars="0" w:firstLine="560" w:firstLineChars="200"/>
        <w:textAlignment w:val="auto"/>
        <w:rPr>
          <w:rFonts w:hint="eastAsia" w:cs="Times New Roman" w:asciiTheme="minorEastAsia" w:hAnsiTheme="minorEastAsia"/>
          <w:kern w:val="2"/>
          <w:sz w:val="28"/>
          <w:szCs w:val="28"/>
          <w:highlight w:val="none"/>
          <w:lang w:eastAsia="zh-CN"/>
        </w:rPr>
      </w:pPr>
      <w:bookmarkStart w:id="2" w:name="三项目内容"/>
      <w:r>
        <w:rPr>
          <w:rFonts w:hint="eastAsia" w:cs="Times New Roman" w:asciiTheme="minorEastAsia" w:hAnsiTheme="minorEastAsia"/>
          <w:kern w:val="2"/>
          <w:sz w:val="28"/>
          <w:szCs w:val="28"/>
          <w:lang w:eastAsia="zh-CN"/>
        </w:rPr>
        <w:t>本项目是</w:t>
      </w:r>
      <w:r>
        <w:rPr>
          <w:rFonts w:hint="eastAsia" w:cs="Times New Roman" w:asciiTheme="minorEastAsia" w:hAnsiTheme="minorEastAsia"/>
          <w:kern w:val="2"/>
          <w:sz w:val="28"/>
          <w:szCs w:val="28"/>
          <w:lang w:val="en-US" w:eastAsia="zh-CN"/>
        </w:rPr>
        <w:t>安全管理绩效提升阶段性咨询项目</w:t>
      </w:r>
      <w:r>
        <w:rPr>
          <w:rFonts w:hint="eastAsia" w:cs="Times New Roman" w:asciiTheme="minorEastAsia" w:hAnsiTheme="minorEastAsia"/>
          <w:kern w:val="2"/>
          <w:sz w:val="28"/>
          <w:szCs w:val="28"/>
          <w:highlight w:val="none"/>
          <w:lang w:eastAsia="zh-CN"/>
        </w:rPr>
        <w:t>。</w:t>
      </w:r>
      <w:bookmarkStart w:id="10" w:name="_GoBack"/>
      <w:bookmarkEnd w:id="10"/>
    </w:p>
    <w:p>
      <w:pPr>
        <w:numPr>
          <w:ilvl w:val="0"/>
          <w:numId w:val="0"/>
        </w:numPr>
        <w:spacing w:before="156" w:beforeLines="50" w:after="156" w:afterLines="50" w:line="360" w:lineRule="auto"/>
        <w:ind w:left="420" w:leftChars="0"/>
        <w:rPr>
          <w:rFonts w:hint="eastAsia" w:hAnsi="宋体"/>
          <w:b/>
          <w:bCs/>
          <w:kern w:val="44"/>
          <w:sz w:val="32"/>
          <w:szCs w:val="32"/>
          <w:lang w:val="en-US" w:eastAsia="zh-CN"/>
        </w:rPr>
      </w:pPr>
      <w:r>
        <w:rPr>
          <w:rFonts w:hint="eastAsia" w:hAnsi="宋体"/>
          <w:b/>
          <w:bCs/>
          <w:kern w:val="44"/>
          <w:sz w:val="32"/>
          <w:szCs w:val="32"/>
          <w:lang w:val="en-US" w:eastAsia="zh-CN"/>
        </w:rPr>
        <w:t>三、项目内容与要求</w:t>
      </w:r>
    </w:p>
    <w:p>
      <w:pPr>
        <w:widowControl w:val="0"/>
        <w:spacing w:after="0" w:line="360" w:lineRule="auto"/>
        <w:ind w:firstLine="562" w:firstLineChars="200"/>
        <w:jc w:val="both"/>
        <w:rPr>
          <w:rFonts w:hint="eastAsia" w:cs="Times New Roman" w:asciiTheme="minorEastAsia" w:hAnsiTheme="minorEastAsia"/>
          <w:b/>
          <w:bCs/>
          <w:kern w:val="2"/>
          <w:sz w:val="28"/>
          <w:szCs w:val="28"/>
          <w:lang w:eastAsia="zh-CN"/>
        </w:rPr>
      </w:pPr>
      <w:bookmarkStart w:id="3" w:name="Xdcb6283414f2652a4a278a1b0111e0b3f9e9f40"/>
      <w:bookmarkStart w:id="4" w:name="工时-7"/>
      <w:bookmarkStart w:id="5" w:name="X193b32c350b864972fb888b85af82d35d85162d"/>
      <w:r>
        <w:rPr>
          <w:rFonts w:cs="Times New Roman" w:asciiTheme="minorEastAsia" w:hAnsiTheme="minorEastAsia"/>
          <w:b/>
          <w:bCs/>
          <w:kern w:val="2"/>
          <w:sz w:val="28"/>
          <w:szCs w:val="28"/>
          <w:lang w:eastAsia="zh-CN"/>
        </w:rPr>
        <w:t>1</w:t>
      </w:r>
      <w:r>
        <w:rPr>
          <w:rFonts w:hint="eastAsia" w:cs="Times New Roman" w:asciiTheme="minorEastAsia" w:hAnsiTheme="minorEastAsia"/>
          <w:b/>
          <w:bCs/>
          <w:kern w:val="2"/>
          <w:sz w:val="28"/>
          <w:szCs w:val="28"/>
          <w:lang w:eastAsia="zh-CN"/>
        </w:rPr>
        <w:t>.</w:t>
      </w:r>
      <w:r>
        <w:rPr>
          <w:rFonts w:hint="eastAsia" w:cs="Times New Roman" w:asciiTheme="minorEastAsia" w:hAnsiTheme="minorEastAsia"/>
          <w:b/>
          <w:bCs/>
          <w:kern w:val="2"/>
          <w:sz w:val="28"/>
          <w:szCs w:val="28"/>
          <w:lang w:val="en-US" w:eastAsia="zh-CN"/>
        </w:rPr>
        <w:t>基于安全业务管理现状，对安全管理绩效评价提供咨询和辅导</w:t>
      </w:r>
    </w:p>
    <w:p>
      <w:pPr>
        <w:widowControl w:val="0"/>
        <w:spacing w:after="0" w:line="360" w:lineRule="auto"/>
        <w:ind w:firstLine="560" w:firstLineChars="200"/>
        <w:jc w:val="both"/>
        <w:rPr>
          <w:rFonts w:hint="eastAsia" w:cs="Times New Roman" w:asciiTheme="minorEastAsia" w:hAnsiTheme="minorEastAsia"/>
          <w:kern w:val="2"/>
          <w:sz w:val="28"/>
          <w:szCs w:val="28"/>
          <w:lang w:val="en-US" w:eastAsia="zh-CN"/>
        </w:rPr>
      </w:pPr>
      <w:bookmarkStart w:id="6" w:name="主要内容-1"/>
      <w:r>
        <w:rPr>
          <w:rFonts w:hint="eastAsia" w:cs="Times New Roman" w:asciiTheme="minorEastAsia" w:hAnsiTheme="minorEastAsia"/>
          <w:kern w:val="2"/>
          <w:sz w:val="28"/>
          <w:szCs w:val="28"/>
          <w:lang w:val="en-US" w:eastAsia="zh-CN"/>
        </w:rPr>
        <w:t>指导业务骨干人员实施绩效评价，指导对发现的问题进行归纳分析，编写安全管理绩效提升报告。</w:t>
      </w:r>
    </w:p>
    <w:p>
      <w:pPr>
        <w:widowControl w:val="0"/>
        <w:spacing w:after="0" w:line="360" w:lineRule="auto"/>
        <w:ind w:firstLine="560" w:firstLineChars="200"/>
        <w:jc w:val="both"/>
        <w:rPr>
          <w:rFonts w:hint="eastAsia" w:cs="Times New Roman" w:asciiTheme="minorEastAsia" w:hAnsiTheme="minorEastAsia"/>
          <w:kern w:val="2"/>
          <w:sz w:val="28"/>
          <w:szCs w:val="28"/>
          <w:lang w:eastAsia="zh-CN"/>
        </w:rPr>
      </w:pPr>
      <w:r>
        <w:rPr>
          <w:rFonts w:hint="eastAsia" w:cs="Times New Roman" w:asciiTheme="minorEastAsia" w:hAnsiTheme="minorEastAsia"/>
          <w:kern w:val="2"/>
          <w:sz w:val="28"/>
          <w:szCs w:val="28"/>
          <w:lang w:eastAsia="zh-CN"/>
        </w:rPr>
        <w:t>交付成果：《云南储能</w:t>
      </w:r>
      <w:r>
        <w:rPr>
          <w:rFonts w:hint="eastAsia" w:cs="Times New Roman" w:asciiTheme="minorEastAsia" w:hAnsiTheme="minorEastAsia"/>
          <w:kern w:val="2"/>
          <w:sz w:val="28"/>
          <w:szCs w:val="28"/>
          <w:lang w:val="en-US" w:eastAsia="zh-CN"/>
        </w:rPr>
        <w:t>安全管理绩效提升培训</w:t>
      </w:r>
      <w:r>
        <w:rPr>
          <w:rFonts w:hint="eastAsia" w:cs="Times New Roman" w:asciiTheme="minorEastAsia" w:hAnsiTheme="minorEastAsia"/>
          <w:kern w:val="2"/>
          <w:sz w:val="28"/>
          <w:szCs w:val="28"/>
          <w:lang w:eastAsia="zh-CN"/>
        </w:rPr>
        <w:t>PPT》</w:t>
      </w:r>
      <w:r>
        <w:rPr>
          <w:rFonts w:hint="eastAsia" w:cs="Times New Roman" w:asciiTheme="minorEastAsia" w:hAnsiTheme="minorEastAsia"/>
          <w:kern w:val="2"/>
          <w:sz w:val="28"/>
          <w:szCs w:val="28"/>
          <w:lang w:val="en-US" w:eastAsia="zh-CN"/>
        </w:rPr>
        <w:t>一份</w:t>
      </w:r>
      <w:r>
        <w:rPr>
          <w:rFonts w:hint="eastAsia" w:cs="Times New Roman" w:asciiTheme="minorEastAsia" w:hAnsiTheme="minorEastAsia"/>
          <w:kern w:val="2"/>
          <w:sz w:val="28"/>
          <w:szCs w:val="28"/>
          <w:lang w:eastAsia="zh-CN"/>
        </w:rPr>
        <w:t>、《云南储能安全生产业务目标指标建议方案》</w:t>
      </w:r>
      <w:r>
        <w:rPr>
          <w:rFonts w:hint="eastAsia" w:cs="Times New Roman" w:asciiTheme="minorEastAsia" w:hAnsiTheme="minorEastAsia"/>
          <w:kern w:val="2"/>
          <w:sz w:val="28"/>
          <w:szCs w:val="28"/>
          <w:lang w:val="en-US" w:eastAsia="zh-CN"/>
        </w:rPr>
        <w:t>一份</w:t>
      </w:r>
      <w:r>
        <w:rPr>
          <w:rFonts w:hint="eastAsia" w:cs="Times New Roman" w:asciiTheme="minorEastAsia" w:hAnsiTheme="minorEastAsia"/>
          <w:kern w:val="2"/>
          <w:sz w:val="28"/>
          <w:szCs w:val="28"/>
          <w:lang w:eastAsia="zh-CN"/>
        </w:rPr>
        <w:t>、 《云南储能安全</w:t>
      </w:r>
      <w:r>
        <w:rPr>
          <w:rFonts w:hint="eastAsia" w:cs="Times New Roman" w:asciiTheme="minorEastAsia" w:hAnsiTheme="minorEastAsia"/>
          <w:kern w:val="2"/>
          <w:sz w:val="28"/>
          <w:szCs w:val="28"/>
          <w:lang w:val="en-US" w:eastAsia="zh-CN"/>
        </w:rPr>
        <w:t>管理绩效</w:t>
      </w:r>
      <w:r>
        <w:rPr>
          <w:rFonts w:hint="eastAsia" w:cs="Times New Roman" w:asciiTheme="minorEastAsia" w:hAnsiTheme="minorEastAsia"/>
          <w:kern w:val="2"/>
          <w:sz w:val="28"/>
          <w:szCs w:val="28"/>
          <w:lang w:eastAsia="zh-CN"/>
        </w:rPr>
        <w:t>提升</w:t>
      </w:r>
      <w:r>
        <w:rPr>
          <w:rFonts w:hint="eastAsia" w:cs="Times New Roman" w:asciiTheme="minorEastAsia" w:hAnsiTheme="minorEastAsia"/>
          <w:kern w:val="2"/>
          <w:sz w:val="28"/>
          <w:szCs w:val="28"/>
          <w:lang w:val="en-US" w:eastAsia="zh-CN"/>
        </w:rPr>
        <w:t>报告</w:t>
      </w:r>
      <w:r>
        <w:rPr>
          <w:rFonts w:hint="eastAsia" w:cs="Times New Roman" w:asciiTheme="minorEastAsia" w:hAnsiTheme="minorEastAsia"/>
          <w:kern w:val="2"/>
          <w:sz w:val="28"/>
          <w:szCs w:val="28"/>
          <w:lang w:eastAsia="zh-CN"/>
        </w:rPr>
        <w:t>》。</w:t>
      </w:r>
    </w:p>
    <w:bookmarkEnd w:id="3"/>
    <w:bookmarkEnd w:id="6"/>
    <w:p>
      <w:pPr>
        <w:widowControl w:val="0"/>
        <w:spacing w:after="0" w:line="360" w:lineRule="auto"/>
        <w:ind w:firstLine="562" w:firstLineChars="200"/>
        <w:jc w:val="both"/>
        <w:rPr>
          <w:rFonts w:hint="eastAsia" w:cs="Times New Roman" w:asciiTheme="minorEastAsia" w:hAnsiTheme="minorEastAsia"/>
          <w:b/>
          <w:bCs/>
          <w:kern w:val="2"/>
          <w:sz w:val="28"/>
          <w:szCs w:val="28"/>
          <w:lang w:eastAsia="zh-CN"/>
        </w:rPr>
      </w:pPr>
      <w:bookmarkStart w:id="7" w:name="Xb4db1382a3dd8aa8094353e0bf9dc1983ee07c2"/>
      <w:r>
        <w:rPr>
          <w:rFonts w:hint="eastAsia" w:cs="Times New Roman" w:asciiTheme="minorEastAsia" w:hAnsiTheme="minorEastAsia"/>
          <w:b/>
          <w:bCs/>
          <w:kern w:val="2"/>
          <w:sz w:val="28"/>
          <w:szCs w:val="28"/>
          <w:lang w:eastAsia="zh-CN"/>
        </w:rPr>
        <w:t>2.对现阶段相关的安全管理评审存在问题提供整改方面的咨询和辅导</w:t>
      </w:r>
    </w:p>
    <w:p>
      <w:pPr>
        <w:widowControl w:val="0"/>
        <w:spacing w:after="0" w:line="360" w:lineRule="auto"/>
        <w:ind w:firstLine="560" w:firstLineChars="200"/>
        <w:jc w:val="both"/>
        <w:rPr>
          <w:rFonts w:hint="eastAsia" w:cs="Times New Roman" w:asciiTheme="minorEastAsia" w:hAnsiTheme="minorEastAsia"/>
          <w:kern w:val="2"/>
          <w:sz w:val="28"/>
          <w:szCs w:val="28"/>
          <w:lang w:val="en-US" w:eastAsia="zh-CN"/>
        </w:rPr>
      </w:pPr>
      <w:bookmarkStart w:id="8" w:name="目的-2"/>
      <w:r>
        <w:rPr>
          <w:rFonts w:hint="eastAsia" w:cs="Times New Roman" w:asciiTheme="minorEastAsia" w:hAnsiTheme="minorEastAsia"/>
          <w:kern w:val="2"/>
          <w:sz w:val="28"/>
          <w:szCs w:val="28"/>
          <w:lang w:val="en-US" w:eastAsia="zh-CN"/>
        </w:rPr>
        <w:t xml:space="preserve">辅导公司骨干人员对安全管理评审等存在问题提供整改建议，形成整改建议 </w:t>
      </w:r>
    </w:p>
    <w:bookmarkEnd w:id="8"/>
    <w:p>
      <w:pPr>
        <w:widowControl w:val="0"/>
        <w:spacing w:after="0" w:line="360" w:lineRule="auto"/>
        <w:ind w:firstLine="560" w:firstLineChars="200"/>
        <w:jc w:val="both"/>
        <w:rPr>
          <w:rFonts w:hint="eastAsia" w:cs="Times New Roman" w:asciiTheme="minorEastAsia" w:hAnsiTheme="minorEastAsia"/>
          <w:kern w:val="2"/>
          <w:sz w:val="28"/>
          <w:szCs w:val="28"/>
          <w:lang w:eastAsia="zh-CN"/>
        </w:rPr>
      </w:pPr>
      <w:bookmarkStart w:id="9" w:name="主要内容-2"/>
      <w:r>
        <w:rPr>
          <w:rFonts w:hint="eastAsia" w:cs="Times New Roman" w:asciiTheme="minorEastAsia" w:hAnsiTheme="minorEastAsia"/>
          <w:kern w:val="2"/>
          <w:sz w:val="28"/>
          <w:szCs w:val="28"/>
          <w:lang w:eastAsia="zh-CN"/>
        </w:rPr>
        <w:t>交付成果：《云南储能</w:t>
      </w:r>
      <w:r>
        <w:rPr>
          <w:rFonts w:hint="eastAsia" w:cs="Times New Roman" w:asciiTheme="minorEastAsia" w:hAnsiTheme="minorEastAsia"/>
          <w:kern w:val="2"/>
          <w:sz w:val="28"/>
          <w:szCs w:val="28"/>
          <w:lang w:val="en-US" w:eastAsia="zh-CN"/>
        </w:rPr>
        <w:t>评审存在问题分析整改培训</w:t>
      </w:r>
      <w:r>
        <w:rPr>
          <w:rFonts w:hint="eastAsia" w:cs="Times New Roman" w:asciiTheme="minorEastAsia" w:hAnsiTheme="minorEastAsia"/>
          <w:kern w:val="2"/>
          <w:sz w:val="28"/>
          <w:szCs w:val="28"/>
          <w:lang w:eastAsia="zh-CN"/>
        </w:rPr>
        <w:t>PPT》</w:t>
      </w:r>
      <w:r>
        <w:rPr>
          <w:rFonts w:hint="eastAsia" w:cs="Times New Roman" w:asciiTheme="minorEastAsia" w:hAnsiTheme="minorEastAsia"/>
          <w:kern w:val="2"/>
          <w:sz w:val="28"/>
          <w:szCs w:val="28"/>
          <w:lang w:val="en-US" w:eastAsia="zh-CN"/>
        </w:rPr>
        <w:t>一份</w:t>
      </w:r>
      <w:r>
        <w:rPr>
          <w:rFonts w:hint="eastAsia" w:cs="Times New Roman" w:asciiTheme="minorEastAsia" w:hAnsiTheme="minorEastAsia"/>
          <w:kern w:val="2"/>
          <w:sz w:val="28"/>
          <w:szCs w:val="28"/>
          <w:lang w:eastAsia="zh-CN"/>
        </w:rPr>
        <w:t>、《云南储能</w:t>
      </w:r>
      <w:r>
        <w:rPr>
          <w:rFonts w:hint="eastAsia" w:cs="Times New Roman" w:asciiTheme="minorEastAsia" w:hAnsiTheme="minorEastAsia"/>
          <w:kern w:val="2"/>
          <w:sz w:val="28"/>
          <w:szCs w:val="28"/>
          <w:lang w:val="en-US" w:eastAsia="zh-CN"/>
        </w:rPr>
        <w:t>评审存在问题的整改建议</w:t>
      </w:r>
      <w:r>
        <w:rPr>
          <w:rFonts w:hint="eastAsia" w:cs="Times New Roman" w:asciiTheme="minorEastAsia" w:hAnsiTheme="minorEastAsia"/>
          <w:kern w:val="2"/>
          <w:sz w:val="28"/>
          <w:szCs w:val="28"/>
          <w:lang w:eastAsia="zh-CN"/>
        </w:rPr>
        <w:t>报告》</w:t>
      </w:r>
      <w:r>
        <w:rPr>
          <w:rFonts w:hint="eastAsia" w:cs="Times New Roman" w:asciiTheme="minorEastAsia" w:hAnsiTheme="minorEastAsia"/>
          <w:kern w:val="2"/>
          <w:sz w:val="28"/>
          <w:szCs w:val="28"/>
          <w:lang w:val="en-US" w:eastAsia="zh-CN"/>
        </w:rPr>
        <w:t>一份</w:t>
      </w:r>
      <w:r>
        <w:rPr>
          <w:rFonts w:hint="eastAsia" w:cs="Times New Roman" w:asciiTheme="minorEastAsia" w:hAnsiTheme="minorEastAsia"/>
          <w:kern w:val="2"/>
          <w:sz w:val="28"/>
          <w:szCs w:val="28"/>
          <w:lang w:eastAsia="zh-CN"/>
        </w:rPr>
        <w:t>。</w:t>
      </w:r>
    </w:p>
    <w:bookmarkEnd w:id="7"/>
    <w:bookmarkEnd w:id="9"/>
    <w:p>
      <w:pPr>
        <w:numPr>
          <w:ilvl w:val="0"/>
          <w:numId w:val="0"/>
        </w:numPr>
        <w:spacing w:before="156" w:beforeLines="50" w:after="156" w:afterLines="50" w:line="360" w:lineRule="auto"/>
        <w:ind w:left="420" w:leftChars="0"/>
        <w:rPr>
          <w:rFonts w:hint="eastAsia" w:hAnsi="宋体"/>
          <w:b/>
          <w:bCs/>
          <w:kern w:val="44"/>
          <w:sz w:val="32"/>
          <w:szCs w:val="32"/>
          <w:lang w:val="en-US" w:eastAsia="zh-CN"/>
        </w:rPr>
      </w:pPr>
      <w:r>
        <w:rPr>
          <w:rFonts w:hint="eastAsia" w:hAnsi="宋体"/>
          <w:b/>
          <w:bCs/>
          <w:kern w:val="44"/>
          <w:sz w:val="32"/>
          <w:szCs w:val="32"/>
          <w:lang w:val="en-US" w:eastAsia="zh-CN"/>
        </w:rPr>
        <w:t>四、质量要求</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jc w:val="both"/>
        <w:textAlignment w:val="auto"/>
        <w:rPr>
          <w:rFonts w:hint="eastAsia" w:cs="Times New Roman" w:asciiTheme="minorEastAsia" w:hAnsiTheme="minorEastAsia"/>
          <w:kern w:val="2"/>
          <w:sz w:val="28"/>
          <w:szCs w:val="28"/>
          <w:lang w:eastAsia="zh-CN"/>
        </w:rPr>
      </w:pPr>
      <w:r>
        <w:rPr>
          <w:rFonts w:hint="eastAsia" w:cs="Times New Roman" w:asciiTheme="minorEastAsia" w:hAnsiTheme="minorEastAsia"/>
          <w:kern w:val="2"/>
          <w:sz w:val="28"/>
          <w:szCs w:val="28"/>
          <w:lang w:eastAsia="zh-CN"/>
        </w:rPr>
        <w:t>1.投标人应在合同签订后</w:t>
      </w:r>
      <w:r>
        <w:rPr>
          <w:rFonts w:hint="eastAsia" w:cs="Times New Roman" w:asciiTheme="minorEastAsia" w:hAnsiTheme="minorEastAsia"/>
          <w:kern w:val="2"/>
          <w:sz w:val="28"/>
          <w:szCs w:val="28"/>
          <w:lang w:val="en-US" w:eastAsia="zh-CN"/>
        </w:rPr>
        <w:t>3</w:t>
      </w:r>
      <w:r>
        <w:rPr>
          <w:rFonts w:hint="eastAsia" w:cs="Times New Roman" w:asciiTheme="minorEastAsia" w:hAnsiTheme="minorEastAsia"/>
          <w:kern w:val="2"/>
          <w:sz w:val="28"/>
          <w:szCs w:val="28"/>
          <w:lang w:eastAsia="zh-CN"/>
        </w:rPr>
        <w:t>个</w:t>
      </w:r>
      <w:r>
        <w:rPr>
          <w:rFonts w:hint="eastAsia" w:cs="Times New Roman" w:asciiTheme="minorEastAsia" w:hAnsiTheme="minorEastAsia"/>
          <w:kern w:val="2"/>
          <w:sz w:val="28"/>
          <w:szCs w:val="28"/>
          <w:lang w:val="en-US" w:eastAsia="zh-CN"/>
        </w:rPr>
        <w:t>工作</w:t>
      </w:r>
      <w:r>
        <w:rPr>
          <w:rFonts w:hint="eastAsia" w:cs="Times New Roman" w:asciiTheme="minorEastAsia" w:hAnsiTheme="minorEastAsia"/>
          <w:kern w:val="2"/>
          <w:sz w:val="28"/>
          <w:szCs w:val="28"/>
          <w:lang w:eastAsia="zh-CN"/>
        </w:rPr>
        <w:t>日内根据投标文件承诺向</w:t>
      </w:r>
      <w:r>
        <w:rPr>
          <w:rFonts w:hint="eastAsia" w:cs="Times New Roman" w:asciiTheme="minorEastAsia" w:hAnsiTheme="minorEastAsia"/>
          <w:kern w:val="2"/>
          <w:sz w:val="28"/>
          <w:szCs w:val="28"/>
          <w:lang w:val="en-US" w:eastAsia="zh-CN"/>
        </w:rPr>
        <w:t>发标人</w:t>
      </w:r>
      <w:r>
        <w:rPr>
          <w:rFonts w:hint="eastAsia" w:cs="Times New Roman" w:asciiTheme="minorEastAsia" w:hAnsiTheme="minorEastAsia"/>
          <w:kern w:val="2"/>
          <w:sz w:val="28"/>
          <w:szCs w:val="28"/>
          <w:lang w:eastAsia="zh-CN"/>
        </w:rPr>
        <w:t>正式提交《技术服务计划书》,计划书中须列明项目实施流程，人员组成，项目工作进度安排，阶段性文档提交方式及验收标准，质量保证措施等，充分考虑到项目执行过程中可能存在的问题，并提前准备对策和预案。</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jc w:val="both"/>
        <w:textAlignment w:val="auto"/>
        <w:rPr>
          <w:rFonts w:hint="eastAsia" w:cs="Times New Roman" w:asciiTheme="minorEastAsia" w:hAnsiTheme="minorEastAsia"/>
          <w:kern w:val="2"/>
          <w:sz w:val="28"/>
          <w:szCs w:val="28"/>
          <w:lang w:eastAsia="zh-CN"/>
        </w:rPr>
      </w:pPr>
      <w:r>
        <w:rPr>
          <w:rFonts w:hint="eastAsia" w:cs="Times New Roman" w:asciiTheme="minorEastAsia" w:hAnsiTheme="minorEastAsia"/>
          <w:kern w:val="2"/>
          <w:sz w:val="28"/>
          <w:szCs w:val="28"/>
          <w:lang w:eastAsia="zh-CN"/>
        </w:rPr>
        <w:t>2.投标人投标时应充分考虑项目各个环节，项目执行过程中须严格按合同及发包人要求执行和推动各项工作，不得以项目难度或政策调整为由要求增加费用。</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jc w:val="both"/>
        <w:textAlignment w:val="auto"/>
        <w:rPr>
          <w:rFonts w:hint="eastAsia" w:cs="Times New Roman" w:asciiTheme="minorEastAsia" w:hAnsiTheme="minorEastAsia"/>
          <w:kern w:val="2"/>
          <w:sz w:val="28"/>
          <w:szCs w:val="28"/>
          <w:lang w:eastAsia="zh-CN"/>
        </w:rPr>
      </w:pPr>
      <w:r>
        <w:rPr>
          <w:rFonts w:hint="eastAsia" w:cs="Times New Roman" w:asciiTheme="minorEastAsia" w:hAnsiTheme="minorEastAsia"/>
          <w:kern w:val="2"/>
          <w:sz w:val="28"/>
          <w:szCs w:val="28"/>
          <w:lang w:eastAsia="zh-CN"/>
        </w:rPr>
        <w:t>3.投标人所安排的项目负责人需具备注册安全工程师或安全生产风险管理体系相关审核资质，并承担过</w:t>
      </w:r>
      <w:r>
        <w:rPr>
          <w:rFonts w:hint="eastAsia" w:cs="Times New Roman" w:asciiTheme="minorEastAsia" w:hAnsiTheme="minorEastAsia"/>
          <w:kern w:val="2"/>
          <w:sz w:val="28"/>
          <w:szCs w:val="28"/>
          <w:lang w:val="en-US" w:eastAsia="zh-CN"/>
        </w:rPr>
        <w:t>电力系统或</w:t>
      </w:r>
      <w:r>
        <w:rPr>
          <w:rFonts w:hint="eastAsia" w:cs="Times New Roman" w:asciiTheme="minorEastAsia" w:hAnsiTheme="minorEastAsia"/>
          <w:kern w:val="2"/>
          <w:sz w:val="28"/>
          <w:szCs w:val="28"/>
          <w:lang w:eastAsia="zh-CN"/>
        </w:rPr>
        <w:t>南方电网公司所属单位安全生产业务提升或关键指标优化相关工作。</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jc w:val="both"/>
        <w:textAlignment w:val="auto"/>
        <w:rPr>
          <w:rFonts w:hint="eastAsia" w:cs="Times New Roman" w:asciiTheme="minorEastAsia" w:hAnsiTheme="minorEastAsia"/>
          <w:kern w:val="2"/>
          <w:sz w:val="28"/>
          <w:szCs w:val="28"/>
          <w:lang w:eastAsia="zh-CN"/>
        </w:rPr>
      </w:pPr>
      <w:r>
        <w:rPr>
          <w:rFonts w:hint="eastAsia" w:cs="Times New Roman" w:asciiTheme="minorEastAsia" w:hAnsiTheme="minorEastAsia"/>
          <w:kern w:val="2"/>
          <w:sz w:val="28"/>
          <w:szCs w:val="28"/>
          <w:lang w:eastAsia="zh-CN"/>
        </w:rPr>
        <w:t>4.投标人所安排的项目组成员不少于</w:t>
      </w:r>
      <w:r>
        <w:rPr>
          <w:rFonts w:hint="eastAsia" w:cs="Times New Roman" w:asciiTheme="minorEastAsia" w:hAnsiTheme="minorEastAsia"/>
          <w:kern w:val="2"/>
          <w:sz w:val="28"/>
          <w:szCs w:val="28"/>
          <w:lang w:val="en-US" w:eastAsia="zh-CN"/>
        </w:rPr>
        <w:t>2</w:t>
      </w:r>
      <w:r>
        <w:rPr>
          <w:rFonts w:hint="eastAsia" w:cs="Times New Roman" w:asciiTheme="minorEastAsia" w:hAnsiTheme="minorEastAsia"/>
          <w:kern w:val="2"/>
          <w:sz w:val="28"/>
          <w:szCs w:val="28"/>
          <w:lang w:eastAsia="zh-CN"/>
        </w:rPr>
        <w:t>名，且承担过</w:t>
      </w:r>
      <w:r>
        <w:rPr>
          <w:rFonts w:hint="eastAsia" w:cs="Times New Roman" w:asciiTheme="minorEastAsia" w:hAnsiTheme="minorEastAsia"/>
          <w:kern w:val="2"/>
          <w:sz w:val="28"/>
          <w:szCs w:val="28"/>
          <w:lang w:val="en-US" w:eastAsia="zh-CN"/>
        </w:rPr>
        <w:t>电力系统或</w:t>
      </w:r>
      <w:r>
        <w:rPr>
          <w:rFonts w:hint="eastAsia" w:cs="Times New Roman" w:asciiTheme="minorEastAsia" w:hAnsiTheme="minorEastAsia"/>
          <w:kern w:val="2"/>
          <w:sz w:val="28"/>
          <w:szCs w:val="28"/>
          <w:lang w:eastAsia="zh-CN"/>
        </w:rPr>
        <w:t>南方电网公司所属单位安全生产业务提升或关键指标优化相关工作。</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jc w:val="both"/>
        <w:textAlignment w:val="auto"/>
        <w:rPr>
          <w:rFonts w:hint="eastAsia" w:cs="Times New Roman" w:asciiTheme="minorEastAsia" w:hAnsiTheme="minorEastAsia"/>
          <w:kern w:val="2"/>
          <w:sz w:val="28"/>
          <w:szCs w:val="28"/>
          <w:lang w:eastAsia="zh-CN"/>
        </w:rPr>
      </w:pPr>
      <w:r>
        <w:rPr>
          <w:rFonts w:hint="eastAsia" w:cs="Times New Roman" w:asciiTheme="minorEastAsia" w:hAnsiTheme="minorEastAsia"/>
          <w:kern w:val="2"/>
          <w:sz w:val="28"/>
          <w:szCs w:val="28"/>
          <w:lang w:eastAsia="zh-CN"/>
        </w:rPr>
        <w:t>5.项目最终成果应包含“项目内容与要求”中各事项，满足当前发包人管理应用现状及要求，并在与发包人共同协商确定的《技术服务计划书》内时间节点前提交审核。</w:t>
      </w:r>
      <w:bookmarkEnd w:id="0"/>
      <w:bookmarkEnd w:id="2"/>
      <w:bookmarkEnd w:id="4"/>
      <w:bookmarkEnd w:id="5"/>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jc w:val="both"/>
        <w:textAlignment w:val="auto"/>
        <w:rPr>
          <w:rFonts w:hint="eastAsia" w:cs="Times New Roman" w:asciiTheme="minorEastAsia" w:hAnsiTheme="minorEastAsia"/>
          <w:kern w:val="2"/>
          <w:sz w:val="28"/>
          <w:szCs w:val="28"/>
          <w:lang w:eastAsia="zh-CN"/>
        </w:rPr>
      </w:pPr>
      <w:r>
        <w:rPr>
          <w:rFonts w:hint="eastAsia" w:cs="Times New Roman" w:asciiTheme="minorEastAsia" w:hAnsiTheme="minorEastAsia"/>
          <w:kern w:val="2"/>
          <w:sz w:val="28"/>
          <w:szCs w:val="28"/>
          <w:lang w:eastAsia="zh-CN"/>
        </w:rPr>
        <w:t>6.相关成果归发包人所有，其相关成果未经发包人许可不得向第三方泄露。</w:t>
      </w:r>
    </w:p>
    <w:sectPr>
      <w:footerReference r:id="rId4" w:type="default"/>
      <w:pgSz w:w="12240" w:h="15840"/>
      <w:pgMar w:top="1440" w:right="1800" w:bottom="1440" w:left="180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hideSpellingErrors/>
  <w:hideGrammaticalError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cumentProtection w:enforcement="0"/>
  <w:defaultTabStop w:val="720"/>
  <w:drawingGridHorizontalSpacing w:val="360"/>
  <w:drawingGridVerticalSpacing w:val="360"/>
  <w:displayHorizontalDrawingGridEvery w:val="0"/>
  <w:displayVerticalDrawingGridEvery w:val="0"/>
  <w:characterSpacingControl w:val="doNotCompress"/>
  <w:footnotePr>
    <w:footnote w:id="0"/>
    <w:footnote w:id="1"/>
  </w:foot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JkNTQxODhmOTZkNmViNDEyMDkzMDAxMzlmMGQwNjUifQ=="/>
  </w:docVars>
  <w:rsids>
    <w:rsidRoot w:val="00431673"/>
    <w:rsid w:val="00007EE9"/>
    <w:rsid w:val="001077C1"/>
    <w:rsid w:val="00124265"/>
    <w:rsid w:val="001C0AB2"/>
    <w:rsid w:val="001F6719"/>
    <w:rsid w:val="00211390"/>
    <w:rsid w:val="00231A00"/>
    <w:rsid w:val="0023277F"/>
    <w:rsid w:val="00281856"/>
    <w:rsid w:val="00281D73"/>
    <w:rsid w:val="0028584C"/>
    <w:rsid w:val="0028621E"/>
    <w:rsid w:val="00296556"/>
    <w:rsid w:val="002A426B"/>
    <w:rsid w:val="003B5271"/>
    <w:rsid w:val="00413E2E"/>
    <w:rsid w:val="00431673"/>
    <w:rsid w:val="00455A53"/>
    <w:rsid w:val="004E7C04"/>
    <w:rsid w:val="0050056F"/>
    <w:rsid w:val="00525489"/>
    <w:rsid w:val="00531750"/>
    <w:rsid w:val="00561123"/>
    <w:rsid w:val="005A6F21"/>
    <w:rsid w:val="005B3F0C"/>
    <w:rsid w:val="005B768F"/>
    <w:rsid w:val="005C765B"/>
    <w:rsid w:val="006A3C92"/>
    <w:rsid w:val="006D3CB0"/>
    <w:rsid w:val="006F6010"/>
    <w:rsid w:val="0070765B"/>
    <w:rsid w:val="00764334"/>
    <w:rsid w:val="007744B1"/>
    <w:rsid w:val="007D3510"/>
    <w:rsid w:val="007E1A19"/>
    <w:rsid w:val="0084437B"/>
    <w:rsid w:val="008A5273"/>
    <w:rsid w:val="008B4A1E"/>
    <w:rsid w:val="008C7263"/>
    <w:rsid w:val="008C7B00"/>
    <w:rsid w:val="008D417A"/>
    <w:rsid w:val="00931BC6"/>
    <w:rsid w:val="00944397"/>
    <w:rsid w:val="009635C5"/>
    <w:rsid w:val="00982D44"/>
    <w:rsid w:val="009B4994"/>
    <w:rsid w:val="009D1FF7"/>
    <w:rsid w:val="00A36DEC"/>
    <w:rsid w:val="00A51D42"/>
    <w:rsid w:val="00A95E74"/>
    <w:rsid w:val="00AB616D"/>
    <w:rsid w:val="00AD564E"/>
    <w:rsid w:val="00B231BC"/>
    <w:rsid w:val="00BC1E74"/>
    <w:rsid w:val="00C30141"/>
    <w:rsid w:val="00C826EE"/>
    <w:rsid w:val="00CA3B7B"/>
    <w:rsid w:val="00CC23A4"/>
    <w:rsid w:val="00D019E4"/>
    <w:rsid w:val="00D455C2"/>
    <w:rsid w:val="00D8052B"/>
    <w:rsid w:val="00D952E2"/>
    <w:rsid w:val="00E1335B"/>
    <w:rsid w:val="00E32B34"/>
    <w:rsid w:val="00E70370"/>
    <w:rsid w:val="00EB0ED2"/>
    <w:rsid w:val="00EB1D0A"/>
    <w:rsid w:val="00F00C12"/>
    <w:rsid w:val="00F32C0B"/>
    <w:rsid w:val="00F35EF7"/>
    <w:rsid w:val="00F75DD3"/>
    <w:rsid w:val="00F918F1"/>
    <w:rsid w:val="00F94CE9"/>
    <w:rsid w:val="00FB19BB"/>
    <w:rsid w:val="00FD0DF3"/>
    <w:rsid w:val="02166CDE"/>
    <w:rsid w:val="026D32C6"/>
    <w:rsid w:val="06DF2FCD"/>
    <w:rsid w:val="0B966410"/>
    <w:rsid w:val="0BBA19CE"/>
    <w:rsid w:val="0C2445C2"/>
    <w:rsid w:val="0C3166AF"/>
    <w:rsid w:val="0CFB4FF7"/>
    <w:rsid w:val="111A0C9A"/>
    <w:rsid w:val="120627FD"/>
    <w:rsid w:val="14CD362D"/>
    <w:rsid w:val="180301C2"/>
    <w:rsid w:val="181C745F"/>
    <w:rsid w:val="19391F6F"/>
    <w:rsid w:val="1D9D763C"/>
    <w:rsid w:val="1DA91F39"/>
    <w:rsid w:val="1E32540F"/>
    <w:rsid w:val="1E745D3A"/>
    <w:rsid w:val="1EF100C7"/>
    <w:rsid w:val="2240793E"/>
    <w:rsid w:val="24914CA9"/>
    <w:rsid w:val="30C160D5"/>
    <w:rsid w:val="339459F7"/>
    <w:rsid w:val="359D0B08"/>
    <w:rsid w:val="378351F5"/>
    <w:rsid w:val="37B1193A"/>
    <w:rsid w:val="3B9E58F7"/>
    <w:rsid w:val="3C5F2211"/>
    <w:rsid w:val="3E6B3275"/>
    <w:rsid w:val="42984E79"/>
    <w:rsid w:val="43243AB5"/>
    <w:rsid w:val="441D624B"/>
    <w:rsid w:val="47FA69C0"/>
    <w:rsid w:val="48F309DC"/>
    <w:rsid w:val="490D18E7"/>
    <w:rsid w:val="495E78EF"/>
    <w:rsid w:val="496B5A5C"/>
    <w:rsid w:val="4A095035"/>
    <w:rsid w:val="4D0B68F4"/>
    <w:rsid w:val="5397131D"/>
    <w:rsid w:val="54015E04"/>
    <w:rsid w:val="54CE0A50"/>
    <w:rsid w:val="56412DA4"/>
    <w:rsid w:val="564A221E"/>
    <w:rsid w:val="565C2060"/>
    <w:rsid w:val="57C7448F"/>
    <w:rsid w:val="5825082B"/>
    <w:rsid w:val="582B628D"/>
    <w:rsid w:val="5BDE05C6"/>
    <w:rsid w:val="5CDD26E7"/>
    <w:rsid w:val="5D203193"/>
    <w:rsid w:val="67C718D1"/>
    <w:rsid w:val="691D370C"/>
    <w:rsid w:val="6B6B74C9"/>
    <w:rsid w:val="6C375E6F"/>
    <w:rsid w:val="6C7E1D33"/>
    <w:rsid w:val="6C8B53A2"/>
    <w:rsid w:val="6F024922"/>
    <w:rsid w:val="6F337C01"/>
    <w:rsid w:val="704143DA"/>
    <w:rsid w:val="71611EC0"/>
    <w:rsid w:val="71B90522"/>
    <w:rsid w:val="73663A61"/>
    <w:rsid w:val="740736E0"/>
    <w:rsid w:val="74A374AA"/>
    <w:rsid w:val="795B7FA5"/>
    <w:rsid w:val="79FA3F2A"/>
    <w:rsid w:val="7E2B31AF"/>
    <w:rsid w:val="7E357087"/>
    <w:rsid w:val="7EBF2DF9"/>
    <w:rsid w:val="7EF60348"/>
    <w:rsid w:val="7F330416"/>
    <w:rsid w:val="7F7D9A9A"/>
    <w:rsid w:val="7FFFCBF9"/>
    <w:rsid w:val="9F7FC6E9"/>
    <w:rsid w:val="F9FC225A"/>
  </w:rsids>
  <m:mathPr>
    <m:mathFont m:val="Cambria Math"/>
    <m:brkBin m:val="before"/>
    <m:brkBinSub m:val="--"/>
    <m:smallFrac m:val="0"/>
    <m:dispDef/>
    <m:lMargin m:val="0"/>
    <m:rMargin m:val="0"/>
    <m:defJc m:val="centerGroup"/>
    <m:wrapRight m:val="1"/>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qFormat="1" w:uiPriority="9" w:semiHidden="0" w:name="footnote text"/>
    <w:lsdException w:uiPriority="0" w:name="annotation text"/>
    <w:lsdException w:qFormat="1" w:uiPriority="0" w:name="header"/>
    <w:lsdException w:qFormat="1" w:uiPriority="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qFormat="1" w:unhideWhenUsed="0" w:uiPriority="0" w:semiHidden="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nhideWhenUsed="0" w:uiPriority="0" w:semiHidden="0" w:name="List 5"/>
    <w:lsdException w:uiPriority="0" w:name="List Bullet 2"/>
    <w:lsdException w:uiPriority="0" w:name="List Bullet 3"/>
    <w:lsdException w:unhideWhenUsed="0" w:uiPriority="0" w:semiHidden="0" w:name="List Bullet 4"/>
    <w:lsdException w:unhideWhenUsed="0" w:uiPriority="0" w:semiHidden="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iPriority="0" w:name="Body Text Indent 2"/>
    <w:lsdException w:uiPriority="0" w:name="Body Text Indent 3"/>
    <w:lsdException w:qFormat="1" w:uiPriority="9" w:semiHidden="0" w:name="Block Text"/>
    <w:lsdException w:qFormat="1" w:unhideWhenUsed="0" w:uiPriority="0" w:semiHidden="0" w:name="Hyperlink"/>
    <w:lsdException w:uiPriority="0" w:name="FollowedHyperlink"/>
    <w:lsdException w:unhideWhenUsed="0" w:uiPriority="0" w:semiHidden="0" w:name="Strong"/>
    <w:lsdException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200"/>
    </w:pPr>
    <w:rPr>
      <w:rFonts w:asciiTheme="minorHAnsi" w:hAnsiTheme="minorHAnsi" w:eastAsiaTheme="minorEastAsia" w:cstheme="minorBidi"/>
      <w:sz w:val="24"/>
      <w:szCs w:val="24"/>
      <w:lang w:val="en-US" w:eastAsia="en-US" w:bidi="ar-SA"/>
    </w:rPr>
  </w:style>
  <w:style w:type="paragraph" w:styleId="4">
    <w:name w:val="heading 1"/>
    <w:basedOn w:val="1"/>
    <w:next w:val="2"/>
    <w:qFormat/>
    <w:uiPriority w:val="9"/>
    <w:pPr>
      <w:keepNext/>
      <w:keepLines/>
      <w:spacing w:before="480" w:after="0"/>
      <w:outlineLvl w:val="0"/>
    </w:pPr>
    <w:rPr>
      <w:rFonts w:asciiTheme="majorHAnsi" w:hAnsiTheme="majorHAnsi" w:eastAsiaTheme="majorEastAsia" w:cstheme="majorBidi"/>
      <w:b/>
      <w:bCs/>
      <w:color w:val="4F81BD" w:themeColor="accent1"/>
      <w:sz w:val="32"/>
      <w:szCs w:val="32"/>
      <w14:textFill>
        <w14:solidFill>
          <w14:schemeClr w14:val="accent1"/>
        </w14:solidFill>
      </w14:textFill>
    </w:rPr>
  </w:style>
  <w:style w:type="paragraph" w:styleId="5">
    <w:name w:val="heading 2"/>
    <w:basedOn w:val="1"/>
    <w:next w:val="2"/>
    <w:unhideWhenUsed/>
    <w:qFormat/>
    <w:uiPriority w:val="9"/>
    <w:pPr>
      <w:keepNext/>
      <w:keepLines/>
      <w:spacing w:before="200" w:after="0"/>
      <w:outlineLvl w:val="1"/>
    </w:pPr>
    <w:rPr>
      <w:rFonts w:asciiTheme="majorHAnsi" w:hAnsiTheme="majorHAnsi" w:eastAsiaTheme="majorEastAsia" w:cstheme="majorBidi"/>
      <w:b/>
      <w:bCs/>
      <w:color w:val="4F81BD" w:themeColor="accent1"/>
      <w:sz w:val="28"/>
      <w:szCs w:val="28"/>
      <w14:textFill>
        <w14:solidFill>
          <w14:schemeClr w14:val="accent1"/>
        </w14:solidFill>
      </w14:textFill>
    </w:rPr>
  </w:style>
  <w:style w:type="paragraph" w:styleId="6">
    <w:name w:val="heading 3"/>
    <w:basedOn w:val="1"/>
    <w:next w:val="2"/>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7">
    <w:name w:val="heading 4"/>
    <w:basedOn w:val="1"/>
    <w:next w:val="2"/>
    <w:unhideWhenUsed/>
    <w:qFormat/>
    <w:uiPriority w:val="9"/>
    <w:pPr>
      <w:keepNext/>
      <w:keepLines/>
      <w:spacing w:before="200" w:after="0"/>
      <w:outlineLvl w:val="3"/>
    </w:pPr>
    <w:rPr>
      <w:rFonts w:asciiTheme="majorHAnsi" w:hAnsiTheme="majorHAnsi" w:eastAsiaTheme="majorEastAsia" w:cstheme="majorBidi"/>
      <w:bCs/>
      <w:i/>
      <w:color w:val="4F81BD" w:themeColor="accent1"/>
      <w14:textFill>
        <w14:solidFill>
          <w14:schemeClr w14:val="accent1"/>
        </w14:solidFill>
      </w14:textFill>
    </w:rPr>
  </w:style>
  <w:style w:type="paragraph" w:styleId="8">
    <w:name w:val="heading 5"/>
    <w:basedOn w:val="1"/>
    <w:next w:val="2"/>
    <w:unhideWhenUsed/>
    <w:qFormat/>
    <w:uiPriority w:val="9"/>
    <w:pPr>
      <w:keepNext/>
      <w:keepLines/>
      <w:spacing w:before="200" w:after="0"/>
      <w:outlineLvl w:val="4"/>
    </w:pPr>
    <w:rPr>
      <w:rFonts w:asciiTheme="majorHAnsi" w:hAnsiTheme="majorHAnsi" w:eastAsiaTheme="majorEastAsia" w:cstheme="majorBidi"/>
      <w:iCs/>
      <w:color w:val="4F81BD" w:themeColor="accent1"/>
      <w14:textFill>
        <w14:solidFill>
          <w14:schemeClr w14:val="accent1"/>
        </w14:solidFill>
      </w14:textFill>
    </w:rPr>
  </w:style>
  <w:style w:type="paragraph" w:styleId="9">
    <w:name w:val="heading 6"/>
    <w:basedOn w:val="1"/>
    <w:next w:val="2"/>
    <w:unhideWhenUsed/>
    <w:qFormat/>
    <w:uiPriority w:val="9"/>
    <w:pPr>
      <w:keepNext/>
      <w:keepLines/>
      <w:spacing w:before="200" w:after="0"/>
      <w:outlineLvl w:val="5"/>
    </w:pPr>
    <w:rPr>
      <w:rFonts w:asciiTheme="majorHAnsi" w:hAnsiTheme="majorHAnsi" w:eastAsiaTheme="majorEastAsia" w:cstheme="majorBidi"/>
      <w:color w:val="4F81BD" w:themeColor="accent1"/>
      <w14:textFill>
        <w14:solidFill>
          <w14:schemeClr w14:val="accent1"/>
        </w14:solidFill>
      </w14:textFill>
    </w:rPr>
  </w:style>
  <w:style w:type="paragraph" w:styleId="10">
    <w:name w:val="heading 7"/>
    <w:basedOn w:val="1"/>
    <w:next w:val="2"/>
    <w:unhideWhenUsed/>
    <w:qFormat/>
    <w:uiPriority w:val="9"/>
    <w:pPr>
      <w:keepNext/>
      <w:keepLines/>
      <w:spacing w:before="200" w:after="0"/>
      <w:outlineLvl w:val="6"/>
    </w:pPr>
    <w:rPr>
      <w:rFonts w:asciiTheme="majorHAnsi" w:hAnsiTheme="majorHAnsi" w:eastAsiaTheme="majorEastAsia" w:cstheme="majorBidi"/>
      <w:color w:val="4F81BD" w:themeColor="accent1"/>
      <w14:textFill>
        <w14:solidFill>
          <w14:schemeClr w14:val="accent1"/>
        </w14:solidFill>
      </w14:textFill>
    </w:rPr>
  </w:style>
  <w:style w:type="paragraph" w:styleId="11">
    <w:name w:val="heading 8"/>
    <w:basedOn w:val="1"/>
    <w:next w:val="2"/>
    <w:unhideWhenUsed/>
    <w:qFormat/>
    <w:uiPriority w:val="9"/>
    <w:pPr>
      <w:keepNext/>
      <w:keepLines/>
      <w:spacing w:before="200" w:after="0"/>
      <w:outlineLvl w:val="7"/>
    </w:pPr>
    <w:rPr>
      <w:rFonts w:asciiTheme="majorHAnsi" w:hAnsiTheme="majorHAnsi" w:eastAsiaTheme="majorEastAsia" w:cstheme="majorBidi"/>
      <w:color w:val="4F81BD" w:themeColor="accent1"/>
      <w14:textFill>
        <w14:solidFill>
          <w14:schemeClr w14:val="accent1"/>
        </w14:solidFill>
      </w14:textFill>
    </w:rPr>
  </w:style>
  <w:style w:type="paragraph" w:styleId="12">
    <w:name w:val="heading 9"/>
    <w:basedOn w:val="1"/>
    <w:next w:val="2"/>
    <w:unhideWhenUsed/>
    <w:qFormat/>
    <w:uiPriority w:val="9"/>
    <w:pPr>
      <w:keepNext/>
      <w:keepLines/>
      <w:spacing w:before="200" w:after="0"/>
      <w:outlineLvl w:val="8"/>
    </w:pPr>
    <w:rPr>
      <w:rFonts w:asciiTheme="majorHAnsi" w:hAnsiTheme="majorHAnsi" w:eastAsiaTheme="majorEastAsia" w:cstheme="majorBidi"/>
      <w:color w:val="4F81BD" w:themeColor="accent1"/>
      <w14:textFill>
        <w14:solidFill>
          <w14:schemeClr w14:val="accent1"/>
        </w14:solidFill>
      </w14:textFill>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qFormat/>
    <w:uiPriority w:val="0"/>
    <w:pPr>
      <w:spacing w:before="180" w:after="180"/>
    </w:pPr>
  </w:style>
  <w:style w:type="paragraph" w:styleId="3">
    <w:name w:val="Title"/>
    <w:basedOn w:val="1"/>
    <w:next w:val="1"/>
    <w:qFormat/>
    <w:uiPriority w:val="0"/>
    <w:pPr>
      <w:keepNext/>
      <w:keepLines/>
      <w:spacing w:before="480" w:after="240"/>
      <w:jc w:val="center"/>
    </w:pPr>
    <w:rPr>
      <w:rFonts w:asciiTheme="majorHAnsi" w:hAnsiTheme="majorHAnsi" w:eastAsiaTheme="majorEastAsia" w:cstheme="majorBidi"/>
      <w:b/>
      <w:bCs/>
      <w:color w:val="345B8A" w:themeColor="accent1" w:themeShade="B5"/>
      <w:sz w:val="36"/>
      <w:szCs w:val="36"/>
    </w:rPr>
  </w:style>
  <w:style w:type="paragraph" w:styleId="13">
    <w:name w:val="caption"/>
    <w:basedOn w:val="1"/>
    <w:next w:val="1"/>
    <w:link w:val="24"/>
    <w:qFormat/>
    <w:uiPriority w:val="0"/>
    <w:pPr>
      <w:spacing w:after="120"/>
    </w:pPr>
    <w:rPr>
      <w:i/>
    </w:rPr>
  </w:style>
  <w:style w:type="paragraph" w:styleId="14">
    <w:name w:val="Block Text"/>
    <w:basedOn w:val="2"/>
    <w:next w:val="2"/>
    <w:unhideWhenUsed/>
    <w:qFormat/>
    <w:uiPriority w:val="9"/>
    <w:pPr>
      <w:spacing w:before="100" w:after="100"/>
      <w:ind w:left="480" w:right="480"/>
    </w:pPr>
  </w:style>
  <w:style w:type="paragraph" w:styleId="15">
    <w:name w:val="Date"/>
    <w:next w:val="2"/>
    <w:qFormat/>
    <w:uiPriority w:val="0"/>
    <w:pPr>
      <w:keepNext/>
      <w:keepLines/>
      <w:spacing w:after="200"/>
      <w:jc w:val="center"/>
    </w:pPr>
    <w:rPr>
      <w:rFonts w:asciiTheme="minorHAnsi" w:hAnsiTheme="minorHAnsi" w:eastAsiaTheme="minorEastAsia" w:cstheme="minorBidi"/>
      <w:sz w:val="24"/>
      <w:szCs w:val="24"/>
      <w:lang w:val="en-US" w:eastAsia="en-US" w:bidi="ar-SA"/>
    </w:rPr>
  </w:style>
  <w:style w:type="paragraph" w:styleId="16">
    <w:name w:val="footer"/>
    <w:basedOn w:val="1"/>
    <w:semiHidden/>
    <w:unhideWhenUsed/>
    <w:qFormat/>
    <w:uiPriority w:val="0"/>
    <w:pPr>
      <w:tabs>
        <w:tab w:val="center" w:pos="4153"/>
        <w:tab w:val="right" w:pos="8306"/>
      </w:tabs>
      <w:snapToGrid w:val="0"/>
    </w:pPr>
    <w:rPr>
      <w:sz w:val="18"/>
    </w:rPr>
  </w:style>
  <w:style w:type="paragraph" w:styleId="17">
    <w:name w:val="header"/>
    <w:basedOn w:val="1"/>
    <w:semiHidden/>
    <w:unhideWhenUsed/>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8">
    <w:name w:val="Subtitle"/>
    <w:basedOn w:val="3"/>
    <w:next w:val="2"/>
    <w:qFormat/>
    <w:uiPriority w:val="0"/>
    <w:pPr>
      <w:spacing w:before="240"/>
    </w:pPr>
    <w:rPr>
      <w:sz w:val="30"/>
      <w:szCs w:val="30"/>
    </w:rPr>
  </w:style>
  <w:style w:type="paragraph" w:styleId="19">
    <w:name w:val="footnote text"/>
    <w:basedOn w:val="1"/>
    <w:unhideWhenUsed/>
    <w:qFormat/>
    <w:uiPriority w:val="9"/>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Hyperlink"/>
    <w:basedOn w:val="24"/>
    <w:qFormat/>
    <w:uiPriority w:val="0"/>
    <w:rPr>
      <w:color w:val="4F81BD" w:themeColor="accent1"/>
      <w14:textFill>
        <w14:solidFill>
          <w14:schemeClr w14:val="accent1"/>
        </w14:solidFill>
      </w14:textFill>
    </w:rPr>
  </w:style>
  <w:style w:type="character" w:customStyle="1" w:styleId="24">
    <w:name w:val="题注 字符"/>
    <w:basedOn w:val="22"/>
    <w:link w:val="13"/>
    <w:qFormat/>
    <w:uiPriority w:val="0"/>
  </w:style>
  <w:style w:type="character" w:styleId="25">
    <w:name w:val="footnote reference"/>
    <w:basedOn w:val="24"/>
    <w:qFormat/>
    <w:uiPriority w:val="0"/>
    <w:rPr>
      <w:vertAlign w:val="superscript"/>
    </w:rPr>
  </w:style>
  <w:style w:type="paragraph" w:customStyle="1" w:styleId="26">
    <w:name w:val="样式4缩"/>
    <w:basedOn w:val="1"/>
    <w:next w:val="1"/>
    <w:qFormat/>
    <w:uiPriority w:val="0"/>
    <w:pPr>
      <w:spacing w:line="360" w:lineRule="auto"/>
    </w:pPr>
    <w:rPr>
      <w:rFonts w:ascii="宋体" w:hAnsi="宋体"/>
    </w:rPr>
  </w:style>
  <w:style w:type="paragraph" w:customStyle="1" w:styleId="27">
    <w:name w:val="First Paragraph"/>
    <w:basedOn w:val="2"/>
    <w:next w:val="2"/>
    <w:qFormat/>
    <w:uiPriority w:val="0"/>
  </w:style>
  <w:style w:type="paragraph" w:customStyle="1" w:styleId="28">
    <w:name w:val="Compact"/>
    <w:basedOn w:val="2"/>
    <w:qFormat/>
    <w:uiPriority w:val="0"/>
    <w:pPr>
      <w:spacing w:before="36" w:after="36"/>
    </w:pPr>
  </w:style>
  <w:style w:type="paragraph" w:customStyle="1" w:styleId="29">
    <w:name w:val="Author"/>
    <w:next w:val="2"/>
    <w:qFormat/>
    <w:uiPriority w:val="0"/>
    <w:pPr>
      <w:keepNext/>
      <w:keepLines/>
      <w:spacing w:after="200"/>
      <w:jc w:val="center"/>
    </w:pPr>
    <w:rPr>
      <w:rFonts w:asciiTheme="minorHAnsi" w:hAnsiTheme="minorHAnsi" w:eastAsiaTheme="minorEastAsia" w:cstheme="minorBidi"/>
      <w:sz w:val="24"/>
      <w:szCs w:val="24"/>
      <w:lang w:val="en-US" w:eastAsia="en-US" w:bidi="ar-SA"/>
    </w:rPr>
  </w:style>
  <w:style w:type="paragraph" w:customStyle="1" w:styleId="30">
    <w:name w:val="Abstract"/>
    <w:basedOn w:val="1"/>
    <w:next w:val="2"/>
    <w:qFormat/>
    <w:uiPriority w:val="0"/>
    <w:pPr>
      <w:keepNext/>
      <w:keepLines/>
      <w:spacing w:before="300" w:after="300"/>
    </w:pPr>
    <w:rPr>
      <w:sz w:val="20"/>
      <w:szCs w:val="20"/>
    </w:rPr>
  </w:style>
  <w:style w:type="paragraph" w:customStyle="1" w:styleId="31">
    <w:name w:val="书目1"/>
    <w:basedOn w:val="1"/>
    <w:qFormat/>
    <w:uiPriority w:val="0"/>
  </w:style>
  <w:style w:type="table" w:customStyle="1" w:styleId="32">
    <w:name w:val="Table"/>
    <w:semiHidden/>
    <w:unhideWhenUsed/>
    <w:qFormat/>
    <w:uiPriority w:val="0"/>
    <w:tblPr>
      <w:tblCellMar>
        <w:top w:w="0" w:type="dxa"/>
        <w:left w:w="108" w:type="dxa"/>
        <w:bottom w:w="0" w:type="dxa"/>
        <w:right w:w="108" w:type="dxa"/>
      </w:tblCellMar>
    </w:tblPr>
    <w:tblStylePr w:type="firstRow">
      <w:tcPr>
        <w:tcBorders>
          <w:bottom w:val="single" w:color="auto" w:sz="0" w:space="0"/>
        </w:tcBorders>
        <w:vAlign w:val="bottom"/>
      </w:tcPr>
    </w:tblStylePr>
  </w:style>
  <w:style w:type="paragraph" w:customStyle="1" w:styleId="33">
    <w:name w:val="Definition Term"/>
    <w:basedOn w:val="1"/>
    <w:next w:val="34"/>
    <w:qFormat/>
    <w:uiPriority w:val="0"/>
    <w:pPr>
      <w:keepNext/>
      <w:keepLines/>
      <w:spacing w:after="0"/>
    </w:pPr>
    <w:rPr>
      <w:b/>
    </w:rPr>
  </w:style>
  <w:style w:type="paragraph" w:customStyle="1" w:styleId="34">
    <w:name w:val="Definition"/>
    <w:basedOn w:val="1"/>
    <w:qFormat/>
    <w:uiPriority w:val="0"/>
  </w:style>
  <w:style w:type="paragraph" w:customStyle="1" w:styleId="35">
    <w:name w:val="Table Caption"/>
    <w:basedOn w:val="13"/>
    <w:qFormat/>
    <w:uiPriority w:val="0"/>
    <w:pPr>
      <w:keepNext/>
    </w:pPr>
  </w:style>
  <w:style w:type="paragraph" w:customStyle="1" w:styleId="36">
    <w:name w:val="Image Caption"/>
    <w:basedOn w:val="13"/>
    <w:qFormat/>
    <w:uiPriority w:val="0"/>
  </w:style>
  <w:style w:type="paragraph" w:customStyle="1" w:styleId="37">
    <w:name w:val="Figure"/>
    <w:basedOn w:val="1"/>
    <w:qFormat/>
    <w:uiPriority w:val="0"/>
  </w:style>
  <w:style w:type="paragraph" w:customStyle="1" w:styleId="38">
    <w:name w:val="Captioned Figure"/>
    <w:basedOn w:val="37"/>
    <w:qFormat/>
    <w:uiPriority w:val="0"/>
    <w:pPr>
      <w:keepNext/>
    </w:pPr>
  </w:style>
  <w:style w:type="character" w:customStyle="1" w:styleId="39">
    <w:name w:val="Verbatim Char"/>
    <w:basedOn w:val="24"/>
    <w:link w:val="40"/>
    <w:qFormat/>
    <w:uiPriority w:val="0"/>
    <w:rPr>
      <w:rFonts w:ascii="Consolas" w:hAnsi="Consolas"/>
      <w:sz w:val="22"/>
    </w:rPr>
  </w:style>
  <w:style w:type="paragraph" w:customStyle="1" w:styleId="40">
    <w:name w:val="Source Code"/>
    <w:basedOn w:val="1"/>
    <w:link w:val="39"/>
    <w:qFormat/>
    <w:uiPriority w:val="0"/>
    <w:pPr>
      <w:wordWrap w:val="0"/>
    </w:pPr>
  </w:style>
  <w:style w:type="character" w:customStyle="1" w:styleId="41">
    <w:name w:val="Section Number"/>
    <w:basedOn w:val="24"/>
    <w:qFormat/>
    <w:uiPriority w:val="0"/>
  </w:style>
  <w:style w:type="paragraph" w:customStyle="1" w:styleId="42">
    <w:name w:val="TOC 标题1"/>
    <w:basedOn w:val="4"/>
    <w:next w:val="2"/>
    <w:unhideWhenUsed/>
    <w:qFormat/>
    <w:uiPriority w:val="39"/>
    <w:pPr>
      <w:spacing w:before="240" w:line="259" w:lineRule="auto"/>
      <w:outlineLvl w:val="9"/>
    </w:pPr>
    <w:rPr>
      <w:b w:val="0"/>
      <w:bCs w:val="0"/>
      <w:color w:val="376092" w:themeColor="accent1" w:themeShade="BF"/>
    </w:rPr>
  </w:style>
  <w:style w:type="character" w:customStyle="1" w:styleId="43">
    <w:name w:val="KeywordTok"/>
    <w:basedOn w:val="39"/>
    <w:qFormat/>
    <w:uiPriority w:val="0"/>
    <w:rPr>
      <w:rFonts w:ascii="Consolas" w:hAnsi="Consolas"/>
      <w:b/>
      <w:color w:val="007020"/>
      <w:sz w:val="22"/>
    </w:rPr>
  </w:style>
  <w:style w:type="character" w:customStyle="1" w:styleId="44">
    <w:name w:val="DataTypeTok"/>
    <w:basedOn w:val="39"/>
    <w:qFormat/>
    <w:uiPriority w:val="0"/>
    <w:rPr>
      <w:rFonts w:ascii="Consolas" w:hAnsi="Consolas"/>
      <w:color w:val="902000"/>
      <w:sz w:val="22"/>
    </w:rPr>
  </w:style>
  <w:style w:type="character" w:customStyle="1" w:styleId="45">
    <w:name w:val="DecValTok"/>
    <w:basedOn w:val="39"/>
    <w:qFormat/>
    <w:uiPriority w:val="0"/>
    <w:rPr>
      <w:rFonts w:ascii="Consolas" w:hAnsi="Consolas"/>
      <w:color w:val="40A070"/>
      <w:sz w:val="22"/>
    </w:rPr>
  </w:style>
  <w:style w:type="character" w:customStyle="1" w:styleId="46">
    <w:name w:val="BaseNTok"/>
    <w:basedOn w:val="39"/>
    <w:qFormat/>
    <w:uiPriority w:val="0"/>
    <w:rPr>
      <w:rFonts w:ascii="Consolas" w:hAnsi="Consolas"/>
      <w:color w:val="40A070"/>
      <w:sz w:val="22"/>
    </w:rPr>
  </w:style>
  <w:style w:type="character" w:customStyle="1" w:styleId="47">
    <w:name w:val="FloatTok"/>
    <w:basedOn w:val="39"/>
    <w:qFormat/>
    <w:uiPriority w:val="0"/>
    <w:rPr>
      <w:rFonts w:ascii="Consolas" w:hAnsi="Consolas"/>
      <w:color w:val="40A070"/>
      <w:sz w:val="22"/>
    </w:rPr>
  </w:style>
  <w:style w:type="character" w:customStyle="1" w:styleId="48">
    <w:name w:val="ConstantTok"/>
    <w:basedOn w:val="39"/>
    <w:qFormat/>
    <w:uiPriority w:val="0"/>
    <w:rPr>
      <w:rFonts w:ascii="Consolas" w:hAnsi="Consolas"/>
      <w:color w:val="880000"/>
      <w:sz w:val="22"/>
    </w:rPr>
  </w:style>
  <w:style w:type="character" w:customStyle="1" w:styleId="49">
    <w:name w:val="CharTok"/>
    <w:basedOn w:val="39"/>
    <w:qFormat/>
    <w:uiPriority w:val="0"/>
    <w:rPr>
      <w:rFonts w:ascii="Consolas" w:hAnsi="Consolas"/>
      <w:color w:val="4070A0"/>
      <w:sz w:val="22"/>
    </w:rPr>
  </w:style>
  <w:style w:type="character" w:customStyle="1" w:styleId="50">
    <w:name w:val="SpecialCharTok"/>
    <w:basedOn w:val="39"/>
    <w:qFormat/>
    <w:uiPriority w:val="0"/>
    <w:rPr>
      <w:rFonts w:ascii="Consolas" w:hAnsi="Consolas"/>
      <w:color w:val="4070A0"/>
      <w:sz w:val="22"/>
    </w:rPr>
  </w:style>
  <w:style w:type="character" w:customStyle="1" w:styleId="51">
    <w:name w:val="StringTok"/>
    <w:basedOn w:val="39"/>
    <w:qFormat/>
    <w:uiPriority w:val="0"/>
    <w:rPr>
      <w:rFonts w:ascii="Consolas" w:hAnsi="Consolas"/>
      <w:color w:val="4070A0"/>
      <w:sz w:val="22"/>
    </w:rPr>
  </w:style>
  <w:style w:type="character" w:customStyle="1" w:styleId="52">
    <w:name w:val="VerbatimStringTok"/>
    <w:basedOn w:val="39"/>
    <w:qFormat/>
    <w:uiPriority w:val="0"/>
    <w:rPr>
      <w:rFonts w:ascii="Consolas" w:hAnsi="Consolas"/>
      <w:color w:val="4070A0"/>
      <w:sz w:val="22"/>
    </w:rPr>
  </w:style>
  <w:style w:type="character" w:customStyle="1" w:styleId="53">
    <w:name w:val="SpecialStringTok"/>
    <w:basedOn w:val="39"/>
    <w:qFormat/>
    <w:uiPriority w:val="0"/>
    <w:rPr>
      <w:rFonts w:ascii="Consolas" w:hAnsi="Consolas"/>
      <w:color w:val="BB6688"/>
      <w:sz w:val="22"/>
    </w:rPr>
  </w:style>
  <w:style w:type="character" w:customStyle="1" w:styleId="54">
    <w:name w:val="ImportTok"/>
    <w:basedOn w:val="39"/>
    <w:qFormat/>
    <w:uiPriority w:val="0"/>
    <w:rPr>
      <w:rFonts w:ascii="Consolas" w:hAnsi="Consolas"/>
      <w:sz w:val="22"/>
    </w:rPr>
  </w:style>
  <w:style w:type="character" w:customStyle="1" w:styleId="55">
    <w:name w:val="CommentTok"/>
    <w:basedOn w:val="39"/>
    <w:qFormat/>
    <w:uiPriority w:val="0"/>
    <w:rPr>
      <w:rFonts w:ascii="Consolas" w:hAnsi="Consolas"/>
      <w:i/>
      <w:color w:val="60A0B0"/>
      <w:sz w:val="22"/>
    </w:rPr>
  </w:style>
  <w:style w:type="character" w:customStyle="1" w:styleId="56">
    <w:name w:val="DocumentationTok"/>
    <w:basedOn w:val="39"/>
    <w:qFormat/>
    <w:uiPriority w:val="0"/>
    <w:rPr>
      <w:rFonts w:ascii="Consolas" w:hAnsi="Consolas"/>
      <w:i/>
      <w:color w:val="BA2121"/>
      <w:sz w:val="22"/>
    </w:rPr>
  </w:style>
  <w:style w:type="character" w:customStyle="1" w:styleId="57">
    <w:name w:val="AnnotationTok"/>
    <w:basedOn w:val="39"/>
    <w:qFormat/>
    <w:uiPriority w:val="0"/>
    <w:rPr>
      <w:rFonts w:ascii="Consolas" w:hAnsi="Consolas"/>
      <w:b/>
      <w:i/>
      <w:color w:val="60A0B0"/>
      <w:sz w:val="22"/>
    </w:rPr>
  </w:style>
  <w:style w:type="character" w:customStyle="1" w:styleId="58">
    <w:name w:val="CommentVarTok"/>
    <w:basedOn w:val="39"/>
    <w:qFormat/>
    <w:uiPriority w:val="0"/>
    <w:rPr>
      <w:rFonts w:ascii="Consolas" w:hAnsi="Consolas"/>
      <w:b/>
      <w:i/>
      <w:color w:val="60A0B0"/>
      <w:sz w:val="22"/>
    </w:rPr>
  </w:style>
  <w:style w:type="character" w:customStyle="1" w:styleId="59">
    <w:name w:val="OtherTok"/>
    <w:basedOn w:val="39"/>
    <w:qFormat/>
    <w:uiPriority w:val="0"/>
    <w:rPr>
      <w:rFonts w:ascii="Consolas" w:hAnsi="Consolas"/>
      <w:color w:val="007020"/>
      <w:sz w:val="22"/>
    </w:rPr>
  </w:style>
  <w:style w:type="character" w:customStyle="1" w:styleId="60">
    <w:name w:val="FunctionTok"/>
    <w:basedOn w:val="39"/>
    <w:qFormat/>
    <w:uiPriority w:val="0"/>
    <w:rPr>
      <w:rFonts w:ascii="Consolas" w:hAnsi="Consolas"/>
      <w:color w:val="06287E"/>
      <w:sz w:val="22"/>
    </w:rPr>
  </w:style>
  <w:style w:type="character" w:customStyle="1" w:styleId="61">
    <w:name w:val="VariableTok"/>
    <w:basedOn w:val="39"/>
    <w:qFormat/>
    <w:uiPriority w:val="0"/>
    <w:rPr>
      <w:rFonts w:ascii="Consolas" w:hAnsi="Consolas"/>
      <w:color w:val="19177C"/>
      <w:sz w:val="22"/>
    </w:rPr>
  </w:style>
  <w:style w:type="character" w:customStyle="1" w:styleId="62">
    <w:name w:val="ControlFlowTok"/>
    <w:basedOn w:val="39"/>
    <w:qFormat/>
    <w:uiPriority w:val="0"/>
    <w:rPr>
      <w:rFonts w:ascii="Consolas" w:hAnsi="Consolas"/>
      <w:b/>
      <w:color w:val="007020"/>
      <w:sz w:val="22"/>
    </w:rPr>
  </w:style>
  <w:style w:type="character" w:customStyle="1" w:styleId="63">
    <w:name w:val="OperatorTok"/>
    <w:basedOn w:val="39"/>
    <w:qFormat/>
    <w:uiPriority w:val="0"/>
    <w:rPr>
      <w:rFonts w:ascii="Consolas" w:hAnsi="Consolas"/>
      <w:color w:val="666666"/>
      <w:sz w:val="22"/>
    </w:rPr>
  </w:style>
  <w:style w:type="character" w:customStyle="1" w:styleId="64">
    <w:name w:val="BuiltInTok"/>
    <w:basedOn w:val="39"/>
    <w:qFormat/>
    <w:uiPriority w:val="0"/>
    <w:rPr>
      <w:rFonts w:ascii="Consolas" w:hAnsi="Consolas"/>
      <w:sz w:val="22"/>
    </w:rPr>
  </w:style>
  <w:style w:type="character" w:customStyle="1" w:styleId="65">
    <w:name w:val="ExtensionTok"/>
    <w:basedOn w:val="39"/>
    <w:qFormat/>
    <w:uiPriority w:val="0"/>
    <w:rPr>
      <w:rFonts w:ascii="Consolas" w:hAnsi="Consolas"/>
      <w:sz w:val="22"/>
    </w:rPr>
  </w:style>
  <w:style w:type="character" w:customStyle="1" w:styleId="66">
    <w:name w:val="PreprocessorTok"/>
    <w:basedOn w:val="39"/>
    <w:qFormat/>
    <w:uiPriority w:val="0"/>
    <w:rPr>
      <w:rFonts w:ascii="Consolas" w:hAnsi="Consolas"/>
      <w:color w:val="BC7A00"/>
      <w:sz w:val="22"/>
    </w:rPr>
  </w:style>
  <w:style w:type="character" w:customStyle="1" w:styleId="67">
    <w:name w:val="AttributeTok"/>
    <w:basedOn w:val="39"/>
    <w:qFormat/>
    <w:uiPriority w:val="0"/>
    <w:rPr>
      <w:rFonts w:ascii="Consolas" w:hAnsi="Consolas"/>
      <w:color w:val="7D9029"/>
      <w:sz w:val="22"/>
    </w:rPr>
  </w:style>
  <w:style w:type="character" w:customStyle="1" w:styleId="68">
    <w:name w:val="RegionMarkerTok"/>
    <w:basedOn w:val="39"/>
    <w:qFormat/>
    <w:uiPriority w:val="0"/>
    <w:rPr>
      <w:rFonts w:ascii="Consolas" w:hAnsi="Consolas"/>
      <w:sz w:val="22"/>
    </w:rPr>
  </w:style>
  <w:style w:type="character" w:customStyle="1" w:styleId="69">
    <w:name w:val="InformationTok"/>
    <w:basedOn w:val="39"/>
    <w:qFormat/>
    <w:uiPriority w:val="0"/>
    <w:rPr>
      <w:rFonts w:ascii="Consolas" w:hAnsi="Consolas"/>
      <w:b/>
      <w:i/>
      <w:color w:val="60A0B0"/>
      <w:sz w:val="22"/>
    </w:rPr>
  </w:style>
  <w:style w:type="character" w:customStyle="1" w:styleId="70">
    <w:name w:val="WarningTok"/>
    <w:basedOn w:val="39"/>
    <w:qFormat/>
    <w:uiPriority w:val="0"/>
    <w:rPr>
      <w:rFonts w:ascii="Consolas" w:hAnsi="Consolas"/>
      <w:b/>
      <w:i/>
      <w:color w:val="60A0B0"/>
      <w:sz w:val="22"/>
    </w:rPr>
  </w:style>
  <w:style w:type="character" w:customStyle="1" w:styleId="71">
    <w:name w:val="AlertTok"/>
    <w:basedOn w:val="39"/>
    <w:qFormat/>
    <w:uiPriority w:val="0"/>
    <w:rPr>
      <w:rFonts w:ascii="Consolas" w:hAnsi="Consolas"/>
      <w:b/>
      <w:color w:val="FF0000"/>
      <w:sz w:val="22"/>
    </w:rPr>
  </w:style>
  <w:style w:type="character" w:customStyle="1" w:styleId="72">
    <w:name w:val="ErrorTok"/>
    <w:basedOn w:val="39"/>
    <w:qFormat/>
    <w:uiPriority w:val="0"/>
    <w:rPr>
      <w:rFonts w:ascii="Consolas" w:hAnsi="Consolas"/>
      <w:b/>
      <w:color w:val="FF0000"/>
      <w:sz w:val="22"/>
    </w:rPr>
  </w:style>
  <w:style w:type="character" w:customStyle="1" w:styleId="73">
    <w:name w:val="NormalTok"/>
    <w:basedOn w:val="39"/>
    <w:qFormat/>
    <w:uiPriority w:val="0"/>
    <w:rPr>
      <w:rFonts w:ascii="Consolas" w:hAnsi="Consolas"/>
      <w:sz w:val="22"/>
    </w:rPr>
  </w:style>
  <w:style w:type="paragraph" w:styleId="74">
    <w:name w:val="List Paragraph"/>
    <w:basedOn w:val="1"/>
    <w:unhideWhenUsed/>
    <w:qFormat/>
    <w:uiPriority w:val="34"/>
    <w:pPr>
      <w:widowControl w:val="0"/>
      <w:spacing w:after="0"/>
      <w:ind w:firstLine="420" w:firstLineChars="200"/>
      <w:jc w:val="both"/>
    </w:pPr>
    <w:rPr>
      <w:kern w:val="2"/>
      <w:sz w:val="21"/>
      <w:lang w:eastAsia="zh-CN"/>
    </w:rPr>
  </w:style>
  <w:style w:type="paragraph" w:customStyle="1" w:styleId="75">
    <w:name w:val="md-end-block"/>
    <w:basedOn w:val="1"/>
    <w:qFormat/>
    <w:uiPriority w:val="0"/>
    <w:pPr>
      <w:spacing w:before="100" w:beforeAutospacing="1" w:after="100" w:afterAutospacing="1"/>
    </w:pPr>
    <w:rPr>
      <w:rFonts w:ascii="宋体" w:hAnsi="宋体" w:eastAsia="宋体" w:cs="宋体"/>
      <w:lang w:eastAsia="zh-CN"/>
    </w:rPr>
  </w:style>
  <w:style w:type="character" w:customStyle="1" w:styleId="76">
    <w:name w:val="md-plain"/>
    <w:basedOn w:val="22"/>
    <w:qFormat/>
    <w:uiPriority w:val="0"/>
  </w:style>
  <w:style w:type="paragraph" w:customStyle="1" w:styleId="77">
    <w:name w:val="Revision"/>
    <w:hidden/>
    <w:unhideWhenUsed/>
    <w:qFormat/>
    <w:uiPriority w:val="99"/>
    <w:rPr>
      <w:rFonts w:asciiTheme="minorHAnsi" w:hAnsiTheme="minorHAnsi" w:eastAsiaTheme="minorEastAsia" w:cstheme="minorBidi"/>
      <w:sz w:val="24"/>
      <w:szCs w:val="24"/>
      <w:lang w:val="en-US" w:eastAsia="en-US" w:bidi="ar-SA"/>
    </w:rPr>
  </w:style>
  <w:style w:type="paragraph" w:customStyle="1" w:styleId="78">
    <w:name w:val="样式 首行缩进 + 宋体 行距: 1.5 倍行距"/>
    <w:basedOn w:val="1"/>
    <w:qFormat/>
    <w:uiPriority w:val="0"/>
    <w:pPr>
      <w:spacing w:line="360" w:lineRule="auto"/>
      <w:ind w:firstLine="420" w:firstLineChars="200"/>
    </w:pPr>
    <w:rPr>
      <w:rFonts w:ascii="宋体" w:hAnsi="宋体" w:cs="宋体"/>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230</Words>
  <Characters>1312</Characters>
  <Lines>10</Lines>
  <Paragraphs>3</Paragraphs>
  <TotalTime>1</TotalTime>
  <ScaleCrop>false</ScaleCrop>
  <LinksUpToDate>false</LinksUpToDate>
  <CharactersWithSpaces>1539</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2024-03-05T06:41:00Z</dcterms:created>
  <dc:creator>张忠桀</dc:creator>
  <cp:lastModifiedBy>陈宏波</cp:lastModifiedBy>
  <dcterms:modified xsi:type="dcterms:W3CDTF">2024-08-14T02:05:38Z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0AA57584F7B2480EA60944680938797F</vt:lpwstr>
  </property>
</Properties>
</file>