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b/>
          <w:bCs/>
          <w:sz w:val="24"/>
          <w:szCs w:val="28"/>
          <w:lang w:val="en-US" w:eastAsia="zh-CN"/>
        </w:rPr>
      </w:pPr>
      <w:r>
        <w:rPr>
          <w:rFonts w:hint="eastAsia"/>
          <w:b/>
          <w:bCs/>
          <w:sz w:val="24"/>
          <w:szCs w:val="28"/>
          <w:lang w:val="en-US" w:eastAsia="zh-CN"/>
        </w:rPr>
        <w:t>附件一：技术服务要求</w:t>
      </w:r>
    </w:p>
    <w:p>
      <w:pPr>
        <w:rPr>
          <w:rFonts w:hint="default"/>
          <w:b/>
          <w:bCs/>
          <w:sz w:val="24"/>
          <w:szCs w:val="28"/>
          <w:lang w:val="en-US" w:eastAsia="zh-CN"/>
        </w:rPr>
      </w:pPr>
    </w:p>
    <w:p>
      <w:pPr>
        <w:spacing w:line="240" w:lineRule="auto"/>
        <w:jc w:val="center"/>
        <w:rPr>
          <w:rFonts w:hint="eastAsia" w:ascii="仿宋" w:hAnsi="仿宋" w:eastAsia="仿宋" w:cs="仿宋"/>
          <w:color w:val="auto"/>
          <w:sz w:val="21"/>
          <w:szCs w:val="21"/>
          <w:lang w:val="en-US" w:eastAsia="zh-CN"/>
        </w:rPr>
      </w:pPr>
    </w:p>
    <w:p>
      <w:pPr>
        <w:spacing w:line="240" w:lineRule="auto"/>
        <w:jc w:val="center"/>
        <w:rPr>
          <w:rFonts w:hint="eastAsia" w:ascii="仿宋" w:hAnsi="仿宋" w:eastAsia="仿宋" w:cs="仿宋"/>
          <w:color w:val="auto"/>
          <w:sz w:val="21"/>
          <w:szCs w:val="21"/>
          <w:lang w:val="en-US" w:eastAsia="zh-CN"/>
        </w:rPr>
      </w:pPr>
    </w:p>
    <w:p>
      <w:pPr>
        <w:numPr>
          <w:ilvl w:val="0"/>
          <w:numId w:val="1"/>
        </w:numPr>
        <w:adjustRightInd w:val="0"/>
        <w:snapToGrid w:val="0"/>
        <w:spacing w:line="300" w:lineRule="auto"/>
        <w:rPr>
          <w:rFonts w:hint="eastAsia" w:ascii="仿宋" w:hAnsi="仿宋" w:eastAsia="仿宋" w:cs="仿宋"/>
          <w:b/>
          <w:bCs/>
        </w:rPr>
      </w:pPr>
      <w:r>
        <w:rPr>
          <w:rFonts w:hint="eastAsia" w:ascii="仿宋" w:hAnsi="仿宋" w:eastAsia="仿宋" w:cs="仿宋"/>
          <w:b/>
          <w:bCs/>
          <w:lang w:val="en-US" w:eastAsia="zh-CN"/>
        </w:rPr>
        <w:t>服务</w:t>
      </w:r>
      <w:r>
        <w:rPr>
          <w:rFonts w:hint="eastAsia" w:ascii="仿宋" w:hAnsi="仿宋" w:eastAsia="仿宋" w:cs="仿宋"/>
          <w:b/>
          <w:bCs/>
        </w:rPr>
        <w:t>范围：</w:t>
      </w:r>
    </w:p>
    <w:p>
      <w:pPr>
        <w:widowControl w:val="0"/>
        <w:numPr>
          <w:ilvl w:val="0"/>
          <w:numId w:val="0"/>
        </w:numPr>
        <w:spacing w:line="240" w:lineRule="auto"/>
        <w:ind w:firstLine="420" w:firstLineChars="200"/>
        <w:jc w:val="both"/>
        <w:rPr>
          <w:rFonts w:hint="default"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提供煤油加注泵防电压暂降优质用电保障服务，包含防电压暂降设备的就位安装、运行维护、远程运维后台调试服务及期后拆除工作，保障期限为1个月。</w:t>
      </w:r>
    </w:p>
    <w:p>
      <w:pPr>
        <w:widowControl w:val="0"/>
        <w:numPr>
          <w:ilvl w:val="0"/>
          <w:numId w:val="0"/>
        </w:numPr>
        <w:spacing w:line="240" w:lineRule="auto"/>
        <w:ind w:firstLine="420" w:firstLineChars="200"/>
        <w:jc w:val="both"/>
        <w:rPr>
          <w:rFonts w:hint="eastAsia" w:ascii="仿宋" w:hAnsi="仿宋" w:eastAsia="仿宋" w:cs="仿宋"/>
          <w:color w:val="auto"/>
          <w:sz w:val="21"/>
          <w:szCs w:val="21"/>
          <w:lang w:val="en-US" w:eastAsia="zh-CN"/>
        </w:rPr>
      </w:pPr>
    </w:p>
    <w:tbl>
      <w:tblPr>
        <w:tblStyle w:val="6"/>
        <w:tblW w:w="880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3"/>
        <w:gridCol w:w="666"/>
        <w:gridCol w:w="873"/>
        <w:gridCol w:w="1112"/>
        <w:gridCol w:w="1080"/>
        <w:gridCol w:w="36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1383" w:type="dxa"/>
            <w:vAlign w:val="center"/>
          </w:tcPr>
          <w:p>
            <w:pPr>
              <w:widowControl w:val="0"/>
              <w:numPr>
                <w:ilvl w:val="0"/>
                <w:numId w:val="0"/>
              </w:numPr>
              <w:spacing w:line="240" w:lineRule="auto"/>
              <w:jc w:val="center"/>
              <w:rPr>
                <w:rFonts w:hint="default"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设备名称</w:t>
            </w:r>
          </w:p>
        </w:tc>
        <w:tc>
          <w:tcPr>
            <w:tcW w:w="666" w:type="dxa"/>
            <w:vAlign w:val="center"/>
          </w:tcPr>
          <w:p>
            <w:pPr>
              <w:widowControl w:val="0"/>
              <w:numPr>
                <w:ilvl w:val="0"/>
                <w:numId w:val="0"/>
              </w:numPr>
              <w:spacing w:line="240" w:lineRule="auto"/>
              <w:jc w:val="center"/>
              <w:rPr>
                <w:rFonts w:hint="default"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数量</w:t>
            </w:r>
          </w:p>
        </w:tc>
        <w:tc>
          <w:tcPr>
            <w:tcW w:w="873" w:type="dxa"/>
            <w:vAlign w:val="center"/>
          </w:tcPr>
          <w:p>
            <w:pPr>
              <w:widowControl w:val="0"/>
              <w:numPr>
                <w:ilvl w:val="0"/>
                <w:numId w:val="0"/>
              </w:numPr>
              <w:spacing w:line="240" w:lineRule="auto"/>
              <w:jc w:val="center"/>
              <w:rPr>
                <w:rFonts w:hint="default"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功率</w:t>
            </w:r>
          </w:p>
        </w:tc>
        <w:tc>
          <w:tcPr>
            <w:tcW w:w="1112" w:type="dxa"/>
            <w:vAlign w:val="center"/>
          </w:tcPr>
          <w:p>
            <w:pPr>
              <w:widowControl w:val="0"/>
              <w:numPr>
                <w:ilvl w:val="0"/>
                <w:numId w:val="0"/>
              </w:numPr>
              <w:spacing w:line="240" w:lineRule="auto"/>
              <w:jc w:val="center"/>
              <w:rPr>
                <w:rFonts w:hint="default"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保护时间</w:t>
            </w:r>
          </w:p>
        </w:tc>
        <w:tc>
          <w:tcPr>
            <w:tcW w:w="1080" w:type="dxa"/>
            <w:vAlign w:val="center"/>
          </w:tcPr>
          <w:p>
            <w:pPr>
              <w:widowControl w:val="0"/>
              <w:numPr>
                <w:ilvl w:val="0"/>
                <w:numId w:val="0"/>
              </w:numPr>
              <w:spacing w:line="240" w:lineRule="auto"/>
              <w:jc w:val="center"/>
              <w:rPr>
                <w:rFonts w:hint="default"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安装尺寸</w:t>
            </w:r>
          </w:p>
        </w:tc>
        <w:tc>
          <w:tcPr>
            <w:tcW w:w="3687" w:type="dxa"/>
            <w:vAlign w:val="center"/>
          </w:tcPr>
          <w:p>
            <w:pPr>
              <w:widowControl w:val="0"/>
              <w:numPr>
                <w:ilvl w:val="0"/>
                <w:numId w:val="0"/>
              </w:numPr>
              <w:spacing w:line="240" w:lineRule="auto"/>
              <w:jc w:val="center"/>
              <w:rPr>
                <w:rFonts w:hint="default"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冗余要求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1383" w:type="dxa"/>
            <w:vAlign w:val="center"/>
          </w:tcPr>
          <w:p>
            <w:pPr>
              <w:widowControl w:val="0"/>
              <w:numPr>
                <w:ilvl w:val="0"/>
                <w:numId w:val="0"/>
              </w:numPr>
              <w:spacing w:line="240" w:lineRule="auto"/>
              <w:jc w:val="center"/>
              <w:rPr>
                <w:rFonts w:hint="default"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400V动态电压恢复器</w:t>
            </w:r>
          </w:p>
        </w:tc>
        <w:tc>
          <w:tcPr>
            <w:tcW w:w="666" w:type="dxa"/>
            <w:vAlign w:val="center"/>
          </w:tcPr>
          <w:p>
            <w:pPr>
              <w:widowControl w:val="0"/>
              <w:numPr>
                <w:ilvl w:val="0"/>
                <w:numId w:val="0"/>
              </w:numPr>
              <w:spacing w:line="240" w:lineRule="auto"/>
              <w:jc w:val="center"/>
              <w:rPr>
                <w:rFonts w:hint="default"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w:t>
            </w:r>
          </w:p>
        </w:tc>
        <w:tc>
          <w:tcPr>
            <w:tcW w:w="873" w:type="dxa"/>
            <w:vAlign w:val="center"/>
          </w:tcPr>
          <w:p>
            <w:pPr>
              <w:widowControl w:val="0"/>
              <w:numPr>
                <w:ilvl w:val="0"/>
                <w:numId w:val="0"/>
              </w:numPr>
              <w:spacing w:line="240" w:lineRule="auto"/>
              <w:jc w:val="center"/>
              <w:rPr>
                <w:rFonts w:hint="default"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400kVA</w:t>
            </w:r>
          </w:p>
        </w:tc>
        <w:tc>
          <w:tcPr>
            <w:tcW w:w="1112" w:type="dxa"/>
            <w:vAlign w:val="center"/>
          </w:tcPr>
          <w:p>
            <w:pPr>
              <w:widowControl w:val="0"/>
              <w:numPr>
                <w:ilvl w:val="0"/>
                <w:numId w:val="0"/>
              </w:numPr>
              <w:spacing w:line="240" w:lineRule="auto"/>
              <w:jc w:val="center"/>
              <w:rPr>
                <w:rFonts w:hint="default"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5秒</w:t>
            </w:r>
          </w:p>
        </w:tc>
        <w:tc>
          <w:tcPr>
            <w:tcW w:w="1080" w:type="dxa"/>
            <w:vAlign w:val="center"/>
          </w:tcPr>
          <w:p>
            <w:pPr>
              <w:widowControl w:val="0"/>
              <w:numPr>
                <w:ilvl w:val="0"/>
                <w:numId w:val="0"/>
              </w:numPr>
              <w:spacing w:line="240" w:lineRule="auto"/>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W:1800</w:t>
            </w:r>
          </w:p>
          <w:p>
            <w:pPr>
              <w:widowControl w:val="0"/>
              <w:numPr>
                <w:ilvl w:val="0"/>
                <w:numId w:val="0"/>
              </w:numPr>
              <w:spacing w:line="240" w:lineRule="auto"/>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H:1000</w:t>
            </w:r>
          </w:p>
          <w:p>
            <w:pPr>
              <w:widowControl w:val="0"/>
              <w:numPr>
                <w:ilvl w:val="0"/>
                <w:numId w:val="0"/>
              </w:numPr>
              <w:spacing w:line="240" w:lineRule="auto"/>
              <w:jc w:val="center"/>
              <w:rPr>
                <w:rFonts w:hint="default"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D:2200</w:t>
            </w:r>
          </w:p>
        </w:tc>
        <w:tc>
          <w:tcPr>
            <w:tcW w:w="3687" w:type="dxa"/>
            <w:vAlign w:val="center"/>
          </w:tcPr>
          <w:p>
            <w:pPr>
              <w:widowControl w:val="0"/>
              <w:numPr>
                <w:ilvl w:val="0"/>
                <w:numId w:val="0"/>
              </w:numPr>
              <w:spacing w:line="240" w:lineRule="auto"/>
              <w:jc w:val="both"/>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设备电网分离器模块N+1热备方案</w:t>
            </w:r>
          </w:p>
          <w:p>
            <w:pPr>
              <w:widowControl w:val="0"/>
              <w:numPr>
                <w:ilvl w:val="0"/>
                <w:numId w:val="0"/>
              </w:numPr>
              <w:spacing w:line="240" w:lineRule="auto"/>
              <w:jc w:val="both"/>
              <w:rPr>
                <w:rFonts w:hint="default"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并联逆变器模块，N+1热备冗余方案</w:t>
            </w:r>
          </w:p>
        </w:tc>
      </w:tr>
    </w:tbl>
    <w:p>
      <w:pPr>
        <w:numPr>
          <w:ilvl w:val="0"/>
          <w:numId w:val="0"/>
        </w:numPr>
        <w:adjustRightInd w:val="0"/>
        <w:snapToGrid w:val="0"/>
        <w:spacing w:line="300" w:lineRule="auto"/>
        <w:ind w:leftChars="0"/>
      </w:pPr>
    </w:p>
    <w:p>
      <w:pPr>
        <w:numPr>
          <w:ilvl w:val="0"/>
          <w:numId w:val="0"/>
        </w:numPr>
        <w:adjustRightInd w:val="0"/>
        <w:snapToGrid w:val="0"/>
        <w:spacing w:line="300" w:lineRule="auto"/>
        <w:ind w:leftChars="0"/>
      </w:pPr>
    </w:p>
    <w:p>
      <w:pPr>
        <w:numPr>
          <w:ilvl w:val="0"/>
          <w:numId w:val="1"/>
        </w:numPr>
        <w:adjustRightInd w:val="0"/>
        <w:snapToGrid w:val="0"/>
        <w:spacing w:line="300" w:lineRule="auto"/>
        <w:rPr>
          <w:rFonts w:hint="eastAsia" w:ascii="仿宋" w:hAnsi="仿宋" w:eastAsia="仿宋" w:cs="仿宋"/>
          <w:b/>
          <w:bCs/>
        </w:rPr>
      </w:pPr>
      <w:r>
        <w:rPr>
          <w:rFonts w:hint="eastAsia" w:ascii="仿宋" w:hAnsi="仿宋" w:eastAsia="仿宋" w:cs="仿宋"/>
          <w:b/>
          <w:bCs/>
          <w:lang w:val="en-US" w:eastAsia="zh-CN"/>
        </w:rPr>
        <w:t>设备要求：</w:t>
      </w:r>
    </w:p>
    <w:p>
      <w:pPr>
        <w:widowControl w:val="0"/>
        <w:numPr>
          <w:ilvl w:val="0"/>
          <w:numId w:val="0"/>
        </w:numPr>
        <w:spacing w:line="240" w:lineRule="auto"/>
        <w:jc w:val="both"/>
        <w:rPr>
          <w:rFonts w:hint="eastAsia" w:ascii="仿宋" w:hAnsi="仿宋" w:eastAsia="仿宋" w:cs="仿宋"/>
          <w:b/>
          <w:bCs/>
          <w:color w:val="auto"/>
          <w:sz w:val="21"/>
          <w:szCs w:val="21"/>
          <w:lang w:val="en-US" w:eastAsia="zh-Hans"/>
        </w:rPr>
      </w:pPr>
      <w:r>
        <w:rPr>
          <w:rFonts w:hint="eastAsia" w:ascii="仿宋" w:hAnsi="仿宋" w:eastAsia="仿宋" w:cs="仿宋"/>
          <w:b/>
          <w:bCs/>
          <w:color w:val="auto"/>
          <w:sz w:val="21"/>
          <w:szCs w:val="21"/>
          <w:lang w:val="en-US" w:eastAsia="zh-CN"/>
        </w:rPr>
        <w:t>2.1设备工作原理</w:t>
      </w:r>
      <w:r>
        <w:rPr>
          <w:rFonts w:hint="eastAsia" w:ascii="仿宋" w:hAnsi="仿宋" w:eastAsia="仿宋" w:cs="仿宋"/>
          <w:b/>
          <w:bCs/>
          <w:color w:val="auto"/>
          <w:sz w:val="21"/>
          <w:szCs w:val="21"/>
          <w:lang w:val="en-US" w:eastAsia="zh-Hans"/>
        </w:rPr>
        <w:t>：</w:t>
      </w:r>
    </w:p>
    <w:p>
      <w:pPr>
        <w:widowControl w:val="0"/>
        <w:numPr>
          <w:ilvl w:val="0"/>
          <w:numId w:val="0"/>
        </w:numPr>
        <w:spacing w:line="240" w:lineRule="auto"/>
        <w:ind w:firstLine="420" w:firstLineChars="200"/>
        <w:jc w:val="both"/>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DVR是一款基于储能技术和电压源无缝切换技术的高可靠性供电保障设备，设备采用全模块户设计，可以做到用户端的快速安装、多模块N+1冗余，灵活增减容量，设备主要解决电压暂降问题，可以在0.3ms内识别电压异常，并通过逆变器和储能单元在2ms内完整补偿各类型任意深度的电压暂降和骤升，整机效率高达99%以上。</w:t>
      </w:r>
    </w:p>
    <w:p>
      <w:pPr>
        <w:pStyle w:val="2"/>
        <w:rPr>
          <w:rFonts w:hint="eastAsia" w:ascii="仿宋" w:hAnsi="仿宋" w:eastAsia="仿宋" w:cs="仿宋"/>
          <w:b w:val="0"/>
          <w:bCs w:val="0"/>
          <w:i w:val="0"/>
          <w:iCs w:val="0"/>
          <w:caps w:val="0"/>
          <w:color w:val="333333"/>
          <w:spacing w:val="7"/>
          <w:sz w:val="18"/>
          <w:szCs w:val="18"/>
          <w:shd w:val="clear" w:color="auto" w:fill="FFFFFF"/>
          <w:vertAlign w:val="baseline"/>
          <w:lang w:val="en-US" w:eastAsia="zh-CN"/>
        </w:rPr>
      </w:pPr>
      <w:r>
        <w:rPr>
          <w:rFonts w:hint="eastAsia" w:ascii="仿宋" w:hAnsi="仿宋" w:eastAsia="仿宋" w:cs="仿宋"/>
          <w:b w:val="0"/>
          <w:bCs w:val="0"/>
          <w:i w:val="0"/>
          <w:iCs w:val="0"/>
          <w:caps w:val="0"/>
          <w:color w:val="333333"/>
          <w:spacing w:val="7"/>
          <w:sz w:val="18"/>
          <w:szCs w:val="18"/>
          <w:shd w:val="clear" w:color="auto" w:fill="FFFFFF"/>
          <w:vertAlign w:val="baseline"/>
          <w:lang w:val="en-US" w:eastAsia="zh-CN"/>
        </w:rPr>
        <w:drawing>
          <wp:inline distT="0" distB="0" distL="114300" distR="114300">
            <wp:extent cx="3352800" cy="1396365"/>
            <wp:effectExtent l="0" t="0" r="0" b="635"/>
            <wp:docPr id="43" name="图片 43"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图片1"/>
                    <pic:cNvPicPr>
                      <a:picLocks noChangeAspect="1"/>
                    </pic:cNvPicPr>
                  </pic:nvPicPr>
                  <pic:blipFill>
                    <a:blip r:embed="rId4"/>
                    <a:stretch>
                      <a:fillRect/>
                    </a:stretch>
                  </pic:blipFill>
                  <pic:spPr>
                    <a:xfrm>
                      <a:off x="0" y="0"/>
                      <a:ext cx="3352800" cy="1396365"/>
                    </a:xfrm>
                    <a:prstGeom prst="rect">
                      <a:avLst/>
                    </a:prstGeom>
                  </pic:spPr>
                </pic:pic>
              </a:graphicData>
            </a:graphic>
          </wp:inline>
        </w:drawing>
      </w:r>
    </w:p>
    <w:p>
      <w:pPr>
        <w:pStyle w:val="3"/>
        <w:rPr>
          <w:rFonts w:hint="default" w:ascii="仿宋" w:hAnsi="仿宋" w:eastAsia="仿宋" w:cs="仿宋"/>
          <w:b w:val="0"/>
          <w:bCs w:val="0"/>
          <w:color w:val="auto"/>
          <w:kern w:val="2"/>
          <w:sz w:val="21"/>
          <w:szCs w:val="21"/>
          <w:lang w:val="en-US" w:eastAsia="zh-CN" w:bidi="ar-SA"/>
        </w:rPr>
      </w:pPr>
      <w:r>
        <w:rPr>
          <w:rFonts w:hint="eastAsia" w:ascii="仿宋" w:hAnsi="仿宋" w:eastAsia="仿宋" w:cs="仿宋"/>
          <w:b w:val="0"/>
          <w:bCs w:val="0"/>
          <w:color w:val="auto"/>
          <w:kern w:val="2"/>
          <w:sz w:val="21"/>
          <w:szCs w:val="21"/>
          <w:lang w:val="en-US" w:eastAsia="zh-CN" w:bidi="ar-SA"/>
        </w:rPr>
        <w:t>设备要求拓扑图</w:t>
      </w:r>
    </w:p>
    <w:p>
      <w:pPr>
        <w:widowControl w:val="0"/>
        <w:numPr>
          <w:ilvl w:val="0"/>
          <w:numId w:val="0"/>
        </w:numPr>
        <w:spacing w:line="240" w:lineRule="auto"/>
        <w:jc w:val="both"/>
        <w:rPr>
          <w:rFonts w:hint="eastAsia" w:ascii="仿宋" w:hAnsi="仿宋" w:eastAsia="仿宋" w:cs="仿宋"/>
          <w:b/>
          <w:bCs/>
          <w:color w:val="auto"/>
          <w:sz w:val="21"/>
          <w:szCs w:val="21"/>
          <w:lang w:val="en-US" w:eastAsia="zh-CN"/>
        </w:rPr>
      </w:pPr>
      <w:r>
        <w:rPr>
          <w:rFonts w:hint="eastAsia" w:ascii="仿宋" w:hAnsi="仿宋" w:eastAsia="仿宋" w:cs="仿宋"/>
          <w:b/>
          <w:bCs/>
          <w:color w:val="auto"/>
          <w:sz w:val="21"/>
          <w:szCs w:val="21"/>
          <w:lang w:val="en-US" w:eastAsia="zh-CN"/>
        </w:rPr>
        <w:t>2.2设备基本参数要求：</w:t>
      </w:r>
    </w:p>
    <w:p>
      <w:pPr>
        <w:widowControl w:val="0"/>
        <w:numPr>
          <w:ilvl w:val="0"/>
          <w:numId w:val="0"/>
        </w:numPr>
        <w:spacing w:line="240" w:lineRule="auto"/>
        <w:ind w:firstLine="210" w:firstLineChars="100"/>
        <w:jc w:val="both"/>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2.2.1 设备为三相五线制，A/B/C/N/PE 额定电压380V，50HZ</w:t>
      </w:r>
    </w:p>
    <w:p>
      <w:pPr>
        <w:widowControl w:val="0"/>
        <w:numPr>
          <w:ilvl w:val="0"/>
          <w:numId w:val="0"/>
        </w:numPr>
        <w:spacing w:line="240" w:lineRule="auto"/>
        <w:ind w:firstLine="210" w:firstLineChars="100"/>
        <w:jc w:val="both"/>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2.2.2 补偿输出精度：设定值的±2%</w:t>
      </w:r>
    </w:p>
    <w:p>
      <w:pPr>
        <w:widowControl w:val="0"/>
        <w:numPr>
          <w:ilvl w:val="0"/>
          <w:numId w:val="0"/>
        </w:numPr>
        <w:spacing w:line="240" w:lineRule="auto"/>
        <w:ind w:firstLine="210" w:firstLineChars="100"/>
        <w:jc w:val="both"/>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2.2.3 准许三相不平衡负载100%</w:t>
      </w:r>
    </w:p>
    <w:p>
      <w:pPr>
        <w:widowControl w:val="0"/>
        <w:numPr>
          <w:ilvl w:val="0"/>
          <w:numId w:val="0"/>
        </w:numPr>
        <w:spacing w:line="240" w:lineRule="auto"/>
        <w:ind w:firstLine="210" w:firstLineChars="100"/>
        <w:jc w:val="both"/>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2.2.4 负载满载状态下电压暂降/中断保护时间：不低于5秒</w:t>
      </w:r>
    </w:p>
    <w:p>
      <w:pPr>
        <w:widowControl w:val="0"/>
        <w:numPr>
          <w:ilvl w:val="0"/>
          <w:numId w:val="0"/>
        </w:numPr>
        <w:spacing w:line="240" w:lineRule="auto"/>
        <w:ind w:firstLine="210" w:firstLineChars="100"/>
        <w:jc w:val="both"/>
        <w:rPr>
          <w:rFonts w:hint="default"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2.2.5 最大保护暂降范围0%-90%</w:t>
      </w:r>
    </w:p>
    <w:p>
      <w:pPr>
        <w:widowControl w:val="0"/>
        <w:numPr>
          <w:ilvl w:val="0"/>
          <w:numId w:val="0"/>
        </w:numPr>
        <w:spacing w:line="240" w:lineRule="auto"/>
        <w:ind w:firstLine="210" w:firstLineChars="100"/>
        <w:jc w:val="both"/>
        <w:rPr>
          <w:rFonts w:hint="default"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2.2.6 暂降保护触发阈值可调精度1V，有效值/瞬时值可选</w:t>
      </w:r>
    </w:p>
    <w:p>
      <w:pPr>
        <w:widowControl w:val="0"/>
        <w:numPr>
          <w:ilvl w:val="0"/>
          <w:numId w:val="0"/>
        </w:numPr>
        <w:spacing w:line="240" w:lineRule="auto"/>
        <w:ind w:leftChars="0" w:firstLine="210" w:firstLineChars="100"/>
        <w:jc w:val="both"/>
        <w:rPr>
          <w:rFonts w:hint="default"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2.2.7 设备暂降保护切换时间：≤2ms </w:t>
      </w:r>
    </w:p>
    <w:p>
      <w:pPr>
        <w:widowControl w:val="0"/>
        <w:numPr>
          <w:ilvl w:val="0"/>
          <w:numId w:val="0"/>
        </w:numPr>
        <w:spacing w:line="240" w:lineRule="auto"/>
        <w:ind w:leftChars="0" w:firstLine="210" w:firstLineChars="100"/>
        <w:jc w:val="both"/>
        <w:rPr>
          <w:rFonts w:hint="eastAsia" w:ascii="仿宋" w:hAnsi="仿宋" w:eastAsia="仿宋" w:cs="仿宋"/>
          <w:b/>
          <w:bCs/>
          <w:color w:val="FF0000"/>
          <w:sz w:val="21"/>
          <w:szCs w:val="21"/>
          <w:lang w:val="en-US" w:eastAsia="zh-CN"/>
        </w:rPr>
      </w:pPr>
      <w:r>
        <w:rPr>
          <w:rFonts w:hint="eastAsia" w:ascii="仿宋" w:hAnsi="仿宋" w:eastAsia="仿宋" w:cs="仿宋"/>
          <w:color w:val="auto"/>
          <w:sz w:val="21"/>
          <w:szCs w:val="21"/>
          <w:lang w:val="en-US" w:eastAsia="zh-CN"/>
        </w:rPr>
        <w:t>2.2.8 充放电转换时间≤20ms</w:t>
      </w:r>
    </w:p>
    <w:p>
      <w:pPr>
        <w:widowControl w:val="0"/>
        <w:numPr>
          <w:ilvl w:val="0"/>
          <w:numId w:val="0"/>
        </w:numPr>
        <w:spacing w:line="240" w:lineRule="auto"/>
        <w:ind w:leftChars="0" w:firstLine="210" w:firstLineChars="100"/>
        <w:jc w:val="both"/>
        <w:rPr>
          <w:rFonts w:hint="default"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2.2.9 SCR热备状态下，满载并联均流偏差小于10%</w:t>
      </w:r>
    </w:p>
    <w:p>
      <w:pPr>
        <w:widowControl w:val="0"/>
        <w:numPr>
          <w:ilvl w:val="0"/>
          <w:numId w:val="0"/>
        </w:numPr>
        <w:spacing w:line="240" w:lineRule="auto"/>
        <w:ind w:leftChars="0" w:firstLine="210" w:firstLineChars="100"/>
        <w:jc w:val="both"/>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2.2.10 设备能耗≤0.8%</w:t>
      </w:r>
    </w:p>
    <w:p>
      <w:pPr>
        <w:widowControl w:val="0"/>
        <w:numPr>
          <w:ilvl w:val="0"/>
          <w:numId w:val="0"/>
        </w:numPr>
        <w:spacing w:line="240" w:lineRule="auto"/>
        <w:ind w:leftChars="0" w:firstLine="210" w:firstLineChars="100"/>
        <w:jc w:val="both"/>
        <w:rPr>
          <w:rFonts w:hint="default"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2.2.11 故障旁路响应时间≤40ms</w:t>
      </w:r>
    </w:p>
    <w:p>
      <w:pPr>
        <w:widowControl w:val="0"/>
        <w:numPr>
          <w:ilvl w:val="0"/>
          <w:numId w:val="0"/>
        </w:numPr>
        <w:spacing w:line="240" w:lineRule="auto"/>
        <w:jc w:val="both"/>
        <w:rPr>
          <w:rFonts w:hint="eastAsia" w:ascii="仿宋" w:hAnsi="仿宋" w:eastAsia="仿宋" w:cs="仿宋"/>
          <w:b/>
          <w:bCs/>
          <w:color w:val="auto"/>
          <w:sz w:val="21"/>
          <w:szCs w:val="21"/>
          <w:lang w:val="en-US" w:eastAsia="zh-CN"/>
        </w:rPr>
      </w:pPr>
      <w:r>
        <w:rPr>
          <w:rFonts w:hint="eastAsia" w:ascii="仿宋" w:hAnsi="仿宋" w:eastAsia="仿宋" w:cs="仿宋"/>
          <w:b/>
          <w:bCs/>
          <w:color w:val="auto"/>
          <w:sz w:val="21"/>
          <w:szCs w:val="21"/>
          <w:lang w:val="en-US" w:eastAsia="zh-CN"/>
        </w:rPr>
        <w:t>2.3 设备环境要求：</w:t>
      </w:r>
    </w:p>
    <w:p>
      <w:pPr>
        <w:widowControl w:val="0"/>
        <w:numPr>
          <w:ilvl w:val="0"/>
          <w:numId w:val="0"/>
        </w:numPr>
        <w:spacing w:line="240" w:lineRule="auto"/>
        <w:ind w:firstLine="210" w:firstLineChars="100"/>
        <w:jc w:val="both"/>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2.3.1 工作温度：min.0℃,无凝露，max.50℃ 推荐最大平均值30℃每增加一度， 降容2 %</w:t>
      </w:r>
    </w:p>
    <w:p>
      <w:pPr>
        <w:widowControl w:val="0"/>
        <w:numPr>
          <w:ilvl w:val="0"/>
          <w:numId w:val="0"/>
        </w:numPr>
        <w:spacing w:line="240" w:lineRule="auto"/>
        <w:ind w:firstLine="210" w:firstLineChars="100"/>
        <w:jc w:val="both"/>
        <w:rPr>
          <w:rFonts w:hint="default"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2.3.2 工作湿度：max.75% 年平均值，85% 偶然概率，95% 30天/年，无凝露，容忍轻微盐雾环境。</w:t>
      </w:r>
    </w:p>
    <w:p>
      <w:pPr>
        <w:widowControl w:val="0"/>
        <w:numPr>
          <w:ilvl w:val="0"/>
          <w:numId w:val="0"/>
        </w:numPr>
        <w:spacing w:line="240" w:lineRule="auto"/>
        <w:jc w:val="both"/>
        <w:rPr>
          <w:rFonts w:hint="eastAsia" w:ascii="仿宋" w:hAnsi="仿宋" w:eastAsia="仿宋" w:cs="仿宋"/>
          <w:b/>
          <w:bCs/>
          <w:color w:val="auto"/>
          <w:sz w:val="21"/>
          <w:szCs w:val="21"/>
          <w:lang w:val="en-US" w:eastAsia="zh-CN"/>
        </w:rPr>
      </w:pPr>
      <w:r>
        <w:rPr>
          <w:rFonts w:hint="eastAsia" w:ascii="仿宋" w:hAnsi="仿宋" w:eastAsia="仿宋" w:cs="仿宋"/>
          <w:b/>
          <w:bCs/>
          <w:color w:val="auto"/>
          <w:sz w:val="21"/>
          <w:szCs w:val="21"/>
          <w:lang w:val="en-US" w:eastAsia="zh-CN"/>
        </w:rPr>
        <w:t>2.4 设备技术规范要求：</w:t>
      </w:r>
    </w:p>
    <w:p>
      <w:pPr>
        <w:widowControl w:val="0"/>
        <w:numPr>
          <w:ilvl w:val="0"/>
          <w:numId w:val="0"/>
        </w:numPr>
        <w:spacing w:line="240" w:lineRule="auto"/>
        <w:ind w:firstLine="210" w:firstLineChars="100"/>
        <w:jc w:val="both"/>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2.4.1 由于设备安装环境的特殊性，设备就位时需要将设备内部除铜牌、开关、二次线外的所有部分拆除，保持最低重量进行设备就位，就位后重新对设备进行组装</w:t>
      </w:r>
    </w:p>
    <w:p>
      <w:pPr>
        <w:widowControl w:val="0"/>
        <w:numPr>
          <w:ilvl w:val="0"/>
          <w:numId w:val="0"/>
        </w:numPr>
        <w:spacing w:line="240" w:lineRule="auto"/>
        <w:ind w:firstLine="210" w:firstLineChars="100"/>
        <w:jc w:val="both"/>
        <w:rPr>
          <w:rFonts w:hint="eastAsia" w:ascii="仿宋" w:hAnsi="仿宋" w:eastAsia="仿宋" w:cs="仿宋"/>
          <w:lang w:val="en-US" w:eastAsia="zh-CN"/>
        </w:rPr>
      </w:pPr>
      <w:r>
        <w:rPr>
          <w:rFonts w:hint="eastAsia" w:ascii="仿宋" w:hAnsi="仿宋" w:eastAsia="仿宋" w:cs="仿宋"/>
          <w:lang w:val="en-US" w:eastAsia="zh-CN"/>
        </w:rPr>
        <w:t>为适应上述环境，设备应采用更为标准的完整功能模块设计，模块包括电网分离器模块、三相四线输出的逆变器模块和超级电容模块，具备模块统一，替代性强的特点，所有模块应在后续机型中100%通用，不接受一体机、塔式机。</w:t>
      </w:r>
    </w:p>
    <w:p>
      <w:pPr>
        <w:widowControl w:val="0"/>
        <w:numPr>
          <w:ilvl w:val="0"/>
          <w:numId w:val="0"/>
        </w:numPr>
        <w:spacing w:line="240" w:lineRule="auto"/>
        <w:ind w:firstLine="210" w:firstLineChars="100"/>
        <w:jc w:val="both"/>
        <w:rPr>
          <w:rFonts w:hint="eastAsia" w:ascii="仿宋" w:hAnsi="仿宋" w:eastAsia="仿宋" w:cs="仿宋"/>
          <w:lang w:val="en-US" w:eastAsia="zh-CN"/>
        </w:rPr>
      </w:pPr>
      <w:r>
        <w:rPr>
          <w:rFonts w:hint="eastAsia" w:ascii="仿宋" w:hAnsi="仿宋" w:eastAsia="仿宋" w:cs="仿宋"/>
          <w:color w:val="auto"/>
          <w:sz w:val="21"/>
          <w:szCs w:val="21"/>
          <w:lang w:val="en-US" w:eastAsia="zh-CN"/>
        </w:rPr>
        <w:t xml:space="preserve">2.4.2 </w:t>
      </w:r>
      <w:r>
        <w:rPr>
          <w:rFonts w:hint="eastAsia" w:ascii="仿宋" w:hAnsi="仿宋" w:eastAsia="仿宋" w:cs="仿宋"/>
          <w:lang w:val="en-US" w:eastAsia="zh-CN"/>
        </w:rPr>
        <w:t>为保证航天发射系统应用的特殊环境，设备应具备优秀的电磁兼容特性，柜内不应出现独立的电抗器、电感、电容器、控制板、熔断器等一次器件。</w:t>
      </w:r>
    </w:p>
    <w:p>
      <w:pPr>
        <w:widowControl w:val="0"/>
        <w:numPr>
          <w:ilvl w:val="0"/>
          <w:numId w:val="0"/>
        </w:numPr>
        <w:spacing w:line="240" w:lineRule="auto"/>
        <w:ind w:firstLine="210" w:firstLineChars="100"/>
        <w:jc w:val="both"/>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2.4.3 </w:t>
      </w:r>
      <w:r>
        <w:rPr>
          <w:rFonts w:hint="eastAsia" w:ascii="仿宋" w:hAnsi="仿宋" w:eastAsia="仿宋" w:cs="仿宋"/>
          <w:lang w:val="en-US" w:eastAsia="zh-CN"/>
        </w:rPr>
        <w:t>电网分离器模块要求采用冗余式双机并联运行模式，双机热备，单个模块故障不影响设备使用，</w:t>
      </w:r>
      <w:r>
        <w:rPr>
          <w:rFonts w:hint="eastAsia" w:ascii="仿宋" w:hAnsi="仿宋" w:eastAsia="仿宋" w:cs="仿宋"/>
          <w:color w:val="auto"/>
          <w:sz w:val="21"/>
          <w:szCs w:val="21"/>
          <w:lang w:val="en-US" w:eastAsia="zh-CN"/>
        </w:rPr>
        <w:t>模块采用抽屉式插拔设计，可以独立取出，进行整个模块的更换。</w:t>
      </w:r>
    </w:p>
    <w:p>
      <w:pPr>
        <w:widowControl w:val="0"/>
        <w:numPr>
          <w:ilvl w:val="0"/>
          <w:numId w:val="0"/>
        </w:numPr>
        <w:spacing w:line="240" w:lineRule="auto"/>
        <w:ind w:firstLine="210" w:firstLineChars="100"/>
        <w:jc w:val="both"/>
        <w:rPr>
          <w:rFonts w:hint="default"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2.4.4 设备中的SCR触发回路要求采用双冗余设计，单触发系统故障，只做报警，不影响系统正常工作。</w:t>
      </w:r>
    </w:p>
    <w:p>
      <w:pPr>
        <w:widowControl w:val="0"/>
        <w:numPr>
          <w:ilvl w:val="0"/>
          <w:numId w:val="0"/>
        </w:numPr>
        <w:spacing w:line="240" w:lineRule="auto"/>
        <w:ind w:firstLine="210" w:firstLineChars="100"/>
        <w:jc w:val="both"/>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2.4.5 设备逆变系统采用全模块化结构的逆变器多并联方案。交流侧采用三电平方案，逆变器直流母线不能与超级电容直接连接，须通过IGBT构成的DCDC进行可控隔离。</w:t>
      </w:r>
    </w:p>
    <w:p>
      <w:pPr>
        <w:widowControl w:val="0"/>
        <w:numPr>
          <w:ilvl w:val="0"/>
          <w:numId w:val="0"/>
        </w:numPr>
        <w:spacing w:line="240" w:lineRule="auto"/>
        <w:jc w:val="both"/>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逆变器除主控系统、采样系统之外，模块内还应包含交直流熔断器、直流母线、IGBT、完整的LCL滤波回路，电源模块、完整的预充电回路，和并网接触器，所有部分集成在标准模块设备之内。</w:t>
      </w:r>
    </w:p>
    <w:p>
      <w:pPr>
        <w:widowControl w:val="0"/>
        <w:numPr>
          <w:ilvl w:val="0"/>
          <w:numId w:val="0"/>
        </w:numPr>
        <w:spacing w:line="240" w:lineRule="auto"/>
        <w:ind w:firstLine="210" w:firstLineChars="100"/>
        <w:jc w:val="both"/>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2.4.6 为保证设备工作的系统效率，以及设备的电压输出精度，逆变器输出侧采用三相四线直接并网的技术方案，输出侧不配置任何形式的隔离变压器。</w:t>
      </w:r>
    </w:p>
    <w:p>
      <w:pPr>
        <w:widowControl w:val="0"/>
        <w:numPr>
          <w:ilvl w:val="0"/>
          <w:numId w:val="0"/>
        </w:numPr>
        <w:spacing w:line="240" w:lineRule="auto"/>
        <w:ind w:firstLine="210" w:firstLineChars="100"/>
        <w:jc w:val="both"/>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2.4.7 DVR系统应采用充分冗余的分布式控制设计，逆变器模块部署数量为N+1设计，任意模块故障，整机均可以正常工作。</w:t>
      </w:r>
    </w:p>
    <w:p>
      <w:pPr>
        <w:widowControl w:val="0"/>
        <w:numPr>
          <w:ilvl w:val="0"/>
          <w:numId w:val="0"/>
        </w:numPr>
        <w:spacing w:line="240" w:lineRule="auto"/>
        <w:ind w:firstLine="210" w:firstLineChars="100"/>
        <w:jc w:val="both"/>
        <w:rPr>
          <w:rFonts w:hint="default"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2.4.8 设备通讯部分采用全光纤完成，光通路为主备冗余模式，任意线路故障，均不影响设备的正常保护工作。</w:t>
      </w:r>
    </w:p>
    <w:p>
      <w:pPr>
        <w:widowControl w:val="0"/>
        <w:numPr>
          <w:ilvl w:val="0"/>
          <w:numId w:val="0"/>
        </w:numPr>
        <w:spacing w:line="240" w:lineRule="auto"/>
        <w:ind w:firstLine="210" w:firstLineChars="100"/>
        <w:jc w:val="both"/>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2.4.9 超级电容串联数量不少于16只，储能电压上限不低于768V，放电深度不低于200V，具备内阻小、容值高、寿命长等特点，充放电次数不少于100万次，提供5年质保保证。</w:t>
      </w:r>
    </w:p>
    <w:p>
      <w:pPr>
        <w:widowControl w:val="0"/>
        <w:numPr>
          <w:ilvl w:val="0"/>
          <w:numId w:val="0"/>
        </w:numPr>
        <w:spacing w:line="240" w:lineRule="auto"/>
        <w:ind w:firstLine="210" w:firstLineChars="100"/>
        <w:jc w:val="both"/>
        <w:rPr>
          <w:rFonts w:hint="eastAsia" w:ascii="仿宋" w:hAnsi="仿宋" w:eastAsia="仿宋" w:cs="仿宋"/>
          <w:color w:val="auto"/>
          <w:szCs w:val="21"/>
          <w:highlight w:val="none"/>
          <w:lang w:val="en-US" w:eastAsia="zh-CN"/>
        </w:rPr>
      </w:pPr>
      <w:r>
        <w:rPr>
          <w:rFonts w:hint="eastAsia" w:ascii="仿宋" w:hAnsi="仿宋" w:eastAsia="仿宋" w:cs="仿宋"/>
          <w:color w:val="auto"/>
          <w:sz w:val="21"/>
          <w:szCs w:val="21"/>
          <w:lang w:val="en-US" w:eastAsia="zh-CN"/>
        </w:rPr>
        <w:t xml:space="preserve">2.4.10 </w:t>
      </w:r>
      <w:r>
        <w:rPr>
          <w:rFonts w:hint="eastAsia" w:ascii="仿宋" w:hAnsi="仿宋" w:eastAsia="仿宋" w:cs="仿宋"/>
          <w:color w:val="auto"/>
          <w:szCs w:val="21"/>
          <w:highlight w:val="none"/>
        </w:rPr>
        <w:t>设备须配备必要的保护，保护动作时不影响负荷的正常供电</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lang w:val="en-US" w:eastAsia="zh-CN"/>
        </w:rPr>
        <w:t>应包含但不限于以下故障保护：</w:t>
      </w:r>
      <w:r>
        <w:rPr>
          <w:rFonts w:hint="eastAsia" w:ascii="仿宋" w:hAnsi="仿宋" w:eastAsia="仿宋" w:cs="仿宋"/>
          <w:color w:val="auto"/>
          <w:szCs w:val="21"/>
          <w:highlight w:val="none"/>
          <w:lang w:eastAsia="zh-CN"/>
        </w:rPr>
        <w:t>晶闸管过流、晶闸管过压、晶闸管过温、</w:t>
      </w:r>
      <w:r>
        <w:rPr>
          <w:rFonts w:hint="eastAsia" w:ascii="仿宋" w:hAnsi="仿宋" w:eastAsia="仿宋" w:cs="仿宋"/>
          <w:color w:val="auto"/>
          <w:szCs w:val="21"/>
          <w:highlight w:val="none"/>
          <w:lang w:val="en-US" w:eastAsia="zh-CN"/>
        </w:rPr>
        <w:t>晶闸管故障、晶闸管触发脉冲故障、控制电源故障、旁路异常、光纤故障、整体过温、IGBT故障、IGBT过温、PCS逆变/稳压侧过流、PCS逆变侧过压、直流母线过压、欠压超容过压、超容欠压、超容过温。</w:t>
      </w:r>
    </w:p>
    <w:p>
      <w:pPr>
        <w:widowControl w:val="0"/>
        <w:numPr>
          <w:ilvl w:val="0"/>
          <w:numId w:val="0"/>
        </w:numPr>
        <w:spacing w:line="240" w:lineRule="auto"/>
        <w:ind w:firstLine="210" w:firstLineChars="100"/>
        <w:jc w:val="both"/>
        <w:rPr>
          <w:rFonts w:hint="eastAsia" w:ascii="仿宋" w:hAnsi="仿宋" w:eastAsia="仿宋" w:cs="仿宋"/>
          <w:color w:val="auto"/>
          <w:szCs w:val="21"/>
          <w:highlight w:val="none"/>
          <w:lang w:val="en-US" w:eastAsia="zh-CN"/>
        </w:rPr>
      </w:pPr>
      <w:r>
        <w:rPr>
          <w:rFonts w:hint="eastAsia" w:ascii="仿宋" w:hAnsi="仿宋" w:eastAsia="仿宋" w:cs="仿宋"/>
          <w:color w:val="auto"/>
          <w:sz w:val="21"/>
          <w:szCs w:val="21"/>
          <w:lang w:val="en-US" w:eastAsia="zh-CN"/>
        </w:rPr>
        <w:t>2.4</w:t>
      </w:r>
      <w:r>
        <w:rPr>
          <w:rFonts w:hint="eastAsia" w:ascii="仿宋" w:hAnsi="仿宋" w:eastAsia="仿宋" w:cs="仿宋"/>
          <w:color w:val="auto"/>
          <w:szCs w:val="21"/>
          <w:highlight w:val="none"/>
          <w:lang w:val="en-US" w:eastAsia="zh-CN"/>
        </w:rPr>
        <w:t>.11 人机界面应采用不小于10英寸的屏幕，系统应显示充分的信息，以便于运行维护人员观察设备运行状况，定位故障原因，至少应具备的功能有：运行状态显示，主接线图显示，事件记录和显示查询功能，录波功能和显示，功率半导体器件或换流模块的状态信息显示等</w:t>
      </w:r>
    </w:p>
    <w:p>
      <w:pPr>
        <w:widowControl w:val="0"/>
        <w:numPr>
          <w:ilvl w:val="0"/>
          <w:numId w:val="0"/>
        </w:numPr>
        <w:spacing w:line="240" w:lineRule="auto"/>
        <w:ind w:firstLine="210" w:firstLineChars="100"/>
        <w:jc w:val="both"/>
        <w:rPr>
          <w:rFonts w:hint="eastAsia" w:ascii="仿宋" w:hAnsi="仿宋" w:eastAsia="仿宋" w:cs="仿宋"/>
          <w:color w:val="auto"/>
          <w:szCs w:val="21"/>
          <w:highlight w:val="none"/>
          <w:lang w:val="en-US" w:eastAsia="zh-CN"/>
        </w:rPr>
      </w:pPr>
      <w:r>
        <w:rPr>
          <w:rFonts w:hint="eastAsia" w:ascii="仿宋" w:hAnsi="仿宋" w:eastAsia="仿宋" w:cs="仿宋"/>
          <w:color w:val="auto"/>
          <w:sz w:val="21"/>
          <w:szCs w:val="21"/>
          <w:lang w:val="en-US" w:eastAsia="zh-CN"/>
        </w:rPr>
        <w:t>2.4</w:t>
      </w:r>
      <w:r>
        <w:rPr>
          <w:rFonts w:hint="eastAsia" w:ascii="仿宋" w:hAnsi="仿宋" w:eastAsia="仿宋" w:cs="仿宋"/>
          <w:color w:val="auto"/>
          <w:szCs w:val="21"/>
          <w:highlight w:val="none"/>
          <w:lang w:val="en-US" w:eastAsia="zh-CN"/>
        </w:rPr>
        <w:t>.12 电压暂降/骤升保护记录应有对电压暂降发生时间、持续时间、暂降低深度，暂降后的各相相电压有效值以及是否有效保护的记录。</w:t>
      </w:r>
    </w:p>
    <w:p>
      <w:pPr>
        <w:widowControl w:val="0"/>
        <w:numPr>
          <w:ilvl w:val="0"/>
          <w:numId w:val="0"/>
        </w:numPr>
        <w:spacing w:line="240" w:lineRule="auto"/>
        <w:ind w:firstLine="210" w:firstLineChars="100"/>
        <w:jc w:val="both"/>
        <w:rPr>
          <w:rFonts w:hint="eastAsia" w:ascii="仿宋" w:hAnsi="仿宋" w:eastAsia="仿宋" w:cs="仿宋"/>
          <w:color w:val="auto"/>
          <w:szCs w:val="21"/>
          <w:highlight w:val="none"/>
          <w:lang w:val="en-US" w:eastAsia="zh-CN"/>
        </w:rPr>
      </w:pPr>
      <w:r>
        <w:rPr>
          <w:rFonts w:hint="eastAsia" w:ascii="仿宋" w:hAnsi="仿宋" w:eastAsia="仿宋" w:cs="仿宋"/>
          <w:color w:val="auto"/>
          <w:sz w:val="21"/>
          <w:szCs w:val="21"/>
          <w:lang w:val="en-US" w:eastAsia="zh-CN"/>
        </w:rPr>
        <w:t>2.4</w:t>
      </w:r>
      <w:r>
        <w:rPr>
          <w:rFonts w:hint="eastAsia" w:ascii="仿宋" w:hAnsi="仿宋" w:eastAsia="仿宋" w:cs="仿宋"/>
          <w:color w:val="auto"/>
          <w:szCs w:val="21"/>
          <w:highlight w:val="none"/>
          <w:lang w:val="en-US" w:eastAsia="zh-CN"/>
        </w:rPr>
        <w:t>.13 设备具有独立电能质量分析仪功能，对电压暂降/骤升进行录播录播，录播保存量应不少于50个近期事件。每个录播数据6通道，应包含电网侧、和负载侧三相相电压，A\B\C三相可以分别选择，独立查看，波形记录包含瞬时值波形和有效值波形，录播时间为30个周波。</w:t>
      </w:r>
    </w:p>
    <w:p>
      <w:pPr>
        <w:widowControl w:val="0"/>
        <w:numPr>
          <w:ilvl w:val="0"/>
          <w:numId w:val="0"/>
        </w:numPr>
        <w:spacing w:line="240" w:lineRule="auto"/>
        <w:ind w:firstLine="210" w:firstLineChars="100"/>
        <w:jc w:val="both"/>
        <w:rPr>
          <w:rFonts w:hint="eastAsia" w:ascii="仿宋" w:hAnsi="仿宋" w:eastAsia="仿宋" w:cs="仿宋"/>
          <w:b w:val="0"/>
          <w:bCs/>
          <w:color w:val="auto"/>
          <w:sz w:val="21"/>
          <w:szCs w:val="21"/>
          <w:lang w:val="en-US" w:eastAsia="zh-CN"/>
        </w:rPr>
      </w:pPr>
      <w:r>
        <w:rPr>
          <w:rFonts w:hint="eastAsia" w:ascii="仿宋" w:hAnsi="仿宋" w:eastAsia="仿宋" w:cs="仿宋"/>
          <w:color w:val="auto"/>
          <w:sz w:val="21"/>
          <w:szCs w:val="21"/>
          <w:lang w:val="en-US" w:eastAsia="zh-CN"/>
        </w:rPr>
        <w:t>2.4</w:t>
      </w:r>
      <w:r>
        <w:rPr>
          <w:rFonts w:hint="eastAsia" w:ascii="仿宋" w:hAnsi="仿宋" w:eastAsia="仿宋" w:cs="仿宋"/>
          <w:color w:val="auto"/>
          <w:szCs w:val="21"/>
          <w:highlight w:val="none"/>
          <w:lang w:val="en-US" w:eastAsia="zh-CN"/>
        </w:rPr>
        <w:t xml:space="preserve">.14 </w:t>
      </w:r>
      <w:r>
        <w:rPr>
          <w:rFonts w:hint="eastAsia" w:ascii="仿宋" w:hAnsi="仿宋" w:eastAsia="仿宋" w:cs="仿宋"/>
          <w:b w:val="0"/>
          <w:bCs/>
          <w:color w:val="auto"/>
          <w:sz w:val="21"/>
          <w:szCs w:val="21"/>
          <w:lang w:val="en-US" w:eastAsia="zh-CN"/>
        </w:rPr>
        <w:t>设备具备黑匣子功能，所有设备的操作记录、事件记录、故障信息均须记录在设备主控系统内，并永久保存，当在HMI界面上人为清除设备事件或故障系信息或修改设置参数后，黑匣子系统应自动记录操作时间、步骤、对应的所有记录不应被删除。</w:t>
      </w:r>
    </w:p>
    <w:p>
      <w:pPr>
        <w:widowControl w:val="0"/>
        <w:numPr>
          <w:ilvl w:val="0"/>
          <w:numId w:val="0"/>
        </w:numPr>
        <w:spacing w:line="240" w:lineRule="auto"/>
        <w:ind w:leftChars="0" w:firstLine="210" w:firstLineChars="100"/>
        <w:jc w:val="both"/>
        <w:rPr>
          <w:rFonts w:hint="eastAsia" w:ascii="仿宋" w:hAnsi="仿宋" w:eastAsia="仿宋" w:cs="仿宋"/>
          <w:b w:val="0"/>
          <w:bCs/>
          <w:color w:val="auto"/>
          <w:sz w:val="21"/>
          <w:szCs w:val="21"/>
          <w:lang w:val="en-US" w:eastAsia="zh-CN"/>
        </w:rPr>
      </w:pPr>
      <w:r>
        <w:rPr>
          <w:rFonts w:hint="eastAsia" w:ascii="仿宋" w:hAnsi="仿宋" w:eastAsia="仿宋" w:cs="仿宋"/>
          <w:color w:val="auto"/>
          <w:sz w:val="21"/>
          <w:szCs w:val="21"/>
          <w:lang w:val="en-US" w:eastAsia="zh-CN"/>
        </w:rPr>
        <w:t>2.4</w:t>
      </w:r>
      <w:r>
        <w:rPr>
          <w:rFonts w:hint="eastAsia" w:ascii="仿宋" w:hAnsi="仿宋" w:eastAsia="仿宋" w:cs="仿宋"/>
          <w:b w:val="0"/>
          <w:bCs/>
          <w:color w:val="auto"/>
          <w:sz w:val="21"/>
          <w:szCs w:val="21"/>
          <w:lang w:val="en-US" w:eastAsia="zh-CN"/>
        </w:rPr>
        <w:t>.15 后台通讯部分采用RJ45/RS232端口，4G端口，TCP/IP协议，可将实时状态、告警信息、暂降事件、录播信息进行后台传输。拥有独立的基于4G的后台服务，可以通过为用户开设不同权限的账号来进行设备的远程维护。</w:t>
      </w:r>
    </w:p>
    <w:p>
      <w:pPr>
        <w:widowControl w:val="0"/>
        <w:numPr>
          <w:ilvl w:val="0"/>
          <w:numId w:val="2"/>
        </w:numPr>
        <w:spacing w:line="240" w:lineRule="auto"/>
        <w:ind w:left="420" w:leftChars="0" w:hanging="420" w:firstLineChars="0"/>
        <w:jc w:val="both"/>
        <w:rPr>
          <w:rFonts w:hint="eastAsia" w:ascii="仿宋" w:hAnsi="仿宋" w:eastAsia="仿宋" w:cs="仿宋"/>
          <w:b w:val="0"/>
          <w:bCs/>
          <w:color w:val="auto"/>
          <w:sz w:val="21"/>
          <w:szCs w:val="21"/>
          <w:lang w:val="en-US" w:eastAsia="zh-CN"/>
        </w:rPr>
      </w:pPr>
      <w:r>
        <w:rPr>
          <w:rFonts w:hint="eastAsia" w:ascii="仿宋" w:hAnsi="仿宋" w:eastAsia="仿宋" w:cs="仿宋"/>
          <w:b w:val="0"/>
          <w:bCs/>
          <w:color w:val="auto"/>
          <w:sz w:val="21"/>
          <w:szCs w:val="21"/>
          <w:lang w:val="en-US" w:eastAsia="zh-CN"/>
        </w:rPr>
        <w:t>SaaS后台可以存储至少3年的电压暂降发生及保护数据，可以查看时间录波，瞬时值录波和有效值录波，可以任意放大细节查看；并可以查看设备的故障信息。</w:t>
      </w:r>
    </w:p>
    <w:p>
      <w:pPr>
        <w:widowControl w:val="0"/>
        <w:numPr>
          <w:ilvl w:val="0"/>
          <w:numId w:val="2"/>
        </w:numPr>
        <w:spacing w:line="240" w:lineRule="auto"/>
        <w:ind w:left="420" w:leftChars="0" w:hanging="420" w:firstLineChars="0"/>
        <w:jc w:val="both"/>
        <w:rPr>
          <w:rFonts w:hint="eastAsia" w:ascii="仿宋" w:hAnsi="仿宋" w:eastAsia="仿宋" w:cs="仿宋"/>
          <w:b w:val="0"/>
          <w:bCs/>
          <w:color w:val="auto"/>
          <w:sz w:val="21"/>
          <w:szCs w:val="21"/>
          <w:lang w:val="en-US" w:eastAsia="zh-CN"/>
        </w:rPr>
      </w:pPr>
      <w:r>
        <w:rPr>
          <w:rFonts w:hint="eastAsia" w:ascii="仿宋" w:hAnsi="仿宋" w:eastAsia="仿宋" w:cs="仿宋"/>
          <w:b w:val="0"/>
          <w:bCs/>
          <w:color w:val="auto"/>
          <w:sz w:val="21"/>
          <w:szCs w:val="21"/>
          <w:lang w:val="en-US" w:eastAsia="zh-CN"/>
        </w:rPr>
        <w:t>SaaS后台具备电压暂降事件统计功能，可以对任意年份的电压暂降数据进行时长/剩余电压的统计，并可以通过带有横纵坐标轴的点状进行显示，具备月份发生次数统计，所有数据可以导出。</w:t>
      </w:r>
    </w:p>
    <w:p>
      <w:pPr>
        <w:widowControl w:val="0"/>
        <w:numPr>
          <w:ilvl w:val="0"/>
          <w:numId w:val="0"/>
        </w:numPr>
        <w:spacing w:line="240" w:lineRule="auto"/>
        <w:ind w:firstLine="210" w:firstLineChars="100"/>
        <w:jc w:val="both"/>
        <w:rPr>
          <w:rFonts w:hint="eastAsia" w:ascii="仿宋" w:hAnsi="仿宋" w:eastAsia="仿宋" w:cs="仿宋"/>
          <w:b w:val="0"/>
          <w:bCs/>
          <w:color w:val="auto"/>
          <w:sz w:val="21"/>
          <w:szCs w:val="21"/>
          <w:lang w:val="en-US" w:eastAsia="zh-CN"/>
        </w:rPr>
      </w:pPr>
      <w:r>
        <w:rPr>
          <w:rFonts w:hint="eastAsia" w:ascii="仿宋" w:hAnsi="仿宋" w:eastAsia="仿宋" w:cs="仿宋"/>
          <w:color w:val="auto"/>
          <w:sz w:val="21"/>
          <w:szCs w:val="21"/>
          <w:lang w:val="en-US" w:eastAsia="zh-CN"/>
        </w:rPr>
        <w:t>2.4</w:t>
      </w:r>
      <w:r>
        <w:rPr>
          <w:rFonts w:hint="eastAsia" w:ascii="仿宋" w:hAnsi="仿宋" w:eastAsia="仿宋" w:cs="仿宋"/>
          <w:b w:val="0"/>
          <w:bCs/>
          <w:color w:val="auto"/>
          <w:sz w:val="21"/>
          <w:szCs w:val="21"/>
          <w:lang w:val="en-US" w:eastAsia="zh-CN"/>
        </w:rPr>
        <w:t>.16 柜型</w:t>
      </w:r>
      <w:r>
        <w:rPr>
          <w:rFonts w:hint="eastAsia" w:ascii="仿宋" w:hAnsi="仿宋" w:eastAsia="仿宋" w:cs="仿宋"/>
          <w:b w:val="0"/>
          <w:bCs/>
          <w:color w:val="auto"/>
          <w:sz w:val="21"/>
          <w:szCs w:val="21"/>
          <w:lang w:val="en-US" w:eastAsia="zh-Hans"/>
        </w:rPr>
        <w:t>采用高承重</w:t>
      </w:r>
      <w:r>
        <w:rPr>
          <w:rFonts w:hint="eastAsia" w:ascii="仿宋" w:hAnsi="仿宋" w:eastAsia="仿宋" w:cs="仿宋"/>
          <w:b w:val="0"/>
          <w:bCs/>
          <w:color w:val="auto"/>
          <w:sz w:val="21"/>
          <w:szCs w:val="21"/>
          <w:lang w:val="en-US" w:eastAsia="zh-CN"/>
        </w:rPr>
        <w:t>24</w:t>
      </w:r>
      <w:r>
        <w:rPr>
          <w:rFonts w:hint="eastAsia" w:ascii="仿宋" w:hAnsi="仿宋" w:eastAsia="仿宋" w:cs="仿宋"/>
          <w:b w:val="0"/>
          <w:bCs/>
          <w:color w:val="auto"/>
          <w:sz w:val="21"/>
          <w:szCs w:val="21"/>
          <w:lang w:val="en-US" w:eastAsia="zh-Hans"/>
        </w:rPr>
        <w:t>折型材</w:t>
      </w:r>
      <w:r>
        <w:rPr>
          <w:rFonts w:hint="eastAsia" w:ascii="仿宋" w:hAnsi="仿宋" w:eastAsia="仿宋" w:cs="仿宋"/>
          <w:b w:val="0"/>
          <w:bCs/>
          <w:color w:val="auto"/>
          <w:sz w:val="21"/>
          <w:szCs w:val="21"/>
          <w:lang w:val="en-US" w:eastAsia="zh-CN"/>
        </w:rPr>
        <w:t>焊接框架，不得采用拼接式C型材、涂层颜色：RAL7035。柜体的框架和外壳采用优质冷轧钢板，柜内隔板、侧板、框架采用敷铝锌钢板制作，板材厚度不小于2.0mm，框架及外壳应有足够的强度，除应满足柜内设备的安装要求外，还应能承受设备内外主电路短路时电动力和热效应。</w:t>
      </w:r>
    </w:p>
    <w:p>
      <w:pPr>
        <w:widowControl w:val="0"/>
        <w:numPr>
          <w:ilvl w:val="0"/>
          <w:numId w:val="0"/>
        </w:numPr>
        <w:spacing w:line="240" w:lineRule="auto"/>
        <w:ind w:firstLine="210" w:firstLineChars="100"/>
        <w:jc w:val="both"/>
        <w:rPr>
          <w:rFonts w:hint="eastAsia" w:ascii="仿宋" w:hAnsi="仿宋" w:eastAsia="仿宋" w:cs="仿宋"/>
          <w:b w:val="0"/>
          <w:bCs/>
          <w:color w:val="auto"/>
          <w:sz w:val="21"/>
          <w:szCs w:val="21"/>
          <w:lang w:val="en-US" w:eastAsia="zh-CN"/>
        </w:rPr>
      </w:pPr>
      <w:r>
        <w:rPr>
          <w:rFonts w:hint="eastAsia" w:ascii="仿宋" w:hAnsi="仿宋" w:eastAsia="仿宋" w:cs="仿宋"/>
          <w:color w:val="auto"/>
          <w:sz w:val="21"/>
          <w:szCs w:val="21"/>
          <w:lang w:val="en-US" w:eastAsia="zh-CN"/>
        </w:rPr>
        <w:t>2.4</w:t>
      </w:r>
      <w:r>
        <w:rPr>
          <w:rFonts w:hint="eastAsia" w:ascii="仿宋" w:hAnsi="仿宋" w:eastAsia="仿宋" w:cs="仿宋"/>
          <w:b w:val="0"/>
          <w:bCs/>
          <w:color w:val="auto"/>
          <w:sz w:val="21"/>
          <w:szCs w:val="21"/>
          <w:lang w:val="en-US" w:eastAsia="zh-CN"/>
        </w:rPr>
        <w:t>.17 柜体本身应配有散热或排风装置，整体系统IP等级达到IP21。</w:t>
      </w:r>
    </w:p>
    <w:p>
      <w:pPr>
        <w:widowControl w:val="0"/>
        <w:numPr>
          <w:ilvl w:val="0"/>
          <w:numId w:val="0"/>
        </w:numPr>
        <w:spacing w:line="240" w:lineRule="auto"/>
        <w:ind w:firstLine="210" w:firstLineChars="100"/>
        <w:jc w:val="both"/>
        <w:rPr>
          <w:rFonts w:hint="eastAsia" w:ascii="仿宋" w:hAnsi="仿宋" w:eastAsia="仿宋" w:cs="仿宋"/>
          <w:b w:val="0"/>
          <w:bCs/>
          <w:color w:val="auto"/>
          <w:sz w:val="21"/>
          <w:szCs w:val="21"/>
          <w:lang w:val="en-US" w:eastAsia="zh-CN"/>
        </w:rPr>
      </w:pPr>
      <w:r>
        <w:rPr>
          <w:rFonts w:hint="eastAsia" w:ascii="仿宋" w:hAnsi="仿宋" w:eastAsia="仿宋" w:cs="仿宋"/>
          <w:color w:val="auto"/>
          <w:sz w:val="21"/>
          <w:szCs w:val="21"/>
          <w:lang w:val="en-US" w:eastAsia="zh-CN"/>
        </w:rPr>
        <w:t>2.4</w:t>
      </w:r>
      <w:r>
        <w:rPr>
          <w:rFonts w:hint="eastAsia" w:ascii="仿宋" w:hAnsi="仿宋" w:eastAsia="仿宋" w:cs="仿宋"/>
          <w:b w:val="0"/>
          <w:bCs/>
          <w:color w:val="auto"/>
          <w:sz w:val="21"/>
          <w:szCs w:val="21"/>
          <w:lang w:val="en-US" w:eastAsia="zh-CN"/>
        </w:rPr>
        <w:t>.18 进线方式下进下出。</w:t>
      </w:r>
    </w:p>
    <w:p>
      <w:pPr>
        <w:widowControl w:val="0"/>
        <w:numPr>
          <w:ilvl w:val="0"/>
          <w:numId w:val="0"/>
        </w:numPr>
        <w:spacing w:line="240" w:lineRule="auto"/>
        <w:jc w:val="both"/>
        <w:rPr>
          <w:rFonts w:hint="eastAsia" w:ascii="仿宋" w:hAnsi="仿宋" w:eastAsia="仿宋" w:cs="仿宋"/>
          <w:b/>
          <w:bCs/>
          <w:color w:val="auto"/>
          <w:sz w:val="21"/>
          <w:szCs w:val="21"/>
          <w:lang w:val="en-US" w:eastAsia="zh-CN"/>
        </w:rPr>
      </w:pPr>
      <w:r>
        <w:rPr>
          <w:rFonts w:hint="eastAsia" w:ascii="仿宋" w:hAnsi="仿宋" w:eastAsia="仿宋" w:cs="仿宋"/>
          <w:b/>
          <w:bCs/>
          <w:color w:val="auto"/>
          <w:sz w:val="21"/>
          <w:szCs w:val="21"/>
          <w:lang w:val="en-US" w:eastAsia="zh-CN"/>
        </w:rPr>
        <w:t>2.5 元器件清单表</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29"/>
        <w:gridCol w:w="65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29" w:type="dxa"/>
          </w:tcPr>
          <w:p>
            <w:pPr>
              <w:widowControl w:val="0"/>
              <w:numPr>
                <w:ilvl w:val="0"/>
                <w:numId w:val="0"/>
              </w:numPr>
              <w:spacing w:line="240" w:lineRule="auto"/>
              <w:jc w:val="both"/>
              <w:rPr>
                <w:rFonts w:hint="default" w:ascii="仿宋" w:hAnsi="仿宋" w:eastAsia="仿宋" w:cs="仿宋"/>
                <w:b w:val="0"/>
                <w:bCs/>
                <w:color w:val="auto"/>
                <w:sz w:val="21"/>
                <w:szCs w:val="21"/>
                <w:lang w:val="en-US" w:eastAsia="zh-CN"/>
              </w:rPr>
            </w:pPr>
            <w:r>
              <w:rPr>
                <w:rFonts w:hint="eastAsia" w:ascii="仿宋" w:hAnsi="仿宋" w:eastAsia="仿宋" w:cs="仿宋"/>
                <w:b w:val="0"/>
                <w:bCs/>
                <w:color w:val="auto"/>
                <w:sz w:val="21"/>
                <w:szCs w:val="21"/>
                <w:lang w:val="en-US" w:eastAsia="zh-CN"/>
              </w:rPr>
              <w:t>器件名称</w:t>
            </w:r>
          </w:p>
        </w:tc>
        <w:tc>
          <w:tcPr>
            <w:tcW w:w="6587" w:type="dxa"/>
          </w:tcPr>
          <w:p>
            <w:pPr>
              <w:widowControl w:val="0"/>
              <w:numPr>
                <w:ilvl w:val="0"/>
                <w:numId w:val="0"/>
              </w:numPr>
              <w:spacing w:line="240" w:lineRule="auto"/>
              <w:jc w:val="both"/>
              <w:rPr>
                <w:rFonts w:hint="default" w:ascii="仿宋" w:hAnsi="仿宋" w:eastAsia="仿宋" w:cs="仿宋"/>
                <w:b w:val="0"/>
                <w:bCs/>
                <w:color w:val="auto"/>
                <w:sz w:val="21"/>
                <w:szCs w:val="21"/>
                <w:lang w:val="en-US" w:eastAsia="zh-CN"/>
              </w:rPr>
            </w:pPr>
            <w:r>
              <w:rPr>
                <w:rFonts w:hint="eastAsia" w:ascii="仿宋" w:hAnsi="仿宋" w:eastAsia="仿宋" w:cs="仿宋"/>
                <w:b w:val="0"/>
                <w:bCs/>
                <w:color w:val="auto"/>
                <w:sz w:val="21"/>
                <w:szCs w:val="21"/>
                <w:lang w:val="en-US" w:eastAsia="zh-CN"/>
              </w:rPr>
              <w:t>采用以下品牌和规格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29" w:type="dxa"/>
          </w:tcPr>
          <w:p>
            <w:pPr>
              <w:widowControl w:val="0"/>
              <w:numPr>
                <w:ilvl w:val="0"/>
                <w:numId w:val="0"/>
              </w:numPr>
              <w:spacing w:line="240" w:lineRule="auto"/>
              <w:jc w:val="both"/>
              <w:rPr>
                <w:rFonts w:hint="default" w:ascii="仿宋" w:hAnsi="仿宋" w:eastAsia="仿宋" w:cs="仿宋"/>
                <w:b w:val="0"/>
                <w:bCs/>
                <w:color w:val="auto"/>
                <w:sz w:val="21"/>
                <w:szCs w:val="21"/>
                <w:lang w:val="en-US" w:eastAsia="zh-CN"/>
              </w:rPr>
            </w:pPr>
            <w:r>
              <w:rPr>
                <w:rFonts w:hint="eastAsia" w:ascii="仿宋" w:hAnsi="仿宋" w:eastAsia="仿宋" w:cs="仿宋"/>
                <w:b w:val="0"/>
                <w:bCs/>
                <w:color w:val="auto"/>
                <w:sz w:val="21"/>
                <w:szCs w:val="21"/>
                <w:lang w:val="en-US" w:eastAsia="zh-CN"/>
              </w:rPr>
              <w:t>IGBT</w:t>
            </w:r>
          </w:p>
        </w:tc>
        <w:tc>
          <w:tcPr>
            <w:tcW w:w="6587" w:type="dxa"/>
          </w:tcPr>
          <w:p>
            <w:pPr>
              <w:widowControl w:val="0"/>
              <w:numPr>
                <w:ilvl w:val="0"/>
                <w:numId w:val="0"/>
              </w:numPr>
              <w:spacing w:line="240" w:lineRule="auto"/>
              <w:jc w:val="both"/>
              <w:rPr>
                <w:rFonts w:hint="eastAsia" w:ascii="仿宋" w:hAnsi="仿宋" w:eastAsia="仿宋" w:cs="仿宋"/>
                <w:b w:val="0"/>
                <w:bCs/>
                <w:color w:val="auto"/>
                <w:sz w:val="21"/>
                <w:szCs w:val="21"/>
                <w:lang w:val="en-US" w:eastAsia="zh-CN"/>
              </w:rPr>
            </w:pPr>
            <w:r>
              <w:rPr>
                <w:rFonts w:hint="eastAsia" w:ascii="仿宋" w:hAnsi="仿宋" w:eastAsia="仿宋" w:cs="仿宋"/>
                <w:b w:val="0"/>
                <w:bCs/>
                <w:color w:val="auto"/>
                <w:sz w:val="21"/>
                <w:szCs w:val="21"/>
                <w:lang w:val="en-US" w:eastAsia="zh-CN"/>
              </w:rPr>
              <w:t>F3L150R07W2E3-B11三电平原装模块</w:t>
            </w:r>
          </w:p>
          <w:p>
            <w:pPr>
              <w:widowControl w:val="0"/>
              <w:numPr>
                <w:ilvl w:val="0"/>
                <w:numId w:val="0"/>
              </w:numPr>
              <w:spacing w:line="240" w:lineRule="auto"/>
              <w:jc w:val="both"/>
              <w:rPr>
                <w:rFonts w:hint="default" w:ascii="仿宋" w:hAnsi="仿宋" w:eastAsia="仿宋" w:cs="仿宋"/>
                <w:b w:val="0"/>
                <w:bCs/>
                <w:color w:val="auto"/>
                <w:sz w:val="21"/>
                <w:szCs w:val="21"/>
                <w:lang w:val="en-US" w:eastAsia="zh-CN"/>
              </w:rPr>
            </w:pPr>
            <w:r>
              <w:rPr>
                <w:rFonts w:hint="eastAsia" w:ascii="仿宋" w:hAnsi="仿宋" w:eastAsia="仿宋" w:cs="仿宋"/>
                <w:b w:val="0"/>
                <w:bCs/>
                <w:color w:val="auto"/>
                <w:sz w:val="21"/>
                <w:szCs w:val="21"/>
                <w:lang w:val="en-US" w:eastAsia="zh-CN"/>
              </w:rPr>
              <w:t>英飞凌或同档次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29" w:type="dxa"/>
          </w:tcPr>
          <w:p>
            <w:pPr>
              <w:widowControl w:val="0"/>
              <w:numPr>
                <w:ilvl w:val="0"/>
                <w:numId w:val="0"/>
              </w:numPr>
              <w:spacing w:line="240" w:lineRule="auto"/>
              <w:jc w:val="both"/>
              <w:rPr>
                <w:rFonts w:hint="default" w:ascii="仿宋" w:hAnsi="仿宋" w:eastAsia="仿宋" w:cs="仿宋"/>
                <w:b w:val="0"/>
                <w:bCs/>
                <w:color w:val="auto"/>
                <w:sz w:val="21"/>
                <w:szCs w:val="21"/>
                <w:lang w:val="en-US" w:eastAsia="zh-CN"/>
              </w:rPr>
            </w:pPr>
            <w:r>
              <w:rPr>
                <w:rFonts w:hint="eastAsia" w:ascii="仿宋" w:hAnsi="仿宋" w:eastAsia="仿宋" w:cs="仿宋"/>
                <w:b w:val="0"/>
                <w:bCs/>
                <w:color w:val="auto"/>
                <w:sz w:val="21"/>
                <w:szCs w:val="21"/>
                <w:lang w:val="en-US" w:eastAsia="zh-CN"/>
              </w:rPr>
              <w:t>SCR</w:t>
            </w:r>
          </w:p>
        </w:tc>
        <w:tc>
          <w:tcPr>
            <w:tcW w:w="6587" w:type="dxa"/>
          </w:tcPr>
          <w:p>
            <w:pPr>
              <w:widowControl w:val="0"/>
              <w:numPr>
                <w:ilvl w:val="0"/>
                <w:numId w:val="0"/>
              </w:numPr>
              <w:spacing w:line="240" w:lineRule="auto"/>
              <w:jc w:val="both"/>
              <w:rPr>
                <w:rFonts w:hint="default" w:ascii="仿宋" w:hAnsi="仿宋" w:eastAsia="仿宋" w:cs="仿宋"/>
                <w:b w:val="0"/>
                <w:bCs/>
                <w:color w:val="auto"/>
                <w:sz w:val="21"/>
                <w:szCs w:val="21"/>
                <w:lang w:val="en-US" w:eastAsia="zh-CN"/>
              </w:rPr>
            </w:pPr>
            <w:r>
              <w:rPr>
                <w:rFonts w:hint="eastAsia" w:ascii="仿宋" w:hAnsi="仿宋" w:eastAsia="仿宋" w:cs="仿宋"/>
                <w:b w:val="0"/>
                <w:bCs/>
                <w:color w:val="auto"/>
                <w:sz w:val="21"/>
                <w:szCs w:val="21"/>
                <w:lang w:val="en-US" w:eastAsia="zh-CN"/>
              </w:rPr>
              <w:t>中车、台基、赛米控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29" w:type="dxa"/>
          </w:tcPr>
          <w:p>
            <w:pPr>
              <w:widowControl w:val="0"/>
              <w:numPr>
                <w:ilvl w:val="0"/>
                <w:numId w:val="0"/>
              </w:numPr>
              <w:spacing w:line="240" w:lineRule="auto"/>
              <w:jc w:val="both"/>
              <w:rPr>
                <w:rFonts w:hint="default" w:ascii="仿宋" w:hAnsi="仿宋" w:eastAsia="仿宋" w:cs="仿宋"/>
                <w:b w:val="0"/>
                <w:bCs/>
                <w:color w:val="auto"/>
                <w:sz w:val="21"/>
                <w:szCs w:val="21"/>
                <w:lang w:val="en-US" w:eastAsia="zh-CN"/>
              </w:rPr>
            </w:pPr>
            <w:r>
              <w:rPr>
                <w:rFonts w:hint="eastAsia" w:ascii="仿宋" w:hAnsi="仿宋" w:eastAsia="仿宋" w:cs="仿宋"/>
                <w:b w:val="0"/>
                <w:bCs/>
                <w:color w:val="auto"/>
                <w:sz w:val="21"/>
                <w:szCs w:val="21"/>
                <w:lang w:val="en-US" w:eastAsia="zh-CN"/>
              </w:rPr>
              <w:t>直流电容</w:t>
            </w:r>
          </w:p>
        </w:tc>
        <w:tc>
          <w:tcPr>
            <w:tcW w:w="6587" w:type="dxa"/>
          </w:tcPr>
          <w:p>
            <w:pPr>
              <w:widowControl w:val="0"/>
              <w:numPr>
                <w:ilvl w:val="0"/>
                <w:numId w:val="0"/>
              </w:numPr>
              <w:spacing w:line="240" w:lineRule="auto"/>
              <w:jc w:val="both"/>
              <w:rPr>
                <w:rFonts w:hint="default" w:ascii="仿宋" w:hAnsi="仿宋" w:eastAsia="仿宋" w:cs="仿宋"/>
                <w:b w:val="0"/>
                <w:bCs/>
                <w:color w:val="auto"/>
                <w:sz w:val="21"/>
                <w:szCs w:val="21"/>
                <w:lang w:val="en-US" w:eastAsia="zh-CN"/>
              </w:rPr>
            </w:pPr>
            <w:r>
              <w:rPr>
                <w:rFonts w:hint="eastAsia" w:ascii="仿宋" w:hAnsi="仿宋" w:eastAsia="仿宋" w:cs="仿宋"/>
                <w:b w:val="0"/>
                <w:bCs/>
                <w:color w:val="auto"/>
                <w:sz w:val="21"/>
                <w:szCs w:val="21"/>
                <w:lang w:val="en-US" w:eastAsia="zh-CN"/>
              </w:rPr>
              <w:t>江海股份、EPCOS、EACO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29" w:type="dxa"/>
          </w:tcPr>
          <w:p>
            <w:pPr>
              <w:widowControl w:val="0"/>
              <w:numPr>
                <w:ilvl w:val="0"/>
                <w:numId w:val="0"/>
              </w:numPr>
              <w:spacing w:line="240" w:lineRule="auto"/>
              <w:jc w:val="both"/>
              <w:rPr>
                <w:rFonts w:hint="default" w:ascii="仿宋" w:hAnsi="仿宋" w:eastAsia="仿宋" w:cs="仿宋"/>
                <w:b w:val="0"/>
                <w:bCs/>
                <w:color w:val="auto"/>
                <w:sz w:val="21"/>
                <w:szCs w:val="21"/>
                <w:lang w:val="en-US" w:eastAsia="zh-CN"/>
              </w:rPr>
            </w:pPr>
            <w:r>
              <w:rPr>
                <w:rFonts w:hint="eastAsia" w:ascii="仿宋" w:hAnsi="仿宋" w:eastAsia="仿宋" w:cs="仿宋"/>
                <w:b w:val="0"/>
                <w:bCs/>
                <w:color w:val="auto"/>
                <w:sz w:val="21"/>
                <w:szCs w:val="21"/>
                <w:lang w:val="en-US" w:eastAsia="zh-CN"/>
              </w:rPr>
              <w:t>超级电容</w:t>
            </w:r>
          </w:p>
        </w:tc>
        <w:tc>
          <w:tcPr>
            <w:tcW w:w="6587" w:type="dxa"/>
          </w:tcPr>
          <w:p>
            <w:pPr>
              <w:widowControl w:val="0"/>
              <w:numPr>
                <w:ilvl w:val="0"/>
                <w:numId w:val="0"/>
              </w:numPr>
              <w:spacing w:line="240" w:lineRule="auto"/>
              <w:jc w:val="both"/>
              <w:rPr>
                <w:rFonts w:hint="default" w:ascii="仿宋" w:hAnsi="仿宋" w:eastAsia="仿宋" w:cs="仿宋"/>
                <w:b w:val="0"/>
                <w:bCs/>
                <w:color w:val="auto"/>
                <w:sz w:val="21"/>
                <w:szCs w:val="21"/>
                <w:lang w:val="en-US" w:eastAsia="zh-CN"/>
              </w:rPr>
            </w:pPr>
            <w:r>
              <w:rPr>
                <w:rFonts w:hint="eastAsia" w:ascii="仿宋" w:hAnsi="仿宋" w:eastAsia="仿宋" w:cs="仿宋"/>
                <w:b w:val="0"/>
                <w:bCs/>
                <w:color w:val="auto"/>
                <w:sz w:val="21"/>
                <w:szCs w:val="21"/>
                <w:lang w:val="en-US" w:eastAsia="zh-CN"/>
              </w:rPr>
              <w:t>CAS，HEGA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29" w:type="dxa"/>
          </w:tcPr>
          <w:p>
            <w:pPr>
              <w:widowControl w:val="0"/>
              <w:numPr>
                <w:ilvl w:val="0"/>
                <w:numId w:val="0"/>
              </w:numPr>
              <w:spacing w:line="240" w:lineRule="auto"/>
              <w:jc w:val="both"/>
              <w:rPr>
                <w:rFonts w:hint="default" w:ascii="仿宋" w:hAnsi="仿宋" w:eastAsia="仿宋" w:cs="仿宋"/>
                <w:b w:val="0"/>
                <w:bCs/>
                <w:color w:val="auto"/>
                <w:sz w:val="21"/>
                <w:szCs w:val="21"/>
                <w:lang w:val="en-US" w:eastAsia="zh-CN"/>
              </w:rPr>
            </w:pPr>
            <w:r>
              <w:rPr>
                <w:rFonts w:hint="eastAsia" w:ascii="仿宋" w:hAnsi="仿宋" w:eastAsia="仿宋" w:cs="仿宋"/>
                <w:b w:val="0"/>
                <w:bCs/>
                <w:color w:val="auto"/>
                <w:sz w:val="21"/>
                <w:szCs w:val="21"/>
                <w:lang w:val="en-US" w:eastAsia="zh-CN"/>
              </w:rPr>
              <w:t>检修旁路断路器</w:t>
            </w:r>
          </w:p>
        </w:tc>
        <w:tc>
          <w:tcPr>
            <w:tcW w:w="6587" w:type="dxa"/>
            <w:vAlign w:val="top"/>
          </w:tcPr>
          <w:p>
            <w:pPr>
              <w:widowControl w:val="0"/>
              <w:numPr>
                <w:ilvl w:val="0"/>
                <w:numId w:val="0"/>
              </w:numPr>
              <w:spacing w:line="240" w:lineRule="auto"/>
              <w:jc w:val="both"/>
              <w:rPr>
                <w:rFonts w:hint="default" w:ascii="仿宋" w:hAnsi="仿宋" w:eastAsia="仿宋" w:cs="仿宋"/>
                <w:b w:val="0"/>
                <w:bCs/>
                <w:color w:val="auto"/>
                <w:sz w:val="21"/>
                <w:szCs w:val="21"/>
                <w:lang w:val="en-US" w:eastAsia="zh-CN"/>
              </w:rPr>
            </w:pPr>
            <w:r>
              <w:rPr>
                <w:rFonts w:hint="eastAsia" w:ascii="仿宋" w:hAnsi="仿宋" w:eastAsia="仿宋" w:cs="仿宋"/>
                <w:b w:val="0"/>
                <w:bCs/>
                <w:color w:val="auto"/>
                <w:sz w:val="21"/>
                <w:szCs w:val="21"/>
                <w:lang w:val="en-US" w:eastAsia="zh-CN"/>
              </w:rPr>
              <w:t>ABB、施耐德、LS、西门子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29" w:type="dxa"/>
          </w:tcPr>
          <w:p>
            <w:pPr>
              <w:widowControl w:val="0"/>
              <w:numPr>
                <w:ilvl w:val="0"/>
                <w:numId w:val="0"/>
              </w:numPr>
              <w:spacing w:line="240" w:lineRule="auto"/>
              <w:jc w:val="both"/>
              <w:rPr>
                <w:rFonts w:hint="default" w:ascii="仿宋" w:hAnsi="仿宋" w:eastAsia="仿宋" w:cs="仿宋"/>
                <w:b w:val="0"/>
                <w:bCs/>
                <w:color w:val="auto"/>
                <w:sz w:val="21"/>
                <w:szCs w:val="21"/>
                <w:lang w:val="en-US" w:eastAsia="zh-CN"/>
              </w:rPr>
            </w:pPr>
            <w:r>
              <w:rPr>
                <w:rFonts w:hint="eastAsia" w:ascii="仿宋" w:hAnsi="仿宋" w:eastAsia="仿宋" w:cs="仿宋"/>
                <w:b w:val="0"/>
                <w:bCs/>
                <w:color w:val="auto"/>
                <w:sz w:val="21"/>
                <w:szCs w:val="21"/>
                <w:lang w:val="en-US" w:eastAsia="zh-CN"/>
              </w:rPr>
              <w:t>柜体</w:t>
            </w:r>
          </w:p>
        </w:tc>
        <w:tc>
          <w:tcPr>
            <w:tcW w:w="6587" w:type="dxa"/>
            <w:vAlign w:val="top"/>
          </w:tcPr>
          <w:p>
            <w:pPr>
              <w:widowControl w:val="0"/>
              <w:numPr>
                <w:ilvl w:val="0"/>
                <w:numId w:val="0"/>
              </w:numPr>
              <w:spacing w:line="240" w:lineRule="auto"/>
              <w:jc w:val="both"/>
              <w:rPr>
                <w:rFonts w:hint="default" w:ascii="仿宋" w:hAnsi="仿宋" w:eastAsia="仿宋" w:cs="仿宋"/>
                <w:b w:val="0"/>
                <w:bCs/>
                <w:color w:val="auto"/>
                <w:sz w:val="21"/>
                <w:szCs w:val="21"/>
                <w:lang w:val="en-US" w:eastAsia="zh-CN"/>
              </w:rPr>
            </w:pPr>
            <w:r>
              <w:rPr>
                <w:rFonts w:hint="eastAsia" w:ascii="仿宋" w:hAnsi="仿宋" w:eastAsia="仿宋" w:cs="仿宋"/>
                <w:b w:val="0"/>
                <w:bCs/>
                <w:color w:val="auto"/>
                <w:sz w:val="21"/>
                <w:szCs w:val="21"/>
                <w:lang w:val="en-US" w:eastAsia="zh-CN"/>
              </w:rPr>
              <w:t>新利同创、威图上海</w:t>
            </w:r>
          </w:p>
        </w:tc>
      </w:tr>
    </w:tbl>
    <w:p>
      <w:pPr>
        <w:widowControl w:val="0"/>
        <w:numPr>
          <w:ilvl w:val="0"/>
          <w:numId w:val="1"/>
        </w:numPr>
        <w:spacing w:line="240" w:lineRule="auto"/>
        <w:ind w:left="0" w:leftChars="0" w:firstLine="0" w:firstLineChars="0"/>
        <w:jc w:val="both"/>
        <w:rPr>
          <w:rFonts w:hint="eastAsia" w:ascii="仿宋" w:hAnsi="仿宋" w:eastAsia="仿宋" w:cs="仿宋"/>
          <w:b/>
          <w:bCs/>
          <w:lang w:val="en-US" w:eastAsia="zh-CN"/>
        </w:rPr>
      </w:pPr>
      <w:r>
        <w:rPr>
          <w:rFonts w:hint="eastAsia" w:ascii="仿宋" w:hAnsi="仿宋" w:eastAsia="仿宋" w:cs="仿宋"/>
          <w:b/>
          <w:bCs/>
          <w:lang w:val="en-US" w:eastAsia="zh-CN"/>
        </w:rPr>
        <w:t>服务响应要求：</w:t>
      </w:r>
    </w:p>
    <w:p>
      <w:pPr>
        <w:widowControl w:val="0"/>
        <w:numPr>
          <w:ilvl w:val="0"/>
          <w:numId w:val="0"/>
        </w:numPr>
        <w:spacing w:line="240" w:lineRule="auto"/>
        <w:jc w:val="both"/>
        <w:rPr>
          <w:rFonts w:hint="eastAsia" w:ascii="仿宋" w:hAnsi="仿宋" w:eastAsia="仿宋" w:cs="仿宋"/>
          <w:b/>
          <w:bCs/>
          <w:color w:val="auto"/>
          <w:sz w:val="21"/>
          <w:szCs w:val="21"/>
          <w:lang w:val="en-US" w:eastAsia="zh-CN"/>
        </w:rPr>
      </w:pPr>
      <w:r>
        <w:rPr>
          <w:rFonts w:hint="eastAsia" w:ascii="仿宋" w:hAnsi="仿宋" w:eastAsia="仿宋" w:cs="仿宋"/>
          <w:b/>
          <w:bCs/>
          <w:color w:val="auto"/>
          <w:sz w:val="21"/>
          <w:szCs w:val="21"/>
          <w:lang w:val="en-US" w:eastAsia="zh-CN"/>
        </w:rPr>
        <w:t>3.1 安装调试要求</w:t>
      </w:r>
    </w:p>
    <w:p>
      <w:pPr>
        <w:widowControl w:val="0"/>
        <w:numPr>
          <w:ilvl w:val="0"/>
          <w:numId w:val="0"/>
        </w:numPr>
        <w:spacing w:line="240" w:lineRule="auto"/>
        <w:ind w:firstLine="420" w:firstLineChars="200"/>
        <w:jc w:val="both"/>
        <w:rPr>
          <w:rFonts w:hint="eastAsia" w:ascii="仿宋" w:hAnsi="仿宋" w:eastAsia="仿宋" w:cs="仿宋"/>
          <w:b w:val="0"/>
          <w:bCs/>
          <w:color w:val="auto"/>
          <w:sz w:val="21"/>
          <w:szCs w:val="21"/>
          <w:lang w:val="en-US" w:eastAsia="zh-CN"/>
        </w:rPr>
      </w:pPr>
      <w:r>
        <w:rPr>
          <w:rFonts w:hint="eastAsia" w:ascii="仿宋" w:hAnsi="仿宋" w:eastAsia="仿宋" w:cs="仿宋"/>
          <w:b w:val="0"/>
          <w:bCs/>
          <w:color w:val="auto"/>
          <w:sz w:val="21"/>
          <w:szCs w:val="21"/>
          <w:lang w:val="en-US" w:eastAsia="zh-CN"/>
        </w:rPr>
        <w:t>所以有设备要求在采购活动结束后10天内，全部完成设备的安装和就位，在8月31日前，根据现场实际停电时间安排，完成设备投入，9月3日前完成设备试运行调试工作。</w:t>
      </w:r>
    </w:p>
    <w:p>
      <w:pPr>
        <w:widowControl w:val="0"/>
        <w:numPr>
          <w:ilvl w:val="0"/>
          <w:numId w:val="0"/>
        </w:numPr>
        <w:spacing w:line="240" w:lineRule="auto"/>
        <w:jc w:val="both"/>
        <w:rPr>
          <w:rFonts w:hint="eastAsia" w:ascii="仿宋" w:hAnsi="仿宋" w:eastAsia="仿宋" w:cs="仿宋"/>
          <w:b/>
          <w:bCs/>
          <w:color w:val="auto"/>
          <w:sz w:val="21"/>
          <w:szCs w:val="21"/>
          <w:lang w:val="en-US" w:eastAsia="zh-CN"/>
        </w:rPr>
      </w:pPr>
      <w:r>
        <w:rPr>
          <w:rFonts w:hint="eastAsia" w:ascii="仿宋" w:hAnsi="仿宋" w:eastAsia="仿宋" w:cs="仿宋"/>
          <w:b/>
          <w:bCs/>
          <w:color w:val="auto"/>
          <w:sz w:val="21"/>
          <w:szCs w:val="21"/>
          <w:lang w:val="en-US" w:eastAsia="zh-CN"/>
        </w:rPr>
        <w:t>3.2 配品备件服务要求</w:t>
      </w:r>
    </w:p>
    <w:p>
      <w:pPr>
        <w:widowControl w:val="0"/>
        <w:numPr>
          <w:ilvl w:val="0"/>
          <w:numId w:val="0"/>
        </w:numPr>
        <w:spacing w:line="240" w:lineRule="auto"/>
        <w:ind w:firstLine="420" w:firstLineChars="200"/>
        <w:jc w:val="both"/>
        <w:rPr>
          <w:rFonts w:hint="default" w:ascii="仿宋" w:hAnsi="仿宋" w:eastAsia="仿宋" w:cs="仿宋"/>
          <w:b w:val="0"/>
          <w:bCs/>
          <w:color w:val="auto"/>
          <w:sz w:val="21"/>
          <w:szCs w:val="21"/>
          <w:lang w:val="en-US" w:eastAsia="zh-CN"/>
        </w:rPr>
      </w:pPr>
      <w:r>
        <w:rPr>
          <w:rFonts w:hint="eastAsia" w:ascii="仿宋" w:hAnsi="仿宋" w:eastAsia="仿宋" w:cs="仿宋"/>
          <w:b w:val="0"/>
          <w:bCs/>
          <w:color w:val="auto"/>
          <w:sz w:val="21"/>
          <w:szCs w:val="21"/>
          <w:lang w:val="en-US" w:eastAsia="zh-CN"/>
        </w:rPr>
        <w:t>随机配品备件包括下述物品：</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19"/>
        <w:gridCol w:w="42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4219" w:type="dxa"/>
          </w:tcPr>
          <w:p>
            <w:pPr>
              <w:widowControl w:val="0"/>
              <w:numPr>
                <w:ilvl w:val="0"/>
                <w:numId w:val="0"/>
              </w:numPr>
              <w:spacing w:line="240" w:lineRule="auto"/>
              <w:jc w:val="both"/>
              <w:rPr>
                <w:rFonts w:hint="default" w:ascii="仿宋" w:hAnsi="仿宋" w:eastAsia="仿宋" w:cs="仿宋"/>
                <w:b w:val="0"/>
                <w:bCs/>
                <w:color w:val="auto"/>
                <w:sz w:val="21"/>
                <w:szCs w:val="21"/>
                <w:lang w:val="en-US" w:eastAsia="zh-CN"/>
              </w:rPr>
            </w:pPr>
            <w:r>
              <w:rPr>
                <w:rFonts w:hint="eastAsia" w:ascii="仿宋" w:hAnsi="仿宋" w:eastAsia="仿宋" w:cs="仿宋"/>
                <w:b w:val="0"/>
                <w:bCs/>
                <w:color w:val="auto"/>
                <w:sz w:val="21"/>
                <w:szCs w:val="21"/>
                <w:lang w:val="en-US" w:eastAsia="zh-CN"/>
              </w:rPr>
              <w:t>品类</w:t>
            </w:r>
          </w:p>
        </w:tc>
        <w:tc>
          <w:tcPr>
            <w:tcW w:w="4220" w:type="dxa"/>
          </w:tcPr>
          <w:p>
            <w:pPr>
              <w:widowControl w:val="0"/>
              <w:numPr>
                <w:ilvl w:val="0"/>
                <w:numId w:val="0"/>
              </w:numPr>
              <w:spacing w:line="240" w:lineRule="auto"/>
              <w:jc w:val="both"/>
              <w:rPr>
                <w:rFonts w:hint="default" w:ascii="仿宋" w:hAnsi="仿宋" w:eastAsia="仿宋" w:cs="仿宋"/>
                <w:b w:val="0"/>
                <w:bCs/>
                <w:color w:val="auto"/>
                <w:sz w:val="21"/>
                <w:szCs w:val="21"/>
                <w:lang w:val="en-US" w:eastAsia="zh-CN"/>
              </w:rPr>
            </w:pPr>
            <w:r>
              <w:rPr>
                <w:rFonts w:hint="eastAsia" w:ascii="仿宋" w:hAnsi="仿宋" w:eastAsia="仿宋" w:cs="仿宋"/>
                <w:b w:val="0"/>
                <w:bCs/>
                <w:color w:val="auto"/>
                <w:sz w:val="21"/>
                <w:szCs w:val="21"/>
                <w:lang w:val="en-US" w:eastAsia="zh-CN"/>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4219" w:type="dxa"/>
          </w:tcPr>
          <w:p>
            <w:pPr>
              <w:widowControl w:val="0"/>
              <w:numPr>
                <w:ilvl w:val="0"/>
                <w:numId w:val="0"/>
              </w:numPr>
              <w:spacing w:line="240" w:lineRule="auto"/>
              <w:jc w:val="both"/>
              <w:rPr>
                <w:rFonts w:hint="default" w:ascii="仿宋" w:hAnsi="仿宋" w:eastAsia="仿宋" w:cs="仿宋"/>
                <w:b w:val="0"/>
                <w:bCs w:val="0"/>
                <w:color w:val="auto"/>
                <w:sz w:val="21"/>
                <w:szCs w:val="21"/>
                <w:vertAlign w:val="baseline"/>
                <w:lang w:val="en-US" w:eastAsia="zh-CN"/>
              </w:rPr>
            </w:pPr>
            <w:r>
              <w:rPr>
                <w:rFonts w:hint="eastAsia" w:ascii="仿宋" w:hAnsi="仿宋" w:eastAsia="仿宋" w:cs="仿宋"/>
                <w:b w:val="0"/>
                <w:bCs w:val="0"/>
                <w:color w:val="auto"/>
                <w:sz w:val="21"/>
                <w:szCs w:val="21"/>
                <w:vertAlign w:val="baseline"/>
                <w:lang w:val="en-US" w:eastAsia="zh-CN"/>
              </w:rPr>
              <w:t>50kVA通用逆变器模块</w:t>
            </w:r>
          </w:p>
        </w:tc>
        <w:tc>
          <w:tcPr>
            <w:tcW w:w="4220" w:type="dxa"/>
          </w:tcPr>
          <w:p>
            <w:pPr>
              <w:widowControl w:val="0"/>
              <w:numPr>
                <w:ilvl w:val="0"/>
                <w:numId w:val="0"/>
              </w:numPr>
              <w:spacing w:line="240" w:lineRule="auto"/>
              <w:jc w:val="both"/>
              <w:rPr>
                <w:rFonts w:hint="default" w:ascii="仿宋" w:hAnsi="仿宋" w:eastAsia="仿宋" w:cs="仿宋"/>
                <w:b w:val="0"/>
                <w:bCs w:val="0"/>
                <w:color w:val="auto"/>
                <w:sz w:val="21"/>
                <w:szCs w:val="21"/>
                <w:vertAlign w:val="baseline"/>
                <w:lang w:val="en-US" w:eastAsia="zh-CN"/>
              </w:rPr>
            </w:pPr>
            <w:r>
              <w:rPr>
                <w:rFonts w:hint="eastAsia" w:ascii="仿宋" w:hAnsi="仿宋" w:eastAsia="仿宋" w:cs="仿宋"/>
                <w:b w:val="0"/>
                <w:bCs w:val="0"/>
                <w:color w:val="auto"/>
                <w:sz w:val="21"/>
                <w:szCs w:val="21"/>
                <w:vertAlign w:val="baseli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4219" w:type="dxa"/>
            <w:vAlign w:val="top"/>
          </w:tcPr>
          <w:p>
            <w:pPr>
              <w:widowControl w:val="0"/>
              <w:numPr>
                <w:ilvl w:val="0"/>
                <w:numId w:val="0"/>
              </w:numPr>
              <w:spacing w:line="240" w:lineRule="auto"/>
              <w:ind w:left="0" w:leftChars="0" w:firstLine="0" w:firstLineChars="0"/>
              <w:jc w:val="both"/>
              <w:rPr>
                <w:rFonts w:hint="eastAsia" w:ascii="仿宋" w:hAnsi="仿宋" w:eastAsia="仿宋" w:cs="仿宋"/>
                <w:b w:val="0"/>
                <w:bCs w:val="0"/>
                <w:color w:val="auto"/>
                <w:kern w:val="2"/>
                <w:sz w:val="21"/>
                <w:szCs w:val="21"/>
                <w:vertAlign w:val="baseline"/>
                <w:lang w:val="en-US" w:eastAsia="zh-CN" w:bidi="ar-SA"/>
              </w:rPr>
            </w:pPr>
            <w:r>
              <w:rPr>
                <w:rFonts w:hint="eastAsia" w:ascii="仿宋" w:hAnsi="仿宋" w:eastAsia="仿宋" w:cs="仿宋"/>
                <w:b w:val="0"/>
                <w:bCs w:val="0"/>
                <w:color w:val="auto"/>
                <w:sz w:val="21"/>
                <w:szCs w:val="21"/>
                <w:vertAlign w:val="baseline"/>
                <w:lang w:val="en-US" w:eastAsia="zh-CN"/>
              </w:rPr>
              <w:t>通用型主控板</w:t>
            </w:r>
          </w:p>
        </w:tc>
        <w:tc>
          <w:tcPr>
            <w:tcW w:w="4220" w:type="dxa"/>
            <w:vAlign w:val="top"/>
          </w:tcPr>
          <w:p>
            <w:pPr>
              <w:widowControl w:val="0"/>
              <w:numPr>
                <w:ilvl w:val="0"/>
                <w:numId w:val="0"/>
              </w:numPr>
              <w:spacing w:line="240" w:lineRule="auto"/>
              <w:ind w:left="0" w:leftChars="0" w:firstLine="0" w:firstLineChars="0"/>
              <w:jc w:val="both"/>
              <w:rPr>
                <w:rFonts w:hint="eastAsia" w:ascii="仿宋" w:hAnsi="仿宋" w:eastAsia="仿宋" w:cs="仿宋"/>
                <w:b w:val="0"/>
                <w:bCs w:val="0"/>
                <w:color w:val="auto"/>
                <w:kern w:val="2"/>
                <w:sz w:val="21"/>
                <w:szCs w:val="21"/>
                <w:vertAlign w:val="baseline"/>
                <w:lang w:val="en-US" w:eastAsia="zh-CN" w:bidi="ar-SA"/>
              </w:rPr>
            </w:pPr>
            <w:r>
              <w:rPr>
                <w:rFonts w:hint="eastAsia" w:ascii="仿宋" w:hAnsi="仿宋" w:eastAsia="仿宋" w:cs="仿宋"/>
                <w:b w:val="0"/>
                <w:bCs w:val="0"/>
                <w:color w:val="auto"/>
                <w:sz w:val="21"/>
                <w:szCs w:val="21"/>
                <w:vertAlign w:val="baseli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4219" w:type="dxa"/>
            <w:vAlign w:val="top"/>
          </w:tcPr>
          <w:p>
            <w:pPr>
              <w:widowControl w:val="0"/>
              <w:numPr>
                <w:ilvl w:val="0"/>
                <w:numId w:val="0"/>
              </w:numPr>
              <w:spacing w:line="240" w:lineRule="auto"/>
              <w:ind w:left="0" w:leftChars="0" w:firstLine="0" w:firstLineChars="0"/>
              <w:jc w:val="both"/>
              <w:rPr>
                <w:rFonts w:hint="default" w:ascii="仿宋" w:hAnsi="仿宋" w:eastAsia="仿宋" w:cs="仿宋"/>
                <w:b w:val="0"/>
                <w:bCs w:val="0"/>
                <w:color w:val="auto"/>
                <w:sz w:val="21"/>
                <w:szCs w:val="21"/>
                <w:vertAlign w:val="baseline"/>
                <w:lang w:val="en-US" w:eastAsia="zh-CN"/>
              </w:rPr>
            </w:pPr>
            <w:r>
              <w:rPr>
                <w:rFonts w:hint="eastAsia" w:ascii="仿宋" w:hAnsi="仿宋" w:eastAsia="仿宋" w:cs="仿宋"/>
                <w:b w:val="0"/>
                <w:bCs w:val="0"/>
                <w:color w:val="auto"/>
                <w:sz w:val="21"/>
                <w:szCs w:val="21"/>
                <w:vertAlign w:val="baseline"/>
                <w:lang w:val="en-US" w:eastAsia="zh-CN"/>
              </w:rPr>
              <w:t>SCR触发板</w:t>
            </w:r>
          </w:p>
        </w:tc>
        <w:tc>
          <w:tcPr>
            <w:tcW w:w="4220" w:type="dxa"/>
            <w:vAlign w:val="top"/>
          </w:tcPr>
          <w:p>
            <w:pPr>
              <w:widowControl w:val="0"/>
              <w:numPr>
                <w:ilvl w:val="0"/>
                <w:numId w:val="0"/>
              </w:numPr>
              <w:spacing w:line="240" w:lineRule="auto"/>
              <w:ind w:left="0" w:leftChars="0" w:firstLine="0" w:firstLineChars="0"/>
              <w:jc w:val="both"/>
              <w:rPr>
                <w:rFonts w:hint="default" w:ascii="仿宋" w:hAnsi="仿宋" w:eastAsia="仿宋" w:cs="仿宋"/>
                <w:b w:val="0"/>
                <w:bCs w:val="0"/>
                <w:color w:val="auto"/>
                <w:sz w:val="21"/>
                <w:szCs w:val="21"/>
                <w:vertAlign w:val="baseline"/>
                <w:lang w:val="en-US" w:eastAsia="zh-CN"/>
              </w:rPr>
            </w:pPr>
            <w:r>
              <w:rPr>
                <w:rFonts w:hint="eastAsia" w:ascii="仿宋" w:hAnsi="仿宋" w:eastAsia="仿宋" w:cs="仿宋"/>
                <w:b w:val="0"/>
                <w:bCs w:val="0"/>
                <w:color w:val="auto"/>
                <w:sz w:val="21"/>
                <w:szCs w:val="21"/>
                <w:vertAlign w:val="baseli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4219" w:type="dxa"/>
          </w:tcPr>
          <w:p>
            <w:pPr>
              <w:widowControl w:val="0"/>
              <w:numPr>
                <w:ilvl w:val="0"/>
                <w:numId w:val="0"/>
              </w:numPr>
              <w:spacing w:line="240" w:lineRule="auto"/>
              <w:jc w:val="both"/>
              <w:rPr>
                <w:rFonts w:hint="default" w:ascii="仿宋" w:hAnsi="仿宋" w:eastAsia="仿宋" w:cs="仿宋"/>
                <w:b w:val="0"/>
                <w:bCs w:val="0"/>
                <w:color w:val="auto"/>
                <w:sz w:val="21"/>
                <w:szCs w:val="21"/>
                <w:vertAlign w:val="baseline"/>
                <w:lang w:val="en-US" w:eastAsia="zh-CN"/>
              </w:rPr>
            </w:pPr>
            <w:r>
              <w:rPr>
                <w:rFonts w:hint="eastAsia" w:ascii="仿宋" w:hAnsi="仿宋" w:eastAsia="仿宋" w:cs="仿宋"/>
                <w:b w:val="0"/>
                <w:bCs w:val="0"/>
                <w:color w:val="auto"/>
                <w:sz w:val="21"/>
                <w:szCs w:val="21"/>
                <w:vertAlign w:val="baseline"/>
                <w:lang w:val="en-US" w:eastAsia="zh-CN"/>
              </w:rPr>
              <w:t>电网分离器系统采样板</w:t>
            </w:r>
          </w:p>
        </w:tc>
        <w:tc>
          <w:tcPr>
            <w:tcW w:w="4220" w:type="dxa"/>
          </w:tcPr>
          <w:p>
            <w:pPr>
              <w:widowControl w:val="0"/>
              <w:numPr>
                <w:ilvl w:val="0"/>
                <w:numId w:val="0"/>
              </w:numPr>
              <w:spacing w:line="240" w:lineRule="auto"/>
              <w:jc w:val="both"/>
              <w:rPr>
                <w:rFonts w:hint="default" w:ascii="仿宋" w:hAnsi="仿宋" w:eastAsia="仿宋" w:cs="仿宋"/>
                <w:b w:val="0"/>
                <w:bCs w:val="0"/>
                <w:color w:val="auto"/>
                <w:sz w:val="21"/>
                <w:szCs w:val="21"/>
                <w:vertAlign w:val="baseline"/>
                <w:lang w:val="en-US" w:eastAsia="zh-CN"/>
              </w:rPr>
            </w:pPr>
            <w:r>
              <w:rPr>
                <w:rFonts w:hint="eastAsia" w:ascii="仿宋" w:hAnsi="仿宋" w:eastAsia="仿宋" w:cs="仿宋"/>
                <w:b w:val="0"/>
                <w:bCs w:val="0"/>
                <w:color w:val="auto"/>
                <w:sz w:val="21"/>
                <w:szCs w:val="21"/>
                <w:vertAlign w:val="baseline"/>
                <w:lang w:val="en-US" w:eastAsia="zh-CN"/>
              </w:rPr>
              <w:t>1</w:t>
            </w:r>
          </w:p>
        </w:tc>
      </w:tr>
    </w:tbl>
    <w:p>
      <w:pPr>
        <w:widowControl w:val="0"/>
        <w:numPr>
          <w:ilvl w:val="0"/>
          <w:numId w:val="0"/>
        </w:numPr>
        <w:spacing w:line="240" w:lineRule="auto"/>
        <w:jc w:val="both"/>
        <w:rPr>
          <w:rFonts w:hint="eastAsia" w:ascii="仿宋" w:hAnsi="仿宋" w:eastAsia="仿宋" w:cs="仿宋"/>
          <w:b/>
          <w:bCs/>
          <w:color w:val="auto"/>
          <w:sz w:val="21"/>
          <w:szCs w:val="21"/>
          <w:lang w:val="en-US" w:eastAsia="zh-CN"/>
        </w:rPr>
      </w:pPr>
      <w:r>
        <w:rPr>
          <w:rFonts w:hint="eastAsia" w:ascii="仿宋" w:hAnsi="仿宋" w:eastAsia="仿宋" w:cs="仿宋"/>
          <w:b/>
          <w:bCs/>
          <w:color w:val="auto"/>
          <w:sz w:val="21"/>
          <w:szCs w:val="21"/>
          <w:lang w:val="en-US" w:eastAsia="zh-CN"/>
        </w:rPr>
        <w:t>3.3维护响应要求</w:t>
      </w:r>
    </w:p>
    <w:p>
      <w:pPr>
        <w:widowControl w:val="0"/>
        <w:numPr>
          <w:ilvl w:val="0"/>
          <w:numId w:val="0"/>
        </w:numPr>
        <w:spacing w:line="240" w:lineRule="auto"/>
        <w:ind w:firstLine="420" w:firstLineChars="200"/>
        <w:jc w:val="both"/>
        <w:rPr>
          <w:rFonts w:hint="eastAsia" w:ascii="仿宋" w:hAnsi="仿宋" w:eastAsia="仿宋" w:cs="仿宋"/>
          <w:b w:val="0"/>
          <w:bCs/>
          <w:color w:val="auto"/>
          <w:sz w:val="21"/>
          <w:szCs w:val="21"/>
          <w:lang w:val="en-US" w:eastAsia="zh-CN"/>
        </w:rPr>
      </w:pPr>
      <w:r>
        <w:rPr>
          <w:rFonts w:hint="eastAsia" w:ascii="仿宋" w:hAnsi="仿宋" w:eastAsia="仿宋" w:cs="仿宋"/>
          <w:b w:val="0"/>
          <w:bCs/>
          <w:color w:val="auto"/>
          <w:sz w:val="21"/>
          <w:szCs w:val="21"/>
          <w:lang w:val="en-US" w:eastAsia="zh-CN"/>
        </w:rPr>
        <w:t>电话支持：服务商提供7*24不间断的远程电话服务支持，随时可以从服务商得到电话支持与帮助。服务商指定一名主要联系人与采购单位联系，一旦接到采购单位请求电话, 服务商的技术人员将在规定时间内（立即）通过电话解决或回答用户所提出的问题。</w:t>
      </w:r>
    </w:p>
    <w:p>
      <w:pPr>
        <w:widowControl w:val="0"/>
        <w:numPr>
          <w:ilvl w:val="0"/>
          <w:numId w:val="0"/>
        </w:numPr>
        <w:spacing w:line="240" w:lineRule="auto"/>
        <w:ind w:firstLine="420" w:firstLineChars="200"/>
        <w:jc w:val="both"/>
        <w:rPr>
          <w:rFonts w:hint="eastAsia" w:ascii="仿宋" w:hAnsi="仿宋" w:eastAsia="仿宋" w:cs="仿宋"/>
          <w:b w:val="0"/>
          <w:bCs/>
          <w:color w:val="auto"/>
          <w:sz w:val="21"/>
          <w:szCs w:val="21"/>
          <w:lang w:val="en-US" w:eastAsia="zh-CN"/>
        </w:rPr>
      </w:pPr>
      <w:r>
        <w:rPr>
          <w:rFonts w:hint="eastAsia" w:ascii="仿宋" w:hAnsi="仿宋" w:eastAsia="仿宋" w:cs="仿宋"/>
          <w:b w:val="0"/>
          <w:bCs/>
          <w:color w:val="auto"/>
          <w:sz w:val="21"/>
          <w:szCs w:val="21"/>
          <w:lang w:val="en-US" w:eastAsia="zh-CN"/>
        </w:rPr>
        <w:t>远程诊断：服务商提供7*12（8:00-20:00）远程诊断服务支持，不限次采购单位工作人员遇到故障问题且电话服务不能解决时，服务商应立即提供远程诊断支持与帮助，采购单位应做好相关现场配合工作。</w:t>
      </w:r>
    </w:p>
    <w:p>
      <w:pPr>
        <w:widowControl w:val="0"/>
        <w:numPr>
          <w:ilvl w:val="0"/>
          <w:numId w:val="0"/>
        </w:numPr>
        <w:spacing w:line="240" w:lineRule="auto"/>
        <w:ind w:firstLine="420" w:firstLineChars="200"/>
        <w:jc w:val="both"/>
        <w:rPr>
          <w:rFonts w:hint="eastAsia" w:ascii="仿宋" w:hAnsi="仿宋" w:eastAsia="仿宋" w:cs="仿宋"/>
          <w:b w:val="0"/>
          <w:bCs/>
          <w:color w:val="0000FF"/>
          <w:sz w:val="21"/>
          <w:szCs w:val="21"/>
          <w:lang w:val="en-US" w:eastAsia="zh-CN"/>
        </w:rPr>
      </w:pPr>
      <w:r>
        <w:rPr>
          <w:rFonts w:hint="eastAsia" w:ascii="仿宋" w:hAnsi="仿宋" w:eastAsia="仿宋" w:cs="仿宋"/>
          <w:b w:val="0"/>
          <w:bCs/>
          <w:color w:val="auto"/>
          <w:sz w:val="21"/>
          <w:szCs w:val="21"/>
          <w:lang w:val="en-US" w:eastAsia="zh-CN"/>
        </w:rPr>
        <w:t>现场服务：1个月服务期内，服务商应指派至少2名工程师提供专业现场服务，24小时轮值，随时响应故障排查。</w:t>
      </w:r>
    </w:p>
    <w:p>
      <w:pPr>
        <w:widowControl w:val="0"/>
        <w:numPr>
          <w:ilvl w:val="0"/>
          <w:numId w:val="0"/>
        </w:numPr>
        <w:spacing w:line="240" w:lineRule="auto"/>
        <w:jc w:val="both"/>
        <w:rPr>
          <w:rFonts w:hint="default" w:ascii="仿宋" w:hAnsi="仿宋" w:eastAsia="仿宋" w:cs="仿宋"/>
          <w:b/>
          <w:bCs/>
          <w:color w:val="auto"/>
          <w:sz w:val="21"/>
          <w:szCs w:val="21"/>
          <w:lang w:val="en-US" w:eastAsia="zh-CN"/>
        </w:rPr>
      </w:pPr>
      <w:r>
        <w:rPr>
          <w:rFonts w:hint="eastAsia" w:ascii="仿宋" w:hAnsi="仿宋" w:eastAsia="仿宋" w:cs="仿宋"/>
          <w:b/>
          <w:bCs/>
          <w:color w:val="auto"/>
          <w:sz w:val="21"/>
          <w:szCs w:val="21"/>
          <w:lang w:val="en-US" w:eastAsia="zh-CN"/>
        </w:rPr>
        <w:t>3.4 备注</w:t>
      </w:r>
    </w:p>
    <w:p>
      <w:pPr>
        <w:widowControl w:val="0"/>
        <w:numPr>
          <w:ilvl w:val="0"/>
          <w:numId w:val="0"/>
        </w:numPr>
        <w:spacing w:line="240" w:lineRule="auto"/>
        <w:ind w:firstLine="420" w:firstLineChars="200"/>
        <w:jc w:val="both"/>
        <w:rPr>
          <w:rFonts w:hint="default" w:ascii="仿宋" w:hAnsi="仿宋" w:eastAsia="仿宋" w:cs="仿宋"/>
          <w:b w:val="0"/>
          <w:bCs/>
          <w:color w:val="auto"/>
          <w:sz w:val="21"/>
          <w:szCs w:val="21"/>
          <w:lang w:val="en-US" w:eastAsia="zh-CN"/>
        </w:rPr>
      </w:pPr>
      <w:r>
        <w:rPr>
          <w:rFonts w:hint="eastAsia" w:ascii="仿宋" w:hAnsi="仿宋" w:eastAsia="仿宋" w:cs="仿宋"/>
          <w:b w:val="0"/>
          <w:bCs/>
          <w:color w:val="auto"/>
          <w:sz w:val="21"/>
          <w:szCs w:val="21"/>
          <w:lang w:val="en-US" w:eastAsia="zh-CN"/>
        </w:rPr>
        <w:t>所有设备若规定时间内无法完成系统调试和接入，投标方将失去中标资格，并赔偿项目无法实施期间，由电压暂降所带来的全部损失。</w:t>
      </w:r>
      <w:bookmarkStart w:id="0" w:name="_GoBack"/>
      <w:bookmarkEnd w:id="0"/>
    </w:p>
    <w:p>
      <w:pPr>
        <w:widowControl w:val="0"/>
        <w:numPr>
          <w:ilvl w:val="0"/>
          <w:numId w:val="0"/>
        </w:numPr>
        <w:spacing w:line="240" w:lineRule="auto"/>
        <w:ind w:firstLine="420" w:firstLineChars="200"/>
        <w:jc w:val="both"/>
        <w:rPr>
          <w:rFonts w:hint="default" w:ascii="仿宋" w:hAnsi="仿宋" w:eastAsia="仿宋" w:cs="仿宋"/>
          <w:b w:val="0"/>
          <w:bCs/>
          <w:color w:val="auto"/>
          <w:sz w:val="21"/>
          <w:szCs w:val="21"/>
          <w:lang w:val="en-US" w:eastAsia="zh-CN"/>
        </w:rPr>
      </w:pPr>
    </w:p>
    <w:p>
      <w:pPr>
        <w:widowControl w:val="0"/>
        <w:numPr>
          <w:ilvl w:val="0"/>
          <w:numId w:val="0"/>
        </w:numPr>
        <w:spacing w:line="240" w:lineRule="auto"/>
        <w:ind w:firstLine="420" w:firstLineChars="200"/>
        <w:jc w:val="both"/>
        <w:rPr>
          <w:rFonts w:hint="default" w:ascii="仿宋" w:hAnsi="仿宋" w:eastAsia="仿宋" w:cs="仿宋"/>
          <w:b w:val="0"/>
          <w:bCs/>
          <w:color w:val="auto"/>
          <w:sz w:val="21"/>
          <w:szCs w:val="21"/>
          <w:lang w:val="en-US" w:eastAsia="zh-CN"/>
        </w:rPr>
      </w:pPr>
    </w:p>
    <w:p>
      <w:pPr>
        <w:widowControl w:val="0"/>
        <w:numPr>
          <w:ilvl w:val="0"/>
          <w:numId w:val="0"/>
        </w:numPr>
        <w:spacing w:line="240" w:lineRule="auto"/>
        <w:ind w:firstLine="420" w:firstLineChars="200"/>
        <w:jc w:val="both"/>
        <w:rPr>
          <w:rFonts w:hint="default" w:ascii="仿宋" w:hAnsi="仿宋" w:eastAsia="仿宋" w:cs="仿宋"/>
          <w:b w:val="0"/>
          <w:bCs/>
          <w:color w:val="auto"/>
          <w:sz w:val="21"/>
          <w:szCs w:val="21"/>
          <w:lang w:val="en-US" w:eastAsia="zh-CN"/>
        </w:rPr>
      </w:pPr>
    </w:p>
    <w:p>
      <w:pPr>
        <w:widowControl w:val="0"/>
        <w:numPr>
          <w:ilvl w:val="0"/>
          <w:numId w:val="0"/>
        </w:numPr>
        <w:spacing w:line="240" w:lineRule="auto"/>
        <w:ind w:firstLine="420" w:firstLineChars="200"/>
        <w:jc w:val="both"/>
        <w:rPr>
          <w:rFonts w:hint="default" w:ascii="仿宋" w:hAnsi="仿宋" w:eastAsia="仿宋" w:cs="仿宋"/>
          <w:b w:val="0"/>
          <w:bCs/>
          <w:color w:val="auto"/>
          <w:sz w:val="21"/>
          <w:szCs w:val="21"/>
          <w:lang w:val="en-US" w:eastAsia="zh-CN"/>
        </w:rPr>
      </w:pPr>
    </w:p>
    <w:p>
      <w:pPr>
        <w:widowControl w:val="0"/>
        <w:numPr>
          <w:ilvl w:val="0"/>
          <w:numId w:val="0"/>
        </w:numPr>
        <w:spacing w:line="240" w:lineRule="auto"/>
        <w:ind w:firstLine="420" w:firstLineChars="200"/>
        <w:jc w:val="both"/>
        <w:rPr>
          <w:rFonts w:hint="default" w:ascii="仿宋" w:hAnsi="仿宋" w:eastAsia="仿宋" w:cs="仿宋"/>
          <w:b w:val="0"/>
          <w:bCs/>
          <w:color w:val="auto"/>
          <w:sz w:val="21"/>
          <w:szCs w:val="21"/>
          <w:lang w:val="en-US" w:eastAsia="zh-CN"/>
        </w:rPr>
      </w:pPr>
    </w:p>
    <w:p>
      <w:pPr>
        <w:widowControl w:val="0"/>
        <w:numPr>
          <w:ilvl w:val="0"/>
          <w:numId w:val="0"/>
        </w:numPr>
        <w:spacing w:line="240" w:lineRule="auto"/>
        <w:ind w:firstLine="420" w:firstLineChars="200"/>
        <w:jc w:val="both"/>
        <w:rPr>
          <w:rFonts w:hint="default" w:ascii="仿宋" w:hAnsi="仿宋" w:eastAsia="仿宋" w:cs="仿宋"/>
          <w:b w:val="0"/>
          <w:bCs/>
          <w:color w:val="auto"/>
          <w:sz w:val="21"/>
          <w:szCs w:val="21"/>
          <w:lang w:val="en-US" w:eastAsia="zh-CN"/>
        </w:rPr>
      </w:pPr>
    </w:p>
    <w:p>
      <w:pPr>
        <w:widowControl w:val="0"/>
        <w:numPr>
          <w:ilvl w:val="0"/>
          <w:numId w:val="0"/>
        </w:numPr>
        <w:spacing w:line="240" w:lineRule="auto"/>
        <w:ind w:firstLine="420" w:firstLineChars="200"/>
        <w:jc w:val="both"/>
        <w:rPr>
          <w:rFonts w:hint="default" w:ascii="仿宋" w:hAnsi="仿宋" w:eastAsia="仿宋" w:cs="仿宋"/>
          <w:b w:val="0"/>
          <w:bCs/>
          <w:color w:val="auto"/>
          <w:sz w:val="21"/>
          <w:szCs w:val="21"/>
          <w:lang w:val="en-US" w:eastAsia="zh-CN"/>
        </w:rPr>
      </w:pPr>
    </w:p>
    <w:p>
      <w:pPr>
        <w:widowControl w:val="0"/>
        <w:numPr>
          <w:ilvl w:val="0"/>
          <w:numId w:val="0"/>
        </w:numPr>
        <w:spacing w:line="240" w:lineRule="auto"/>
        <w:ind w:firstLine="420" w:firstLineChars="200"/>
        <w:jc w:val="both"/>
        <w:rPr>
          <w:rFonts w:hint="eastAsia" w:ascii="仿宋" w:hAnsi="仿宋" w:eastAsia="仿宋" w:cs="仿宋"/>
          <w:b w:val="0"/>
          <w:bCs/>
          <w:color w:val="auto"/>
          <w:sz w:val="21"/>
          <w:szCs w:val="21"/>
          <w:lang w:val="en-US" w:eastAsia="zh-CN"/>
        </w:rPr>
      </w:pPr>
    </w:p>
    <w:p>
      <w:pPr>
        <w:pStyle w:val="3"/>
        <w:rPr>
          <w:rFonts w:hint="default"/>
          <w:lang w:val="en-US" w:eastAsia="zh-CN"/>
        </w:rPr>
      </w:pPr>
    </w:p>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Songti SC">
    <w:altName w:val="宋体"/>
    <w:panose1 w:val="02010800040101010101"/>
    <w:charset w:val="86"/>
    <w:family w:val="auto"/>
    <w:pitch w:val="default"/>
    <w:sig w:usb0="00000000" w:usb1="00000000" w:usb2="00000000" w:usb3="00000000" w:csb0="00040000" w:csb1="00000000"/>
  </w:font>
  <w:font w:name="Helvetica">
    <w:altName w:val="Arial"/>
    <w:panose1 w:val="00000000000000000000"/>
    <w:charset w:val="00"/>
    <w:family w:val="auto"/>
    <w:pitch w:val="default"/>
    <w:sig w:usb0="00000000" w:usb1="00000000" w:usb2="00000000" w:usb3="00000000" w:csb0="00000001"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BF29479"/>
    <w:multiLevelType w:val="singleLevel"/>
    <w:tmpl w:val="9BF29479"/>
    <w:lvl w:ilvl="0" w:tentative="0">
      <w:start w:val="1"/>
      <w:numFmt w:val="bullet"/>
      <w:lvlText w:val=""/>
      <w:lvlJc w:val="left"/>
      <w:pPr>
        <w:ind w:left="420" w:hanging="420"/>
      </w:pPr>
      <w:rPr>
        <w:rFonts w:hint="default" w:ascii="Wingdings" w:hAnsi="Wingdings"/>
      </w:rPr>
    </w:lvl>
  </w:abstractNum>
  <w:abstractNum w:abstractNumId="1">
    <w:nsid w:val="F0725833"/>
    <w:multiLevelType w:val="singleLevel"/>
    <w:tmpl w:val="F0725833"/>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EwNTM5NzYwMDRjMzkwZTVkZjY2ODkwMGIxNGU0OTUifQ=="/>
  </w:docVars>
  <w:rsids>
    <w:rsidRoot w:val="00000000"/>
    <w:rsid w:val="001C31DF"/>
    <w:rsid w:val="00261772"/>
    <w:rsid w:val="0036699B"/>
    <w:rsid w:val="00441FF6"/>
    <w:rsid w:val="004B1995"/>
    <w:rsid w:val="00A17A7F"/>
    <w:rsid w:val="00D340B6"/>
    <w:rsid w:val="00D536A5"/>
    <w:rsid w:val="01052CD3"/>
    <w:rsid w:val="01202A68"/>
    <w:rsid w:val="015075C7"/>
    <w:rsid w:val="01992957"/>
    <w:rsid w:val="01A34AAF"/>
    <w:rsid w:val="01D16793"/>
    <w:rsid w:val="021B5217"/>
    <w:rsid w:val="02307EDB"/>
    <w:rsid w:val="02AC1C88"/>
    <w:rsid w:val="02F915FA"/>
    <w:rsid w:val="02F92B96"/>
    <w:rsid w:val="032A0A87"/>
    <w:rsid w:val="035D5DE9"/>
    <w:rsid w:val="0360636D"/>
    <w:rsid w:val="036935A3"/>
    <w:rsid w:val="036B1883"/>
    <w:rsid w:val="03A53BC6"/>
    <w:rsid w:val="03A722DA"/>
    <w:rsid w:val="03BC011A"/>
    <w:rsid w:val="040A5FDD"/>
    <w:rsid w:val="04223B99"/>
    <w:rsid w:val="0448737D"/>
    <w:rsid w:val="04692055"/>
    <w:rsid w:val="04902920"/>
    <w:rsid w:val="04A63ACA"/>
    <w:rsid w:val="04EA58F3"/>
    <w:rsid w:val="051468EF"/>
    <w:rsid w:val="051F7DF0"/>
    <w:rsid w:val="05215177"/>
    <w:rsid w:val="055F6C30"/>
    <w:rsid w:val="0598081B"/>
    <w:rsid w:val="05AF0655"/>
    <w:rsid w:val="05CF14D8"/>
    <w:rsid w:val="05F123EF"/>
    <w:rsid w:val="060668E5"/>
    <w:rsid w:val="06125E2B"/>
    <w:rsid w:val="06730345"/>
    <w:rsid w:val="067E48BD"/>
    <w:rsid w:val="067E55B8"/>
    <w:rsid w:val="06834979"/>
    <w:rsid w:val="068633D2"/>
    <w:rsid w:val="06925249"/>
    <w:rsid w:val="072E7656"/>
    <w:rsid w:val="073C087D"/>
    <w:rsid w:val="075451A7"/>
    <w:rsid w:val="075B7ADB"/>
    <w:rsid w:val="0790215E"/>
    <w:rsid w:val="07BC254D"/>
    <w:rsid w:val="07C30522"/>
    <w:rsid w:val="07F836CF"/>
    <w:rsid w:val="0812791C"/>
    <w:rsid w:val="081F60FD"/>
    <w:rsid w:val="0830564D"/>
    <w:rsid w:val="084C1561"/>
    <w:rsid w:val="08521C88"/>
    <w:rsid w:val="085B11C8"/>
    <w:rsid w:val="08C4197C"/>
    <w:rsid w:val="09041C45"/>
    <w:rsid w:val="09AA20C6"/>
    <w:rsid w:val="09BA6DF9"/>
    <w:rsid w:val="0A1569A5"/>
    <w:rsid w:val="0A2707B8"/>
    <w:rsid w:val="0A3F0E84"/>
    <w:rsid w:val="0A8B49E7"/>
    <w:rsid w:val="0AA13877"/>
    <w:rsid w:val="0AD77164"/>
    <w:rsid w:val="0ADF50AA"/>
    <w:rsid w:val="0AED0F9D"/>
    <w:rsid w:val="0AF030FB"/>
    <w:rsid w:val="0B2232A1"/>
    <w:rsid w:val="0B8228AE"/>
    <w:rsid w:val="0B83085A"/>
    <w:rsid w:val="0C1A6F03"/>
    <w:rsid w:val="0C657338"/>
    <w:rsid w:val="0C861073"/>
    <w:rsid w:val="0CB7053C"/>
    <w:rsid w:val="0CE84804"/>
    <w:rsid w:val="0CFC733B"/>
    <w:rsid w:val="0D12725F"/>
    <w:rsid w:val="0D5300AF"/>
    <w:rsid w:val="0D9C4150"/>
    <w:rsid w:val="0DEC0777"/>
    <w:rsid w:val="0DF76B42"/>
    <w:rsid w:val="0E0273B8"/>
    <w:rsid w:val="0E1A0D51"/>
    <w:rsid w:val="0E1D4B35"/>
    <w:rsid w:val="0E4550FD"/>
    <w:rsid w:val="0E6635A9"/>
    <w:rsid w:val="0E6B5E1C"/>
    <w:rsid w:val="0EBE24B1"/>
    <w:rsid w:val="0ED11171"/>
    <w:rsid w:val="0EE42A26"/>
    <w:rsid w:val="0EF34A1C"/>
    <w:rsid w:val="0F1627B4"/>
    <w:rsid w:val="0F6A5F59"/>
    <w:rsid w:val="0F8C4A7F"/>
    <w:rsid w:val="0F9B0482"/>
    <w:rsid w:val="0FA27E13"/>
    <w:rsid w:val="0FD83CA6"/>
    <w:rsid w:val="0FEA54DE"/>
    <w:rsid w:val="0FEF3EBD"/>
    <w:rsid w:val="0FF00104"/>
    <w:rsid w:val="10282537"/>
    <w:rsid w:val="104A50C0"/>
    <w:rsid w:val="106F00DE"/>
    <w:rsid w:val="10722751"/>
    <w:rsid w:val="10A741B6"/>
    <w:rsid w:val="10B677B7"/>
    <w:rsid w:val="10BD743F"/>
    <w:rsid w:val="10F94A33"/>
    <w:rsid w:val="10FF5126"/>
    <w:rsid w:val="10FF6B59"/>
    <w:rsid w:val="111D7433"/>
    <w:rsid w:val="11826EC3"/>
    <w:rsid w:val="11837EEC"/>
    <w:rsid w:val="11982747"/>
    <w:rsid w:val="11B7413A"/>
    <w:rsid w:val="11E74B6B"/>
    <w:rsid w:val="11F701A3"/>
    <w:rsid w:val="120264F6"/>
    <w:rsid w:val="1279373C"/>
    <w:rsid w:val="12933BDD"/>
    <w:rsid w:val="12B677C2"/>
    <w:rsid w:val="12C36177"/>
    <w:rsid w:val="12F756AE"/>
    <w:rsid w:val="13461D1D"/>
    <w:rsid w:val="13887570"/>
    <w:rsid w:val="13B37D7B"/>
    <w:rsid w:val="13BE1066"/>
    <w:rsid w:val="13EC61D4"/>
    <w:rsid w:val="13F11368"/>
    <w:rsid w:val="140E57FC"/>
    <w:rsid w:val="14B26405"/>
    <w:rsid w:val="153A37B3"/>
    <w:rsid w:val="1541713B"/>
    <w:rsid w:val="15483FEC"/>
    <w:rsid w:val="15544023"/>
    <w:rsid w:val="158C4EDB"/>
    <w:rsid w:val="15BC34ED"/>
    <w:rsid w:val="15DA10CA"/>
    <w:rsid w:val="164861BA"/>
    <w:rsid w:val="16504EA4"/>
    <w:rsid w:val="16CE6B54"/>
    <w:rsid w:val="16F97E0A"/>
    <w:rsid w:val="17490896"/>
    <w:rsid w:val="175D1EDD"/>
    <w:rsid w:val="17EB518E"/>
    <w:rsid w:val="17F0196C"/>
    <w:rsid w:val="180A22A7"/>
    <w:rsid w:val="181C0061"/>
    <w:rsid w:val="182D3A23"/>
    <w:rsid w:val="18364876"/>
    <w:rsid w:val="184A63B2"/>
    <w:rsid w:val="185309F7"/>
    <w:rsid w:val="185D6634"/>
    <w:rsid w:val="18792D8F"/>
    <w:rsid w:val="18913C5D"/>
    <w:rsid w:val="18C75302"/>
    <w:rsid w:val="18D904AE"/>
    <w:rsid w:val="18DC79C3"/>
    <w:rsid w:val="19117898"/>
    <w:rsid w:val="191375ED"/>
    <w:rsid w:val="195B35E0"/>
    <w:rsid w:val="199F27D8"/>
    <w:rsid w:val="19C82368"/>
    <w:rsid w:val="19DA380D"/>
    <w:rsid w:val="19F3668F"/>
    <w:rsid w:val="1A077592"/>
    <w:rsid w:val="1A104BF3"/>
    <w:rsid w:val="1A1E09B2"/>
    <w:rsid w:val="1A7B0269"/>
    <w:rsid w:val="1AC33FB7"/>
    <w:rsid w:val="1AC84B34"/>
    <w:rsid w:val="1B1F555D"/>
    <w:rsid w:val="1B561602"/>
    <w:rsid w:val="1BCD544B"/>
    <w:rsid w:val="1BFF2F2A"/>
    <w:rsid w:val="1C3278A2"/>
    <w:rsid w:val="1C854E61"/>
    <w:rsid w:val="1CAA6EFF"/>
    <w:rsid w:val="1CB87552"/>
    <w:rsid w:val="1CC55619"/>
    <w:rsid w:val="1CD75E9E"/>
    <w:rsid w:val="1CDD7501"/>
    <w:rsid w:val="1D2D1991"/>
    <w:rsid w:val="1D671A74"/>
    <w:rsid w:val="1D6848B1"/>
    <w:rsid w:val="1D955B57"/>
    <w:rsid w:val="1DB40BC2"/>
    <w:rsid w:val="1DDE14F9"/>
    <w:rsid w:val="1DFA46BD"/>
    <w:rsid w:val="1E32167D"/>
    <w:rsid w:val="1E553C29"/>
    <w:rsid w:val="1EAA6EA3"/>
    <w:rsid w:val="1EBA3005"/>
    <w:rsid w:val="1EBF4978"/>
    <w:rsid w:val="1EC65F2B"/>
    <w:rsid w:val="1ED5429A"/>
    <w:rsid w:val="1EEA2AE5"/>
    <w:rsid w:val="1EF71968"/>
    <w:rsid w:val="1EFD452C"/>
    <w:rsid w:val="1F1E0604"/>
    <w:rsid w:val="1F394A1A"/>
    <w:rsid w:val="1F4C7B7C"/>
    <w:rsid w:val="1F5D1205"/>
    <w:rsid w:val="1F9B28EC"/>
    <w:rsid w:val="20714AAE"/>
    <w:rsid w:val="20A60D13"/>
    <w:rsid w:val="20A62CA4"/>
    <w:rsid w:val="20A86920"/>
    <w:rsid w:val="20CC0CFF"/>
    <w:rsid w:val="211334B9"/>
    <w:rsid w:val="217C4225"/>
    <w:rsid w:val="21832BAA"/>
    <w:rsid w:val="21BC3288"/>
    <w:rsid w:val="21E15E19"/>
    <w:rsid w:val="222A6014"/>
    <w:rsid w:val="222D400C"/>
    <w:rsid w:val="223318D8"/>
    <w:rsid w:val="224A54B1"/>
    <w:rsid w:val="22845402"/>
    <w:rsid w:val="22D63FD3"/>
    <w:rsid w:val="22E50B1B"/>
    <w:rsid w:val="22F37FF6"/>
    <w:rsid w:val="22FB6A43"/>
    <w:rsid w:val="2311115B"/>
    <w:rsid w:val="23270B9D"/>
    <w:rsid w:val="232C0139"/>
    <w:rsid w:val="23332D20"/>
    <w:rsid w:val="233C17D3"/>
    <w:rsid w:val="233C218A"/>
    <w:rsid w:val="23655EB5"/>
    <w:rsid w:val="23734838"/>
    <w:rsid w:val="23C01687"/>
    <w:rsid w:val="23C7422D"/>
    <w:rsid w:val="23D61DCF"/>
    <w:rsid w:val="24011FC7"/>
    <w:rsid w:val="242238CD"/>
    <w:rsid w:val="24320B70"/>
    <w:rsid w:val="24466245"/>
    <w:rsid w:val="24C0590D"/>
    <w:rsid w:val="24F65BDA"/>
    <w:rsid w:val="251406E0"/>
    <w:rsid w:val="254A443E"/>
    <w:rsid w:val="2558697E"/>
    <w:rsid w:val="25640486"/>
    <w:rsid w:val="256B5F2C"/>
    <w:rsid w:val="257310D3"/>
    <w:rsid w:val="25804A91"/>
    <w:rsid w:val="25EA626C"/>
    <w:rsid w:val="25EC4553"/>
    <w:rsid w:val="261F7870"/>
    <w:rsid w:val="26907ADB"/>
    <w:rsid w:val="26B2175F"/>
    <w:rsid w:val="271F513D"/>
    <w:rsid w:val="275B2E00"/>
    <w:rsid w:val="276B09A0"/>
    <w:rsid w:val="27B35B31"/>
    <w:rsid w:val="27B53233"/>
    <w:rsid w:val="27D32C21"/>
    <w:rsid w:val="27EB7834"/>
    <w:rsid w:val="28492804"/>
    <w:rsid w:val="28577BD0"/>
    <w:rsid w:val="285C363D"/>
    <w:rsid w:val="288B7D93"/>
    <w:rsid w:val="28B1784B"/>
    <w:rsid w:val="28DD06E4"/>
    <w:rsid w:val="29240D31"/>
    <w:rsid w:val="29490A77"/>
    <w:rsid w:val="296E5E83"/>
    <w:rsid w:val="297577B0"/>
    <w:rsid w:val="297F66B8"/>
    <w:rsid w:val="29A175F2"/>
    <w:rsid w:val="29AF1BBE"/>
    <w:rsid w:val="29E34D42"/>
    <w:rsid w:val="29E95409"/>
    <w:rsid w:val="2A690897"/>
    <w:rsid w:val="2A7175FC"/>
    <w:rsid w:val="2AB35DB5"/>
    <w:rsid w:val="2ABF1539"/>
    <w:rsid w:val="2AD01847"/>
    <w:rsid w:val="2AD21A3A"/>
    <w:rsid w:val="2AFE0FB0"/>
    <w:rsid w:val="2B2B16AB"/>
    <w:rsid w:val="2B3D3DE8"/>
    <w:rsid w:val="2B3F49D4"/>
    <w:rsid w:val="2B454D0C"/>
    <w:rsid w:val="2B480004"/>
    <w:rsid w:val="2B6037FD"/>
    <w:rsid w:val="2B681445"/>
    <w:rsid w:val="2B7E3134"/>
    <w:rsid w:val="2B8B1D17"/>
    <w:rsid w:val="2B9A10C7"/>
    <w:rsid w:val="2BED77C0"/>
    <w:rsid w:val="2C074D38"/>
    <w:rsid w:val="2C1A1E0C"/>
    <w:rsid w:val="2C6B6BA2"/>
    <w:rsid w:val="2C9C5FBF"/>
    <w:rsid w:val="2C9C70A5"/>
    <w:rsid w:val="2CC91D13"/>
    <w:rsid w:val="2CCE70C7"/>
    <w:rsid w:val="2CD361DC"/>
    <w:rsid w:val="2D051540"/>
    <w:rsid w:val="2D3879B8"/>
    <w:rsid w:val="2D391F64"/>
    <w:rsid w:val="2D6B0EA3"/>
    <w:rsid w:val="2DC77CAA"/>
    <w:rsid w:val="2DD97F04"/>
    <w:rsid w:val="2DFF3ADD"/>
    <w:rsid w:val="2E1C79CC"/>
    <w:rsid w:val="2E2B32D6"/>
    <w:rsid w:val="2E392D33"/>
    <w:rsid w:val="2E536FE5"/>
    <w:rsid w:val="2E667816"/>
    <w:rsid w:val="2E791687"/>
    <w:rsid w:val="2E912BDE"/>
    <w:rsid w:val="2EA875B9"/>
    <w:rsid w:val="2ED42148"/>
    <w:rsid w:val="2EDD033C"/>
    <w:rsid w:val="2EDF1EFA"/>
    <w:rsid w:val="2EFE3107"/>
    <w:rsid w:val="2F1B63D1"/>
    <w:rsid w:val="2F53760D"/>
    <w:rsid w:val="2F5F30A6"/>
    <w:rsid w:val="2F7A5521"/>
    <w:rsid w:val="2F966180"/>
    <w:rsid w:val="2FB86AD7"/>
    <w:rsid w:val="2FC03B68"/>
    <w:rsid w:val="2FCC5EB5"/>
    <w:rsid w:val="2FDD356D"/>
    <w:rsid w:val="300A4FB0"/>
    <w:rsid w:val="300D20E3"/>
    <w:rsid w:val="300D7EEF"/>
    <w:rsid w:val="30125D53"/>
    <w:rsid w:val="309E271A"/>
    <w:rsid w:val="30A56E68"/>
    <w:rsid w:val="30E61555"/>
    <w:rsid w:val="31123409"/>
    <w:rsid w:val="313F00F2"/>
    <w:rsid w:val="315A52B0"/>
    <w:rsid w:val="318558C2"/>
    <w:rsid w:val="319220FD"/>
    <w:rsid w:val="319758A2"/>
    <w:rsid w:val="319D15C6"/>
    <w:rsid w:val="31C0661C"/>
    <w:rsid w:val="31D1182B"/>
    <w:rsid w:val="31E13CC9"/>
    <w:rsid w:val="31F01B5A"/>
    <w:rsid w:val="32144BB9"/>
    <w:rsid w:val="321B25DE"/>
    <w:rsid w:val="323B4D05"/>
    <w:rsid w:val="324A3E43"/>
    <w:rsid w:val="325D59A4"/>
    <w:rsid w:val="326F7930"/>
    <w:rsid w:val="32AD478C"/>
    <w:rsid w:val="32C60B2E"/>
    <w:rsid w:val="32CF197A"/>
    <w:rsid w:val="32E77CD8"/>
    <w:rsid w:val="32EA4195"/>
    <w:rsid w:val="32F861B8"/>
    <w:rsid w:val="33010AEC"/>
    <w:rsid w:val="331421DE"/>
    <w:rsid w:val="33163F3D"/>
    <w:rsid w:val="331D4896"/>
    <w:rsid w:val="3321149D"/>
    <w:rsid w:val="333974B6"/>
    <w:rsid w:val="335B2396"/>
    <w:rsid w:val="338B2C59"/>
    <w:rsid w:val="338B5E95"/>
    <w:rsid w:val="33920A9F"/>
    <w:rsid w:val="33997B4D"/>
    <w:rsid w:val="33A459E2"/>
    <w:rsid w:val="34184422"/>
    <w:rsid w:val="3419414A"/>
    <w:rsid w:val="343D09E4"/>
    <w:rsid w:val="344158AC"/>
    <w:rsid w:val="344E6363"/>
    <w:rsid w:val="34520E23"/>
    <w:rsid w:val="34722C4B"/>
    <w:rsid w:val="3473361C"/>
    <w:rsid w:val="347D51D4"/>
    <w:rsid w:val="34B87C7C"/>
    <w:rsid w:val="34BC0BA7"/>
    <w:rsid w:val="34F7189E"/>
    <w:rsid w:val="350E3C3F"/>
    <w:rsid w:val="3528599B"/>
    <w:rsid w:val="352C5572"/>
    <w:rsid w:val="353B717A"/>
    <w:rsid w:val="353E3FE9"/>
    <w:rsid w:val="35584B93"/>
    <w:rsid w:val="356A2E49"/>
    <w:rsid w:val="35742D7C"/>
    <w:rsid w:val="35F25969"/>
    <w:rsid w:val="36172DC7"/>
    <w:rsid w:val="365015FB"/>
    <w:rsid w:val="366B0578"/>
    <w:rsid w:val="367A5F64"/>
    <w:rsid w:val="36825B5E"/>
    <w:rsid w:val="36917E84"/>
    <w:rsid w:val="369D03B9"/>
    <w:rsid w:val="36AD4C2F"/>
    <w:rsid w:val="36E92D41"/>
    <w:rsid w:val="36EF37FF"/>
    <w:rsid w:val="37093174"/>
    <w:rsid w:val="370F76FD"/>
    <w:rsid w:val="371D7C60"/>
    <w:rsid w:val="377208C5"/>
    <w:rsid w:val="37765619"/>
    <w:rsid w:val="379F48CB"/>
    <w:rsid w:val="37A0201B"/>
    <w:rsid w:val="37BE13CA"/>
    <w:rsid w:val="37EE1745"/>
    <w:rsid w:val="381A2C58"/>
    <w:rsid w:val="381A5CE2"/>
    <w:rsid w:val="381F70F8"/>
    <w:rsid w:val="38924F5A"/>
    <w:rsid w:val="38AD2E41"/>
    <w:rsid w:val="38D45199"/>
    <w:rsid w:val="394E0D6C"/>
    <w:rsid w:val="39502B2E"/>
    <w:rsid w:val="3953230A"/>
    <w:rsid w:val="397E04AE"/>
    <w:rsid w:val="39913760"/>
    <w:rsid w:val="3A2B507B"/>
    <w:rsid w:val="3A7A3E35"/>
    <w:rsid w:val="3A92327C"/>
    <w:rsid w:val="3AAE4F47"/>
    <w:rsid w:val="3ABD0833"/>
    <w:rsid w:val="3ABF661E"/>
    <w:rsid w:val="3B1A4B3E"/>
    <w:rsid w:val="3B3048F1"/>
    <w:rsid w:val="3B3E6FAC"/>
    <w:rsid w:val="3B5D44F4"/>
    <w:rsid w:val="3B9D52DD"/>
    <w:rsid w:val="3BE82348"/>
    <w:rsid w:val="3C06070B"/>
    <w:rsid w:val="3C1444AC"/>
    <w:rsid w:val="3C274111"/>
    <w:rsid w:val="3C547E24"/>
    <w:rsid w:val="3C584DA1"/>
    <w:rsid w:val="3D941735"/>
    <w:rsid w:val="3DA64451"/>
    <w:rsid w:val="3DB24F3D"/>
    <w:rsid w:val="3DDE3DAC"/>
    <w:rsid w:val="3DFC5237"/>
    <w:rsid w:val="3E27562C"/>
    <w:rsid w:val="3E4D6FC1"/>
    <w:rsid w:val="3E6947CF"/>
    <w:rsid w:val="3E8A454C"/>
    <w:rsid w:val="3E987474"/>
    <w:rsid w:val="3E9C5D59"/>
    <w:rsid w:val="3ED360BC"/>
    <w:rsid w:val="3EF566CC"/>
    <w:rsid w:val="3F710124"/>
    <w:rsid w:val="3FBB51A3"/>
    <w:rsid w:val="3FDF25E9"/>
    <w:rsid w:val="3FF07D85"/>
    <w:rsid w:val="3FF1642A"/>
    <w:rsid w:val="3FFE26F4"/>
    <w:rsid w:val="40282EED"/>
    <w:rsid w:val="403C1224"/>
    <w:rsid w:val="40831863"/>
    <w:rsid w:val="40894C4D"/>
    <w:rsid w:val="40902D2C"/>
    <w:rsid w:val="412679DC"/>
    <w:rsid w:val="41517F9D"/>
    <w:rsid w:val="41675580"/>
    <w:rsid w:val="416A3034"/>
    <w:rsid w:val="417D1029"/>
    <w:rsid w:val="42090E50"/>
    <w:rsid w:val="42441F00"/>
    <w:rsid w:val="424961B9"/>
    <w:rsid w:val="425A1705"/>
    <w:rsid w:val="4278399C"/>
    <w:rsid w:val="42E95491"/>
    <w:rsid w:val="431C6421"/>
    <w:rsid w:val="433901D7"/>
    <w:rsid w:val="43576B7D"/>
    <w:rsid w:val="435E2995"/>
    <w:rsid w:val="43C30956"/>
    <w:rsid w:val="43C75166"/>
    <w:rsid w:val="442A0023"/>
    <w:rsid w:val="44314EEC"/>
    <w:rsid w:val="44437104"/>
    <w:rsid w:val="444404DB"/>
    <w:rsid w:val="44504F16"/>
    <w:rsid w:val="44537F59"/>
    <w:rsid w:val="44666BE9"/>
    <w:rsid w:val="446908C9"/>
    <w:rsid w:val="446F62CC"/>
    <w:rsid w:val="44825D97"/>
    <w:rsid w:val="44986652"/>
    <w:rsid w:val="44B1746D"/>
    <w:rsid w:val="44B944D1"/>
    <w:rsid w:val="458238C7"/>
    <w:rsid w:val="458C70A2"/>
    <w:rsid w:val="45A568D9"/>
    <w:rsid w:val="45BA1F04"/>
    <w:rsid w:val="461006F0"/>
    <w:rsid w:val="4619214D"/>
    <w:rsid w:val="46372D24"/>
    <w:rsid w:val="464858DB"/>
    <w:rsid w:val="465763C5"/>
    <w:rsid w:val="46BA756A"/>
    <w:rsid w:val="46D8403F"/>
    <w:rsid w:val="47073246"/>
    <w:rsid w:val="472E48D7"/>
    <w:rsid w:val="474C7708"/>
    <w:rsid w:val="4756428D"/>
    <w:rsid w:val="475A27A2"/>
    <w:rsid w:val="475B4DF8"/>
    <w:rsid w:val="476D4066"/>
    <w:rsid w:val="477026E0"/>
    <w:rsid w:val="47872991"/>
    <w:rsid w:val="479D546F"/>
    <w:rsid w:val="47A077D0"/>
    <w:rsid w:val="47F22F39"/>
    <w:rsid w:val="48056A58"/>
    <w:rsid w:val="481529AD"/>
    <w:rsid w:val="483D0495"/>
    <w:rsid w:val="48467A91"/>
    <w:rsid w:val="48517BCF"/>
    <w:rsid w:val="487C6301"/>
    <w:rsid w:val="48892517"/>
    <w:rsid w:val="488B79F3"/>
    <w:rsid w:val="4907204B"/>
    <w:rsid w:val="490F6373"/>
    <w:rsid w:val="494168BE"/>
    <w:rsid w:val="494738A9"/>
    <w:rsid w:val="495449CB"/>
    <w:rsid w:val="49597175"/>
    <w:rsid w:val="49915FDC"/>
    <w:rsid w:val="49A40931"/>
    <w:rsid w:val="49A67127"/>
    <w:rsid w:val="49FA51AE"/>
    <w:rsid w:val="4A2475AE"/>
    <w:rsid w:val="4A7C7998"/>
    <w:rsid w:val="4A8243E2"/>
    <w:rsid w:val="4AA40822"/>
    <w:rsid w:val="4B044BE2"/>
    <w:rsid w:val="4B164BF7"/>
    <w:rsid w:val="4B232A63"/>
    <w:rsid w:val="4B2A6D26"/>
    <w:rsid w:val="4B3819D9"/>
    <w:rsid w:val="4B386B1F"/>
    <w:rsid w:val="4B3B31B0"/>
    <w:rsid w:val="4B434BDF"/>
    <w:rsid w:val="4B4A4715"/>
    <w:rsid w:val="4B533EB2"/>
    <w:rsid w:val="4B675CF1"/>
    <w:rsid w:val="4B9D3C8C"/>
    <w:rsid w:val="4B9E5377"/>
    <w:rsid w:val="4BA91423"/>
    <w:rsid w:val="4BBC7A8D"/>
    <w:rsid w:val="4BF471C5"/>
    <w:rsid w:val="4C491E5A"/>
    <w:rsid w:val="4CD13956"/>
    <w:rsid w:val="4CDB3F00"/>
    <w:rsid w:val="4CE34EB6"/>
    <w:rsid w:val="4CEB77DA"/>
    <w:rsid w:val="4D036CAF"/>
    <w:rsid w:val="4D6A28CB"/>
    <w:rsid w:val="4D830DAC"/>
    <w:rsid w:val="4D8E0BDE"/>
    <w:rsid w:val="4D8E364A"/>
    <w:rsid w:val="4D9A6DB9"/>
    <w:rsid w:val="4DD557B0"/>
    <w:rsid w:val="4DE701C3"/>
    <w:rsid w:val="4DF60BDA"/>
    <w:rsid w:val="4E245FAE"/>
    <w:rsid w:val="4E312DA4"/>
    <w:rsid w:val="4E31520B"/>
    <w:rsid w:val="4E41544D"/>
    <w:rsid w:val="4E464A84"/>
    <w:rsid w:val="4E4765BB"/>
    <w:rsid w:val="4E526F74"/>
    <w:rsid w:val="4E537667"/>
    <w:rsid w:val="4E6536C4"/>
    <w:rsid w:val="4E7724EA"/>
    <w:rsid w:val="4EC46589"/>
    <w:rsid w:val="4ECD720D"/>
    <w:rsid w:val="4F0405C9"/>
    <w:rsid w:val="4F122438"/>
    <w:rsid w:val="4F461CC5"/>
    <w:rsid w:val="4F4D396E"/>
    <w:rsid w:val="4FA7036F"/>
    <w:rsid w:val="4FAF700C"/>
    <w:rsid w:val="4FDE262D"/>
    <w:rsid w:val="500314A7"/>
    <w:rsid w:val="5003382A"/>
    <w:rsid w:val="50375193"/>
    <w:rsid w:val="503E1FCA"/>
    <w:rsid w:val="50461890"/>
    <w:rsid w:val="504C1BA2"/>
    <w:rsid w:val="504E2748"/>
    <w:rsid w:val="50BA7557"/>
    <w:rsid w:val="50C638D6"/>
    <w:rsid w:val="50E21ACE"/>
    <w:rsid w:val="50F93B86"/>
    <w:rsid w:val="51027B61"/>
    <w:rsid w:val="5140543F"/>
    <w:rsid w:val="517347C8"/>
    <w:rsid w:val="51E555A2"/>
    <w:rsid w:val="51EA1147"/>
    <w:rsid w:val="524819E6"/>
    <w:rsid w:val="5260187D"/>
    <w:rsid w:val="528F6EA6"/>
    <w:rsid w:val="52B8787C"/>
    <w:rsid w:val="52C83255"/>
    <w:rsid w:val="52D25D57"/>
    <w:rsid w:val="52EA4D85"/>
    <w:rsid w:val="530E44DA"/>
    <w:rsid w:val="534862D9"/>
    <w:rsid w:val="53497A9A"/>
    <w:rsid w:val="53560F47"/>
    <w:rsid w:val="5360134E"/>
    <w:rsid w:val="53664FB3"/>
    <w:rsid w:val="5387554D"/>
    <w:rsid w:val="53960E6A"/>
    <w:rsid w:val="53C8196B"/>
    <w:rsid w:val="53E41DB4"/>
    <w:rsid w:val="53F26B45"/>
    <w:rsid w:val="54183203"/>
    <w:rsid w:val="54335E5C"/>
    <w:rsid w:val="549D6646"/>
    <w:rsid w:val="54AF5969"/>
    <w:rsid w:val="54B56893"/>
    <w:rsid w:val="54BA789D"/>
    <w:rsid w:val="551301F0"/>
    <w:rsid w:val="554177EE"/>
    <w:rsid w:val="554E3A38"/>
    <w:rsid w:val="555D0437"/>
    <w:rsid w:val="55A10730"/>
    <w:rsid w:val="55A72832"/>
    <w:rsid w:val="55AB2EE4"/>
    <w:rsid w:val="55E65D7D"/>
    <w:rsid w:val="563F281B"/>
    <w:rsid w:val="566F1222"/>
    <w:rsid w:val="568446D1"/>
    <w:rsid w:val="56865BE8"/>
    <w:rsid w:val="56B317A5"/>
    <w:rsid w:val="56C52B5D"/>
    <w:rsid w:val="56E43211"/>
    <w:rsid w:val="57234AF5"/>
    <w:rsid w:val="574A510A"/>
    <w:rsid w:val="575751C1"/>
    <w:rsid w:val="578454DF"/>
    <w:rsid w:val="57A0057A"/>
    <w:rsid w:val="57A54DD5"/>
    <w:rsid w:val="57AE0ED6"/>
    <w:rsid w:val="57BD2100"/>
    <w:rsid w:val="57C559F6"/>
    <w:rsid w:val="57FA22BB"/>
    <w:rsid w:val="58A34B5E"/>
    <w:rsid w:val="58CB312B"/>
    <w:rsid w:val="58D9172E"/>
    <w:rsid w:val="58F16EE8"/>
    <w:rsid w:val="591D4EAF"/>
    <w:rsid w:val="59272A43"/>
    <w:rsid w:val="593747CE"/>
    <w:rsid w:val="59454223"/>
    <w:rsid w:val="595906C0"/>
    <w:rsid w:val="5960038C"/>
    <w:rsid w:val="597611C4"/>
    <w:rsid w:val="59903300"/>
    <w:rsid w:val="59A20FEB"/>
    <w:rsid w:val="59B54BD9"/>
    <w:rsid w:val="59C07E99"/>
    <w:rsid w:val="59F15C04"/>
    <w:rsid w:val="5A3E01A8"/>
    <w:rsid w:val="5A605ED4"/>
    <w:rsid w:val="5AA13442"/>
    <w:rsid w:val="5AAE67C0"/>
    <w:rsid w:val="5ADD7B90"/>
    <w:rsid w:val="5B1F7022"/>
    <w:rsid w:val="5B2F6628"/>
    <w:rsid w:val="5B4336C7"/>
    <w:rsid w:val="5B53316D"/>
    <w:rsid w:val="5B7F122D"/>
    <w:rsid w:val="5BA40A1E"/>
    <w:rsid w:val="5BA64BE9"/>
    <w:rsid w:val="5BAE1FF5"/>
    <w:rsid w:val="5BCA1444"/>
    <w:rsid w:val="5BCA2F69"/>
    <w:rsid w:val="5BD74586"/>
    <w:rsid w:val="5BE10CD2"/>
    <w:rsid w:val="5BE43388"/>
    <w:rsid w:val="5C00101B"/>
    <w:rsid w:val="5C5E119E"/>
    <w:rsid w:val="5CC9755E"/>
    <w:rsid w:val="5CD0066D"/>
    <w:rsid w:val="5CD75CFE"/>
    <w:rsid w:val="5CE0386E"/>
    <w:rsid w:val="5D215347"/>
    <w:rsid w:val="5D5E347F"/>
    <w:rsid w:val="5D6A291B"/>
    <w:rsid w:val="5D890C96"/>
    <w:rsid w:val="5D917FF8"/>
    <w:rsid w:val="5D9B7793"/>
    <w:rsid w:val="5E233FBF"/>
    <w:rsid w:val="5E2576CD"/>
    <w:rsid w:val="5E702CEC"/>
    <w:rsid w:val="5E7C0E23"/>
    <w:rsid w:val="5EA97A3D"/>
    <w:rsid w:val="5EB15C86"/>
    <w:rsid w:val="5ECA6034"/>
    <w:rsid w:val="5EFB19E8"/>
    <w:rsid w:val="5F237C04"/>
    <w:rsid w:val="5F4373F6"/>
    <w:rsid w:val="5F637ADC"/>
    <w:rsid w:val="5F831A00"/>
    <w:rsid w:val="5F8F1A4B"/>
    <w:rsid w:val="5F973D6C"/>
    <w:rsid w:val="5F9E444A"/>
    <w:rsid w:val="5FA2192E"/>
    <w:rsid w:val="5FAD65DB"/>
    <w:rsid w:val="5FEE4841"/>
    <w:rsid w:val="5FF939C7"/>
    <w:rsid w:val="60551DB5"/>
    <w:rsid w:val="60684D7C"/>
    <w:rsid w:val="608F0CA3"/>
    <w:rsid w:val="60AD0488"/>
    <w:rsid w:val="60BB1F78"/>
    <w:rsid w:val="60BD7A47"/>
    <w:rsid w:val="60C713D9"/>
    <w:rsid w:val="61072DE6"/>
    <w:rsid w:val="61164C50"/>
    <w:rsid w:val="614F61F8"/>
    <w:rsid w:val="617B1C9D"/>
    <w:rsid w:val="61981D70"/>
    <w:rsid w:val="61C439FA"/>
    <w:rsid w:val="61CE507B"/>
    <w:rsid w:val="61E728D6"/>
    <w:rsid w:val="61EF5133"/>
    <w:rsid w:val="62173821"/>
    <w:rsid w:val="622307EE"/>
    <w:rsid w:val="626342D1"/>
    <w:rsid w:val="626559D3"/>
    <w:rsid w:val="626B432C"/>
    <w:rsid w:val="627F6C32"/>
    <w:rsid w:val="63146E6D"/>
    <w:rsid w:val="63696824"/>
    <w:rsid w:val="63C10D97"/>
    <w:rsid w:val="63C75ED9"/>
    <w:rsid w:val="63D11A20"/>
    <w:rsid w:val="63E6019D"/>
    <w:rsid w:val="6430755C"/>
    <w:rsid w:val="6431190B"/>
    <w:rsid w:val="64367A85"/>
    <w:rsid w:val="645F4F0D"/>
    <w:rsid w:val="64695B5E"/>
    <w:rsid w:val="646E21D5"/>
    <w:rsid w:val="647911E5"/>
    <w:rsid w:val="647D794E"/>
    <w:rsid w:val="647E0C7E"/>
    <w:rsid w:val="648C03F1"/>
    <w:rsid w:val="64AA310F"/>
    <w:rsid w:val="64B2314C"/>
    <w:rsid w:val="64B259E8"/>
    <w:rsid w:val="64C86861"/>
    <w:rsid w:val="64E20D10"/>
    <w:rsid w:val="652F5490"/>
    <w:rsid w:val="65434131"/>
    <w:rsid w:val="65467B84"/>
    <w:rsid w:val="656B3FC6"/>
    <w:rsid w:val="658F5BB8"/>
    <w:rsid w:val="65BF100D"/>
    <w:rsid w:val="65DB41B5"/>
    <w:rsid w:val="65DE1C89"/>
    <w:rsid w:val="65ED6758"/>
    <w:rsid w:val="65EE308C"/>
    <w:rsid w:val="660437C1"/>
    <w:rsid w:val="66153F7B"/>
    <w:rsid w:val="665C20D3"/>
    <w:rsid w:val="66670035"/>
    <w:rsid w:val="667A22D3"/>
    <w:rsid w:val="66826C25"/>
    <w:rsid w:val="66911095"/>
    <w:rsid w:val="66C7396A"/>
    <w:rsid w:val="66F47A75"/>
    <w:rsid w:val="67240821"/>
    <w:rsid w:val="67265308"/>
    <w:rsid w:val="67456B62"/>
    <w:rsid w:val="676475B1"/>
    <w:rsid w:val="682942F3"/>
    <w:rsid w:val="688F1BA0"/>
    <w:rsid w:val="68AB3B96"/>
    <w:rsid w:val="68AB5173"/>
    <w:rsid w:val="68CF1655"/>
    <w:rsid w:val="68D21289"/>
    <w:rsid w:val="68F00547"/>
    <w:rsid w:val="68F84251"/>
    <w:rsid w:val="691D4401"/>
    <w:rsid w:val="6986402B"/>
    <w:rsid w:val="698C3790"/>
    <w:rsid w:val="69966862"/>
    <w:rsid w:val="69A10D94"/>
    <w:rsid w:val="69A92343"/>
    <w:rsid w:val="69BF4E9F"/>
    <w:rsid w:val="69D65C3D"/>
    <w:rsid w:val="69DC76D7"/>
    <w:rsid w:val="69E61105"/>
    <w:rsid w:val="69FC2319"/>
    <w:rsid w:val="6A1859A9"/>
    <w:rsid w:val="6A41119E"/>
    <w:rsid w:val="6A6416BC"/>
    <w:rsid w:val="6A652369"/>
    <w:rsid w:val="6A6B53FF"/>
    <w:rsid w:val="6A8B5F11"/>
    <w:rsid w:val="6A9036B8"/>
    <w:rsid w:val="6ADC6E06"/>
    <w:rsid w:val="6AF538FA"/>
    <w:rsid w:val="6B103298"/>
    <w:rsid w:val="6B17564A"/>
    <w:rsid w:val="6B715BAF"/>
    <w:rsid w:val="6B8B3DF7"/>
    <w:rsid w:val="6BF27B47"/>
    <w:rsid w:val="6C110E17"/>
    <w:rsid w:val="6C112F6C"/>
    <w:rsid w:val="6C2708F2"/>
    <w:rsid w:val="6C490D2F"/>
    <w:rsid w:val="6C82470C"/>
    <w:rsid w:val="6CBB3210"/>
    <w:rsid w:val="6CD15B16"/>
    <w:rsid w:val="6CE83EE8"/>
    <w:rsid w:val="6D0836E2"/>
    <w:rsid w:val="6D42667C"/>
    <w:rsid w:val="6D46511E"/>
    <w:rsid w:val="6D875DC9"/>
    <w:rsid w:val="6D9B48E4"/>
    <w:rsid w:val="6D9E7027"/>
    <w:rsid w:val="6DBF7C53"/>
    <w:rsid w:val="6E12125B"/>
    <w:rsid w:val="6E640393"/>
    <w:rsid w:val="6E8B1F5C"/>
    <w:rsid w:val="6E954457"/>
    <w:rsid w:val="6EB6197B"/>
    <w:rsid w:val="6EB87F35"/>
    <w:rsid w:val="6EDA2C9A"/>
    <w:rsid w:val="6EDA6A71"/>
    <w:rsid w:val="6EDF5A03"/>
    <w:rsid w:val="6EEC7185"/>
    <w:rsid w:val="6F13656B"/>
    <w:rsid w:val="6F16595B"/>
    <w:rsid w:val="6F293B03"/>
    <w:rsid w:val="6F96567B"/>
    <w:rsid w:val="6FCF5335"/>
    <w:rsid w:val="6FDC7433"/>
    <w:rsid w:val="6FDD1E5B"/>
    <w:rsid w:val="70343BCF"/>
    <w:rsid w:val="707A66C4"/>
    <w:rsid w:val="708151EA"/>
    <w:rsid w:val="70F87367"/>
    <w:rsid w:val="71095FD4"/>
    <w:rsid w:val="71096A30"/>
    <w:rsid w:val="7140764A"/>
    <w:rsid w:val="714A3FDC"/>
    <w:rsid w:val="7154029E"/>
    <w:rsid w:val="716B75F7"/>
    <w:rsid w:val="71A830A3"/>
    <w:rsid w:val="71B71858"/>
    <w:rsid w:val="71BD4504"/>
    <w:rsid w:val="71C614F8"/>
    <w:rsid w:val="72063630"/>
    <w:rsid w:val="72170C58"/>
    <w:rsid w:val="723D3ED5"/>
    <w:rsid w:val="725C0C0D"/>
    <w:rsid w:val="7292018E"/>
    <w:rsid w:val="72945FFF"/>
    <w:rsid w:val="72B93937"/>
    <w:rsid w:val="72C41547"/>
    <w:rsid w:val="72F17306"/>
    <w:rsid w:val="72F901A8"/>
    <w:rsid w:val="73085912"/>
    <w:rsid w:val="73696B97"/>
    <w:rsid w:val="739946F0"/>
    <w:rsid w:val="73D53CDE"/>
    <w:rsid w:val="73E51C1F"/>
    <w:rsid w:val="740C0775"/>
    <w:rsid w:val="740C2E8C"/>
    <w:rsid w:val="747932C9"/>
    <w:rsid w:val="747F2524"/>
    <w:rsid w:val="7499313E"/>
    <w:rsid w:val="749C7286"/>
    <w:rsid w:val="74A94359"/>
    <w:rsid w:val="74C91B20"/>
    <w:rsid w:val="74EC20A2"/>
    <w:rsid w:val="74F91C79"/>
    <w:rsid w:val="752D6294"/>
    <w:rsid w:val="7543356F"/>
    <w:rsid w:val="757A53EF"/>
    <w:rsid w:val="75952926"/>
    <w:rsid w:val="75997973"/>
    <w:rsid w:val="75A1642C"/>
    <w:rsid w:val="760D0C06"/>
    <w:rsid w:val="765B6397"/>
    <w:rsid w:val="768A341C"/>
    <w:rsid w:val="76FA7507"/>
    <w:rsid w:val="772E4819"/>
    <w:rsid w:val="77686DDD"/>
    <w:rsid w:val="778D2E4C"/>
    <w:rsid w:val="778F0849"/>
    <w:rsid w:val="77BB02EC"/>
    <w:rsid w:val="77D26432"/>
    <w:rsid w:val="77F630ED"/>
    <w:rsid w:val="7872426F"/>
    <w:rsid w:val="78ED2DBF"/>
    <w:rsid w:val="78EE6C97"/>
    <w:rsid w:val="792E7F32"/>
    <w:rsid w:val="79321F63"/>
    <w:rsid w:val="7951288A"/>
    <w:rsid w:val="7973270F"/>
    <w:rsid w:val="79855155"/>
    <w:rsid w:val="79D844FD"/>
    <w:rsid w:val="7A284234"/>
    <w:rsid w:val="7A447A33"/>
    <w:rsid w:val="7A816C87"/>
    <w:rsid w:val="7A8E697E"/>
    <w:rsid w:val="7B3518EB"/>
    <w:rsid w:val="7B35614B"/>
    <w:rsid w:val="7B513D99"/>
    <w:rsid w:val="7BA258DC"/>
    <w:rsid w:val="7BD11C6F"/>
    <w:rsid w:val="7C0410BC"/>
    <w:rsid w:val="7C113E9E"/>
    <w:rsid w:val="7C3E4C06"/>
    <w:rsid w:val="7C492F6E"/>
    <w:rsid w:val="7C657CBD"/>
    <w:rsid w:val="7C6C04D3"/>
    <w:rsid w:val="7D3E33A5"/>
    <w:rsid w:val="7D83214B"/>
    <w:rsid w:val="7D975BC1"/>
    <w:rsid w:val="7D977F48"/>
    <w:rsid w:val="7DB3377D"/>
    <w:rsid w:val="7DBF6346"/>
    <w:rsid w:val="7DEC7618"/>
    <w:rsid w:val="7E0004E7"/>
    <w:rsid w:val="7E607661"/>
    <w:rsid w:val="7E80479B"/>
    <w:rsid w:val="7E8D4D79"/>
    <w:rsid w:val="7E9C4A70"/>
    <w:rsid w:val="7EC07239"/>
    <w:rsid w:val="7ED14F91"/>
    <w:rsid w:val="7F042CA5"/>
    <w:rsid w:val="7F14620B"/>
    <w:rsid w:val="7F183AC4"/>
    <w:rsid w:val="7F4A021E"/>
    <w:rsid w:val="7F754FAB"/>
    <w:rsid w:val="7FAD6879"/>
    <w:rsid w:val="7FE177E2"/>
    <w:rsid w:val="7FEC44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0"/>
    <w:pPr>
      <w:spacing w:after="120" w:line="240" w:lineRule="auto"/>
    </w:pPr>
  </w:style>
  <w:style w:type="paragraph" w:styleId="3">
    <w:name w:val="Title"/>
    <w:basedOn w:val="1"/>
    <w:next w:val="1"/>
    <w:qFormat/>
    <w:uiPriority w:val="0"/>
    <w:pPr>
      <w:spacing w:before="240" w:beforeLines="0" w:after="60" w:afterLines="0"/>
      <w:jc w:val="center"/>
      <w:outlineLvl w:val="0"/>
    </w:pPr>
    <w:rPr>
      <w:rFonts w:ascii="Arial" w:hAnsi="Arial"/>
      <w:b/>
      <w:bCs/>
      <w:sz w:val="32"/>
      <w:szCs w:val="32"/>
    </w:rPr>
  </w:style>
  <w:style w:type="paragraph" w:styleId="4">
    <w:name w:val="Body Text First Indent"/>
    <w:basedOn w:val="2"/>
    <w:qFormat/>
    <w:uiPriority w:val="0"/>
    <w:pPr>
      <w:ind w:left="216" w:right="286" w:firstLine="400" w:firstLineChars="200"/>
      <w:jc w:val="left"/>
    </w:pPr>
    <w:rPr>
      <w:rFonts w:ascii="Times New Roman" w:hAnsi="Times New Roman" w:eastAsia="Songti SC"/>
      <w:color w:val="000000" w:themeColor="text1"/>
      <w:sz w:val="22"/>
      <w14:textFill>
        <w14:solidFill>
          <w14:schemeClr w14:val="tx1"/>
        </w14:solidFill>
      </w14:textFill>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章正文"/>
    <w:basedOn w:val="1"/>
    <w:qFormat/>
    <w:uiPriority w:val="0"/>
    <w:pPr>
      <w:spacing w:beforeLines="50" w:after="120" w:line="300" w:lineRule="auto"/>
      <w:ind w:firstLine="480"/>
    </w:pPr>
    <w:rPr>
      <w:rFonts w:ascii="Helvetica" w:hAnsi="Helvetica"/>
      <w:kern w:val="0"/>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2768</Words>
  <Characters>3159</Characters>
  <Lines>0</Lines>
  <Paragraphs>0</Paragraphs>
  <TotalTime>45</TotalTime>
  <ScaleCrop>false</ScaleCrop>
  <LinksUpToDate>false</LinksUpToDate>
  <CharactersWithSpaces>3204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2022-05-07T13:57:00Z</dcterms:created>
  <dc:creator>hncsg</dc:creator>
  <cp:lastModifiedBy>伍智鹏</cp:lastModifiedBy>
  <cp:lastPrinted>2024-02-21T01:25:00Z</cp:lastPrinted>
  <dcterms:modified xsi:type="dcterms:W3CDTF">2024-08-16T01:42:08Z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687D4F8BD64A4C8AB9D78616AAF19B48</vt:lpwstr>
  </property>
</Properties>
</file>