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lang w:val="en-US" w:eastAsia="zh-CN"/>
        </w:rPr>
      </w:pPr>
    </w:p>
    <w:p>
      <w:pPr>
        <w:jc w:val="center"/>
        <w:rPr>
          <w:rFonts w:hint="eastAsia" w:ascii="微软雅黑" w:hAnsi="微软雅黑" w:eastAsia="微软雅黑" w:cs="微软雅黑"/>
          <w:b/>
          <w:bCs/>
          <w:sz w:val="30"/>
          <w:szCs w:val="30"/>
          <w:u w:val="none"/>
          <w:lang w:val="en-US" w:eastAsia="zh-CN"/>
        </w:rPr>
      </w:pPr>
      <w:r>
        <w:rPr>
          <w:rFonts w:hint="eastAsia" w:ascii="微软雅黑" w:hAnsi="微软雅黑" w:eastAsia="微软雅黑" w:cs="微软雅黑"/>
          <w:b/>
          <w:bCs/>
          <w:sz w:val="30"/>
          <w:szCs w:val="30"/>
          <w:u w:val="none"/>
          <w:lang w:val="en-US" w:eastAsia="zh-CN"/>
        </w:rPr>
        <w:t>一种多功能防外破的太阳能取电电缆井盖材料采购技术要求</w:t>
      </w:r>
    </w:p>
    <w:p>
      <w:pPr>
        <w:jc w:val="center"/>
        <w:rPr>
          <w:rFonts w:hint="eastAsia" w:ascii="微软雅黑" w:hAnsi="微软雅黑" w:eastAsia="微软雅黑" w:cs="微软雅黑"/>
          <w:b/>
          <w:bCs/>
          <w:sz w:val="30"/>
          <w:szCs w:val="30"/>
          <w:u w:val="none"/>
          <w:lang w:val="en-US" w:eastAsia="zh-CN"/>
        </w:rPr>
      </w:pPr>
      <w:r>
        <w:rPr>
          <w:rFonts w:hint="eastAsia" w:ascii="微软雅黑" w:hAnsi="微软雅黑" w:eastAsia="微软雅黑" w:cs="微软雅黑"/>
          <w:b/>
          <w:bCs/>
          <w:sz w:val="30"/>
          <w:szCs w:val="30"/>
          <w:u w:val="none"/>
          <w:lang w:val="en-US" w:eastAsia="zh-CN"/>
        </w:rPr>
        <w:t>承办部门：湛江供电局输电管理所</w:t>
      </w:r>
    </w:p>
    <w:p>
      <w:pPr>
        <w:numPr>
          <w:ilvl w:val="0"/>
          <w:numId w:val="0"/>
        </w:numPr>
        <w:spacing w:line="36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一、总则：</w:t>
      </w:r>
    </w:p>
    <w:p>
      <w:pPr>
        <w:spacing w:line="360" w:lineRule="auto"/>
        <w:ind w:firstLine="480" w:firstLineChars="200"/>
        <w:rPr>
          <w:rFonts w:hint="eastAsia" w:ascii="宋体" w:hAnsi="宋体" w:eastAsia="宋体" w:cs="宋体"/>
          <w:b w:val="0"/>
          <w:bCs w:val="0"/>
          <w:sz w:val="52"/>
          <w:szCs w:val="52"/>
          <w:lang w:val="en-US" w:eastAsia="zh-CN"/>
        </w:rPr>
      </w:pPr>
      <w:r>
        <w:rPr>
          <w:rFonts w:hint="eastAsia" w:ascii="宋体" w:hAnsi="宋体" w:eastAsia="宋体" w:cs="宋体"/>
          <w:b w:val="0"/>
          <w:bCs w:val="0"/>
          <w:sz w:val="24"/>
          <w:szCs w:val="24"/>
          <w:lang w:val="en-US" w:eastAsia="zh-CN"/>
        </w:rPr>
        <w:t>本文仅用于湛江供电局职工创新项目</w:t>
      </w:r>
      <w:r>
        <w:rPr>
          <w:rFonts w:hint="eastAsia" w:ascii="宋体" w:hAnsi="宋体" w:eastAsia="宋体" w:cs="宋体"/>
          <w:b w:val="0"/>
          <w:bCs w:val="0"/>
          <w:sz w:val="24"/>
          <w:szCs w:val="24"/>
          <w:u w:val="none"/>
          <w:lang w:val="en-US" w:eastAsia="zh-CN"/>
        </w:rPr>
        <w:t>一种多功能防外破的太阳能取电电缆井盖（项目编码：030800KZ24050073）材料采购技术要求文件，适用于</w:t>
      </w:r>
      <w:r>
        <w:rPr>
          <w:rFonts w:hint="eastAsia" w:ascii="宋体" w:hAnsi="宋体" w:eastAsia="宋体" w:cs="宋体"/>
          <w:b w:val="0"/>
          <w:bCs w:val="0"/>
          <w:sz w:val="24"/>
          <w:szCs w:val="24"/>
          <w:lang w:val="en-US" w:eastAsia="zh-CN"/>
        </w:rPr>
        <w:t>湛江供电局职工创新项目</w:t>
      </w:r>
      <w:r>
        <w:rPr>
          <w:rFonts w:hint="eastAsia" w:ascii="宋体" w:hAnsi="宋体" w:eastAsia="宋体" w:cs="宋体"/>
          <w:b w:val="0"/>
          <w:bCs w:val="0"/>
          <w:sz w:val="24"/>
          <w:szCs w:val="24"/>
          <w:u w:val="none"/>
          <w:lang w:val="en-US" w:eastAsia="zh-CN"/>
        </w:rPr>
        <w:t>一种多功能防外破的太阳能取电电缆井盖（项目编码：030800KZ24050073）材料采购，最终解释权归湛江供电局输电管理所。</w:t>
      </w:r>
    </w:p>
    <w:p>
      <w:pPr>
        <w:spacing w:line="360" w:lineRule="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二、范围</w:t>
      </w:r>
    </w:p>
    <w:p>
      <w:pPr>
        <w:spacing w:line="360" w:lineRule="auto"/>
        <w:ind w:firstLine="480" w:firstLineChars="200"/>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本技术要求适用一种多功能防外破的太阳能取电电缆井盖，对湛江地区电缆通道接头箱井所在位置使用条件、响应产品的技术要求、试验方法等相关方面进行技术要求。</w:t>
      </w:r>
    </w:p>
    <w:p>
      <w:pPr>
        <w:numPr>
          <w:ilvl w:val="0"/>
          <w:numId w:val="1"/>
        </w:numPr>
        <w:spacing w:line="360" w:lineRule="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性能及技术要求</w:t>
      </w:r>
    </w:p>
    <w:p>
      <w:pPr>
        <w:numPr>
          <w:numId w:val="0"/>
        </w:numPr>
        <w:spacing w:line="360" w:lineRule="auto"/>
        <w:rPr>
          <w:rFonts w:hint="eastAsia" w:ascii="宋体" w:hAnsi="宋体" w:eastAsia="宋体" w:cs="宋体"/>
          <w:color w:val="auto"/>
          <w:sz w:val="24"/>
          <w:szCs w:val="24"/>
          <w:highlight w:val="none"/>
        </w:rPr>
      </w:pPr>
      <w:bookmarkStart w:id="0" w:name="_Toc476954342"/>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rPr>
        <w:t>技术性能总体要求</w:t>
      </w:r>
      <w:bookmarkEnd w:id="0"/>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湛江供电局输电管理所2024年职创项目《一种多功能防外破的太阳能取电电缆井盖》，项目编码：030800KZ24050073。研制一种多功能防外破的太阳能取电电缆井盖，电缆井盖尺寸可根据现场电缆工井井口尺寸定制，盖板分层设计，上层主要可容纳太阳能取电装置，位置预留在线监控装置信号传输通讯天线，太阳能储能电池供电。太阳能板及储能电池技术端口要求，可满足电缆金属护套环流在线监测装置取电，本项目计划采购数量4件，出具出厂合格证明资料。</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功能总体要求，结合利用NB-IOT网络、地理信息系统、计算机管理系统等物联网相关技术，建立一套将井盖管理和事件处理网络化、精细化的远程井盖电子锁管理解决方案，能实时对井盖进行监控，加强井盖安全性，实现远程开启。并且可以根据内置ID和GIS地图信息及时上报故障井盖所处位置。完善了井盖的信息化管理、事件处置的流程管理，实现了对井盖的责任追溯监管，维护道路安全，同时也提高责任单位、部门的智能水平，降低了管理成本。</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系统采用物联网模式，很好的解决了有关井盖资产管理、警情监控、部门及人员权限管理等各种相关数据采集、存储和分析。</w:t>
      </w:r>
    </w:p>
    <w:p>
      <w:pPr>
        <w:numPr>
          <w:numId w:val="0"/>
        </w:numPr>
        <w:spacing w:line="360" w:lineRule="auto"/>
        <w:ind w:firstLine="420" w:firstLineChars="200"/>
        <w:rPr>
          <w:rFonts w:hint="default"/>
          <w:color w:val="auto"/>
          <w:highlight w:val="none"/>
          <w:lang w:val="en-US" w:eastAsia="zh-CN"/>
        </w:rPr>
      </w:pPr>
    </w:p>
    <w:p>
      <w:pPr>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3.2环境条件</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环境温度范围：-10℃~+70℃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w:t>
      </w:r>
      <w:r>
        <w:rPr>
          <w:rFonts w:hint="eastAsia" w:ascii="宋体" w:hAnsi="宋体" w:eastAsia="宋体" w:cs="宋体"/>
          <w:sz w:val="24"/>
          <w:szCs w:val="24"/>
        </w:rPr>
        <w:t>环境温度最大变化率：1℃/min</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vertAlign w:val="superscript"/>
        </w:rPr>
      </w:pPr>
      <w:r>
        <w:rPr>
          <w:rFonts w:hint="eastAsia" w:ascii="宋体" w:hAnsi="宋体" w:eastAsia="宋体" w:cs="宋体"/>
          <w:sz w:val="24"/>
          <w:szCs w:val="24"/>
          <w:lang w:val="en-US" w:eastAsia="zh-CN"/>
        </w:rPr>
        <w:t>3、</w:t>
      </w:r>
      <w:r>
        <w:rPr>
          <w:rFonts w:hint="eastAsia" w:ascii="宋体" w:hAnsi="宋体" w:eastAsia="宋体" w:cs="宋体"/>
          <w:sz w:val="24"/>
          <w:szCs w:val="24"/>
        </w:rPr>
        <w:t>湿度：5%~100%</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vertAlign w:val="superscript"/>
        </w:rPr>
      </w:pPr>
      <w:r>
        <w:rPr>
          <w:rFonts w:hint="eastAsia" w:ascii="宋体" w:hAnsi="宋体" w:eastAsia="宋体" w:cs="宋体"/>
          <w:sz w:val="24"/>
          <w:szCs w:val="24"/>
          <w:lang w:val="en-US" w:eastAsia="zh-CN"/>
        </w:rPr>
        <w:t>4、</w:t>
      </w:r>
      <w:r>
        <w:rPr>
          <w:rFonts w:hint="eastAsia" w:ascii="宋体" w:hAnsi="宋体" w:eastAsia="宋体" w:cs="宋体"/>
          <w:sz w:val="24"/>
          <w:szCs w:val="24"/>
        </w:rPr>
        <w:t>最大绝对湿度：35g/m</w:t>
      </w:r>
      <w:r>
        <w:rPr>
          <w:rFonts w:hint="eastAsia" w:ascii="宋体" w:hAnsi="宋体" w:eastAsia="宋体" w:cs="宋体"/>
          <w:sz w:val="24"/>
          <w:szCs w:val="24"/>
          <w:vertAlign w:val="superscript"/>
        </w:rPr>
        <w:t>3</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w:t>
      </w:r>
      <w:r>
        <w:rPr>
          <w:rFonts w:hint="eastAsia" w:ascii="宋体" w:hAnsi="宋体" w:eastAsia="宋体" w:cs="宋体"/>
          <w:sz w:val="24"/>
          <w:szCs w:val="24"/>
        </w:rPr>
        <w:t>大气压力：70~106kPa</w:t>
      </w:r>
    </w:p>
    <w:p>
      <w:pPr>
        <w:rPr>
          <w:rFonts w:hint="default"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3.3系统功能要求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1、非法开启远程监控功能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2、NB-IOT网络远程开启功能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3、状态定时自动上报功能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4、机械应急开启功能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5、近距离蓝牙开启功能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6、状态监测功能</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3.4</w:t>
      </w:r>
      <w:r>
        <w:rPr>
          <w:rFonts w:hint="eastAsia" w:ascii="宋体" w:hAnsi="宋体" w:eastAsia="宋体" w:cs="宋体"/>
          <w:b w:val="0"/>
          <w:bCs w:val="0"/>
          <w:color w:val="auto"/>
          <w:sz w:val="24"/>
          <w:szCs w:val="24"/>
          <w:highlight w:val="none"/>
        </w:rPr>
        <w:t>主要技术参数</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3.4.1、尺寸要求</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一种多功能防外破的太阳能取电电缆井盖尺寸可定制，推荐尺寸如下表1，盖板分层设计，上层主要可容纳太阳能取电装置，位置预留在线监控装置信号传输通讯天线，可选配添加摄像头位置，有太阳能储能电池供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表1.太阳能取电电缆井盖推荐尺寸及要求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04"/>
        <w:gridCol w:w="1704"/>
        <w:gridCol w:w="1704"/>
        <w:gridCol w:w="1704"/>
        <w:gridCol w:w="170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8520" w:type="dxa"/>
            <w:gridSpan w:val="5"/>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lang w:val="en-US" w:eastAsia="zh-CN"/>
              </w:rPr>
              <w:t>太阳能取电电缆井盖推荐尺寸，</w:t>
            </w:r>
            <w:r>
              <w:rPr>
                <w:rFonts w:hint="eastAsia" w:ascii="宋体" w:hAnsi="宋体" w:eastAsia="宋体" w:cs="宋体"/>
                <w:b/>
                <w:bCs/>
                <w:sz w:val="24"/>
                <w:szCs w:val="24"/>
                <w:u w:val="none"/>
                <w:lang w:val="en-US" w:eastAsia="zh-CN"/>
              </w:rPr>
              <w:t>实际尺寸现场量取定制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编号</w:t>
            </w:r>
          </w:p>
        </w:tc>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长度mm</w:t>
            </w:r>
          </w:p>
        </w:tc>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宽度mm</w:t>
            </w:r>
          </w:p>
        </w:tc>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厚度mm</w:t>
            </w:r>
          </w:p>
        </w:tc>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盖板配筋强度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GB-1</w:t>
            </w:r>
          </w:p>
        </w:tc>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1580</w:t>
            </w:r>
          </w:p>
        </w:tc>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300</w:t>
            </w:r>
          </w:p>
        </w:tc>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100</w:t>
            </w:r>
          </w:p>
        </w:tc>
        <w:tc>
          <w:tcPr>
            <w:tcW w:w="1704" w:type="dxa"/>
            <w:vMerge w:val="restart"/>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人行道盖板，满足电动车行驶经过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trPr>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GB-2</w:t>
            </w:r>
          </w:p>
        </w:tc>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1200</w:t>
            </w:r>
          </w:p>
        </w:tc>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300</w:t>
            </w:r>
          </w:p>
        </w:tc>
        <w:tc>
          <w:tcPr>
            <w:tcW w:w="170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100</w:t>
            </w:r>
          </w:p>
        </w:tc>
        <w:tc>
          <w:tcPr>
            <w:tcW w:w="1704" w:type="dxa"/>
            <w:vMerge w:val="continue"/>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3.4.2、硬件技术参数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表2.硬件技术参数</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80"/>
        <w:gridCol w:w="4525"/>
        <w:gridCol w:w="18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18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项      目</w:t>
            </w:r>
          </w:p>
        </w:tc>
        <w:tc>
          <w:tcPr>
            <w:tcW w:w="45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招标人要求值</w:t>
            </w:r>
          </w:p>
        </w:tc>
        <w:tc>
          <w:tcPr>
            <w:tcW w:w="181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18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电子标签设计</w:t>
            </w:r>
          </w:p>
        </w:tc>
        <w:tc>
          <w:tcPr>
            <w:tcW w:w="45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低功耗设计：产品寿命达36个月以上</w:t>
            </w:r>
          </w:p>
        </w:tc>
        <w:tc>
          <w:tcPr>
            <w:tcW w:w="1814" w:type="dxa"/>
            <w:vAlign w:val="center"/>
          </w:tcPr>
          <w:p>
            <w:pPr>
              <w:topLinePunct/>
              <w:snapToGrid w:val="0"/>
              <w:spacing w:line="312"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18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优化天线设计</w:t>
            </w:r>
          </w:p>
        </w:tc>
        <w:tc>
          <w:tcPr>
            <w:tcW w:w="45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耐高温设计：工作环境温度-40℃~80℃</w:t>
            </w:r>
          </w:p>
        </w:tc>
        <w:tc>
          <w:tcPr>
            <w:tcW w:w="1814" w:type="dxa"/>
            <w:vAlign w:val="center"/>
          </w:tcPr>
          <w:p>
            <w:pPr>
              <w:topLinePunct/>
              <w:snapToGrid w:val="0"/>
              <w:spacing w:line="312"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18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24小时设备监测</w:t>
            </w:r>
          </w:p>
        </w:tc>
        <w:tc>
          <w:tcPr>
            <w:tcW w:w="45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防盐雾设计：符合GB/T10125-2012标准AASS试验</w:t>
            </w:r>
          </w:p>
        </w:tc>
        <w:tc>
          <w:tcPr>
            <w:tcW w:w="1814" w:type="dxa"/>
            <w:vAlign w:val="center"/>
          </w:tcPr>
          <w:p>
            <w:pPr>
              <w:topLinePunct/>
              <w:snapToGrid w:val="0"/>
              <w:spacing w:line="312"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18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支持多种通讯模块</w:t>
            </w:r>
          </w:p>
        </w:tc>
        <w:tc>
          <w:tcPr>
            <w:tcW w:w="45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外观专利：防摔抗震，承重能力大于210KN</w:t>
            </w:r>
          </w:p>
        </w:tc>
        <w:tc>
          <w:tcPr>
            <w:tcW w:w="1814" w:type="dxa"/>
            <w:vAlign w:val="center"/>
          </w:tcPr>
          <w:p>
            <w:pPr>
              <w:topLinePunct/>
              <w:snapToGrid w:val="0"/>
              <w:spacing w:line="312" w:lineRule="exact"/>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218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支持远程参数更新</w:t>
            </w:r>
          </w:p>
        </w:tc>
        <w:tc>
          <w:tcPr>
            <w:tcW w:w="452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防水防尘设计 IP68</w:t>
            </w:r>
          </w:p>
        </w:tc>
        <w:tc>
          <w:tcPr>
            <w:tcW w:w="181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3.4.3、振动监测模块参数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表3.振动监测模块参数</w:t>
      </w:r>
    </w:p>
    <w:tbl>
      <w:tblPr>
        <w:tblStyle w:val="8"/>
        <w:tblW w:w="8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71"/>
        <w:gridCol w:w="4547"/>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613" w:hRule="atLeast"/>
        </w:trPr>
        <w:tc>
          <w:tcPr>
            <w:tcW w:w="21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项      目</w:t>
            </w:r>
          </w:p>
        </w:tc>
        <w:tc>
          <w:tcPr>
            <w:tcW w:w="454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招标人要求值</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kern w:val="2"/>
                <w:sz w:val="24"/>
                <w:szCs w:val="24"/>
                <w:u w:val="none"/>
                <w:lang w:val="en-US" w:eastAsia="zh-CN" w:bidi="ar-SA"/>
              </w:rPr>
            </w:pPr>
            <w:r>
              <w:rPr>
                <w:rFonts w:hint="eastAsia" w:ascii="宋体" w:hAnsi="宋体" w:eastAsia="宋体" w:cs="宋体"/>
                <w:sz w:val="24"/>
                <w:szCs w:val="24"/>
                <w:lang w:val="en-US" w:eastAsia="zh-CN"/>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1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通信方式</w:t>
            </w:r>
          </w:p>
        </w:tc>
        <w:tc>
          <w:tcPr>
            <w:tcW w:w="454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通过中断触发方式，I2C接口进行通讯</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1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适用范围</w:t>
            </w:r>
          </w:p>
        </w:tc>
        <w:tc>
          <w:tcPr>
            <w:tcW w:w="454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使用所有防外损监测</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1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震动加速度量程</w:t>
            </w:r>
          </w:p>
        </w:tc>
        <w:tc>
          <w:tcPr>
            <w:tcW w:w="454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±2/±4/±8/±16 g</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1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振动频率范围</w:t>
            </w:r>
          </w:p>
        </w:tc>
        <w:tc>
          <w:tcPr>
            <w:tcW w:w="454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12.5HZ-6.66KHZ</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21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功耗等级</w:t>
            </w:r>
          </w:p>
        </w:tc>
        <w:tc>
          <w:tcPr>
            <w:tcW w:w="454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≤10uA</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3.4.4、电子锁参数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表4.电子锁参数</w:t>
      </w:r>
    </w:p>
    <w:tbl>
      <w:tblPr>
        <w:tblStyle w:val="8"/>
        <w:tblW w:w="8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71"/>
        <w:gridCol w:w="4758"/>
        <w:gridCol w:w="17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wAfter w:w="0" w:type="auto"/>
          <w:trHeight w:val="850" w:hRule="atLeast"/>
        </w:trPr>
        <w:tc>
          <w:tcPr>
            <w:tcW w:w="19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lang w:val="en-US" w:eastAsia="zh-CN"/>
              </w:rPr>
              <w:t>项      目</w:t>
            </w:r>
          </w:p>
        </w:tc>
        <w:tc>
          <w:tcPr>
            <w:tcW w:w="475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招标人要求值</w:t>
            </w:r>
          </w:p>
        </w:tc>
        <w:tc>
          <w:tcPr>
            <w:tcW w:w="17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kern w:val="2"/>
                <w:sz w:val="24"/>
                <w:szCs w:val="24"/>
                <w:u w:val="none"/>
                <w:lang w:val="en-US" w:eastAsia="zh-CN" w:bidi="ar-SA"/>
              </w:rPr>
            </w:pPr>
            <w:r>
              <w:rPr>
                <w:rFonts w:hint="eastAsia" w:ascii="宋体" w:hAnsi="宋体" w:eastAsia="宋体" w:cs="宋体"/>
                <w:sz w:val="24"/>
                <w:szCs w:val="24"/>
                <w:lang w:val="en-US" w:eastAsia="zh-CN"/>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耐腐蚀性能</w:t>
            </w:r>
          </w:p>
        </w:tc>
        <w:tc>
          <w:tcPr>
            <w:tcW w:w="475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锁体采用金属耐腐蚀材料，可满足GB/T 2423.17要求</w:t>
            </w:r>
          </w:p>
        </w:tc>
        <w:tc>
          <w:tcPr>
            <w:tcW w:w="17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授权功能</w:t>
            </w:r>
          </w:p>
        </w:tc>
        <w:tc>
          <w:tcPr>
            <w:tcW w:w="475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可通过电子钥匙对电子授权模块授权开锁，未经授权不可开启</w:t>
            </w:r>
          </w:p>
        </w:tc>
        <w:tc>
          <w:tcPr>
            <w:tcW w:w="17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防护等级</w:t>
            </w:r>
          </w:p>
        </w:tc>
        <w:tc>
          <w:tcPr>
            <w:tcW w:w="475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IP68</w:t>
            </w:r>
          </w:p>
        </w:tc>
        <w:tc>
          <w:tcPr>
            <w:tcW w:w="17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通信协议</w:t>
            </w:r>
          </w:p>
        </w:tc>
        <w:tc>
          <w:tcPr>
            <w:tcW w:w="475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标准TCP加密通信协议</w:t>
            </w:r>
          </w:p>
        </w:tc>
        <w:tc>
          <w:tcPr>
            <w:tcW w:w="17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应急开锁</w:t>
            </w:r>
          </w:p>
        </w:tc>
        <w:tc>
          <w:tcPr>
            <w:tcW w:w="475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应预留井下逃生紧急开锁方案</w:t>
            </w:r>
          </w:p>
        </w:tc>
        <w:tc>
          <w:tcPr>
            <w:tcW w:w="17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71"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开锁方式</w:t>
            </w:r>
          </w:p>
        </w:tc>
        <w:tc>
          <w:tcPr>
            <w:tcW w:w="4758"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可支持APP蓝牙开锁、远程开锁</w:t>
            </w:r>
          </w:p>
        </w:tc>
        <w:tc>
          <w:tcPr>
            <w:tcW w:w="179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3.4.5、异动监测模块参数</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表5.异动监测模块参数</w:t>
      </w:r>
    </w:p>
    <w:tbl>
      <w:tblPr>
        <w:tblStyle w:val="8"/>
        <w:tblW w:w="852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57"/>
        <w:gridCol w:w="4683"/>
        <w:gridCol w:w="18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5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lang w:val="en-US" w:eastAsia="zh-CN"/>
              </w:rPr>
              <w:t>项      目</w:t>
            </w:r>
          </w:p>
        </w:tc>
        <w:tc>
          <w:tcPr>
            <w:tcW w:w="468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招标人要求值</w:t>
            </w:r>
          </w:p>
        </w:tc>
        <w:tc>
          <w:tcPr>
            <w:tcW w:w="188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kern w:val="2"/>
                <w:sz w:val="24"/>
                <w:szCs w:val="24"/>
                <w:u w:val="none"/>
                <w:lang w:val="en-US" w:eastAsia="zh-CN" w:bidi="ar-SA"/>
              </w:rPr>
            </w:pPr>
            <w:r>
              <w:rPr>
                <w:rFonts w:hint="eastAsia" w:ascii="宋体" w:hAnsi="宋体" w:eastAsia="宋体" w:cs="宋体"/>
                <w:sz w:val="24"/>
                <w:szCs w:val="24"/>
                <w:lang w:val="en-US" w:eastAsia="zh-CN"/>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5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供电</w:t>
            </w:r>
          </w:p>
        </w:tc>
        <w:tc>
          <w:tcPr>
            <w:tcW w:w="468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vertAlign w:val="baseline"/>
                <w:lang w:val="en-US" w:eastAsia="zh-CN"/>
              </w:rPr>
              <w:t>内置电池</w:t>
            </w:r>
          </w:p>
        </w:tc>
        <w:tc>
          <w:tcPr>
            <w:tcW w:w="188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5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工作温度</w:t>
            </w:r>
          </w:p>
        </w:tc>
        <w:tc>
          <w:tcPr>
            <w:tcW w:w="468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耐高温设计：工作环境温度-40℃~80℃</w:t>
            </w:r>
          </w:p>
        </w:tc>
        <w:tc>
          <w:tcPr>
            <w:tcW w:w="188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5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测量轴</w:t>
            </w:r>
          </w:p>
        </w:tc>
        <w:tc>
          <w:tcPr>
            <w:tcW w:w="468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Z轴</w:t>
            </w:r>
          </w:p>
        </w:tc>
        <w:tc>
          <w:tcPr>
            <w:tcW w:w="188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57"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报警阀值</w:t>
            </w:r>
          </w:p>
        </w:tc>
        <w:tc>
          <w:tcPr>
            <w:tcW w:w="468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0~90°可设置</w:t>
            </w:r>
          </w:p>
        </w:tc>
        <w:tc>
          <w:tcPr>
            <w:tcW w:w="1883"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sz w:val="24"/>
                <w:szCs w:val="24"/>
                <w:vertAlign w:val="baseline"/>
                <w:lang w:val="en-US" w:eastAsia="zh-CN"/>
              </w:rPr>
            </w:pPr>
            <w:r>
              <w:rPr>
                <w:rFonts w:hint="eastAsia" w:ascii="宋体" w:hAnsi="宋体" w:eastAsia="宋体" w:cs="宋体"/>
                <w:color w:val="auto"/>
                <w:sz w:val="24"/>
                <w:szCs w:val="24"/>
                <w:highlight w:val="none"/>
              </w:rPr>
              <w:t>（投标人填写）</w:t>
            </w:r>
          </w:p>
        </w:tc>
      </w:tr>
    </w:tbl>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3.4.6、</w:t>
      </w:r>
      <w:r>
        <w:rPr>
          <w:rFonts w:hint="eastAsia" w:ascii="宋体" w:hAnsi="宋体" w:eastAsia="宋体" w:cs="宋体"/>
          <w:b w:val="0"/>
          <w:bCs w:val="0"/>
          <w:sz w:val="24"/>
          <w:szCs w:val="24"/>
          <w:u w:val="none"/>
          <w:lang w:val="en-US" w:eastAsia="zh-CN"/>
        </w:rPr>
        <w:t>太阳能板及储能电池</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太阳能取电电缆井盖仅安装至光线充足位置，人行道或绿地位置，防止被破坏碾压，可选配太阳能板上加装一层钢化玻璃。太储能电池考虑散热要求，设计外挂附着井盖底部，通过电线连接太阳能板取电及储能电池、储能电池设置控制模块，集成控制器逆变器，电源输出端口需满足在线监控装置功能使用。太阳能板及储能电池技术要求下表6；</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val="0"/>
          <w:bCs w:val="0"/>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val="0"/>
          <w:bCs w:val="0"/>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val="0"/>
          <w:bCs w:val="0"/>
          <w:sz w:val="24"/>
          <w:szCs w:val="24"/>
          <w:u w:val="none"/>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表6.太阳能板及储能电池技术要求</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64"/>
        <w:gridCol w:w="4690"/>
        <w:gridCol w:w="18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64"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kern w:val="2"/>
                <w:sz w:val="24"/>
                <w:szCs w:val="24"/>
                <w:vertAlign w:val="baseline"/>
                <w:lang w:val="en-US" w:eastAsia="zh-CN" w:bidi="ar-SA"/>
              </w:rPr>
            </w:pPr>
            <w:r>
              <w:rPr>
                <w:rFonts w:hint="eastAsia" w:ascii="宋体" w:hAnsi="宋体" w:eastAsia="宋体" w:cs="宋体"/>
                <w:sz w:val="24"/>
                <w:szCs w:val="24"/>
                <w:lang w:val="en-US" w:eastAsia="zh-CN"/>
              </w:rPr>
              <w:t>项      目</w:t>
            </w:r>
          </w:p>
        </w:tc>
        <w:tc>
          <w:tcPr>
            <w:tcW w:w="4690"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kern w:val="2"/>
                <w:sz w:val="24"/>
                <w:szCs w:val="24"/>
                <w:lang w:val="en-US" w:eastAsia="zh-CN" w:bidi="ar-SA"/>
              </w:rPr>
            </w:pPr>
            <w:r>
              <w:rPr>
                <w:rFonts w:hint="eastAsia" w:ascii="宋体" w:hAnsi="宋体" w:eastAsia="宋体" w:cs="宋体"/>
                <w:sz w:val="24"/>
                <w:szCs w:val="24"/>
                <w:lang w:val="en-US" w:eastAsia="zh-CN"/>
              </w:rPr>
              <w:t>招标人要求值</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kern w:val="2"/>
                <w:sz w:val="24"/>
                <w:szCs w:val="24"/>
                <w:u w:val="none"/>
                <w:lang w:val="en-US" w:eastAsia="zh-CN" w:bidi="ar-SA"/>
              </w:rPr>
            </w:pPr>
            <w:r>
              <w:rPr>
                <w:rFonts w:hint="eastAsia" w:ascii="宋体" w:hAnsi="宋体" w:eastAsia="宋体" w:cs="宋体"/>
                <w:sz w:val="24"/>
                <w:szCs w:val="24"/>
                <w:lang w:val="en-US" w:eastAsia="zh-CN"/>
              </w:rPr>
              <w:t>投标人保证值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6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峰值功率</w:t>
            </w:r>
          </w:p>
        </w:tc>
        <w:tc>
          <w:tcPr>
            <w:tcW w:w="469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≥200W</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6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功率差</w:t>
            </w:r>
          </w:p>
        </w:tc>
        <w:tc>
          <w:tcPr>
            <w:tcW w:w="469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±3%</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6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峰值电压</w:t>
            </w:r>
          </w:p>
        </w:tc>
        <w:tc>
          <w:tcPr>
            <w:tcW w:w="469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≥24V</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6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峰值</w:t>
            </w:r>
          </w:p>
        </w:tc>
        <w:tc>
          <w:tcPr>
            <w:tcW w:w="469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≥8.33A</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6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开路电压</w:t>
            </w:r>
          </w:p>
        </w:tc>
        <w:tc>
          <w:tcPr>
            <w:tcW w:w="469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43.2V</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6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短路电流</w:t>
            </w:r>
          </w:p>
        </w:tc>
        <w:tc>
          <w:tcPr>
            <w:tcW w:w="469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9.16A</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6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防护等级</w:t>
            </w:r>
          </w:p>
        </w:tc>
        <w:tc>
          <w:tcPr>
            <w:tcW w:w="469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TP65</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6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电池额定容量</w:t>
            </w:r>
          </w:p>
        </w:tc>
        <w:tc>
          <w:tcPr>
            <w:tcW w:w="469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200Ah</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6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循环充电次数</w:t>
            </w:r>
          </w:p>
        </w:tc>
        <w:tc>
          <w:tcPr>
            <w:tcW w:w="469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5000+次</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color w:val="auto"/>
                <w:sz w:val="24"/>
                <w:szCs w:val="24"/>
                <w:highlight w:val="none"/>
              </w:rPr>
              <w:t>（投标人填写）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trPr>
        <w:tc>
          <w:tcPr>
            <w:tcW w:w="196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端口</w:t>
            </w:r>
          </w:p>
        </w:tc>
        <w:tc>
          <w:tcPr>
            <w:tcW w:w="469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b w:val="0"/>
                <w:bCs w:val="0"/>
                <w:sz w:val="24"/>
                <w:szCs w:val="24"/>
                <w:u w:val="none"/>
                <w:vertAlign w:val="baseline"/>
                <w:lang w:val="en-US" w:eastAsia="zh-CN"/>
              </w:rPr>
              <w:t>可满足在线监测装置取电</w:t>
            </w:r>
          </w:p>
        </w:tc>
        <w:tc>
          <w:tcPr>
            <w:tcW w:w="1805" w:type="dxa"/>
            <w:vAlign w:val="center"/>
          </w:tcPr>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0" w:firstLineChars="0"/>
              <w:jc w:val="center"/>
              <w:textAlignment w:val="auto"/>
              <w:rPr>
                <w:rFonts w:hint="eastAsia" w:ascii="宋体" w:hAnsi="宋体" w:eastAsia="宋体" w:cs="宋体"/>
                <w:b w:val="0"/>
                <w:bCs w:val="0"/>
                <w:sz w:val="24"/>
                <w:szCs w:val="24"/>
                <w:u w:val="none"/>
                <w:vertAlign w:val="baseline"/>
                <w:lang w:val="en-US" w:eastAsia="zh-CN"/>
              </w:rPr>
            </w:pPr>
            <w:r>
              <w:rPr>
                <w:rFonts w:hint="eastAsia" w:ascii="宋体" w:hAnsi="宋体" w:eastAsia="宋体" w:cs="宋体"/>
                <w:color w:val="auto"/>
                <w:sz w:val="24"/>
                <w:szCs w:val="24"/>
                <w:highlight w:val="none"/>
              </w:rPr>
              <w:t>（投标人填写）</w:t>
            </w:r>
          </w:p>
        </w:tc>
      </w:tr>
    </w:tbl>
    <w:p>
      <w:pPr>
        <w:pStyle w:val="6"/>
        <w:jc w:val="left"/>
        <w:rPr>
          <w:rFonts w:hint="eastAsia"/>
          <w:color w:val="auto"/>
          <w:highlight w:val="none"/>
          <w:lang w:val="en-US" w:eastAsia="zh-CN"/>
        </w:rPr>
      </w:pPr>
    </w:p>
    <w:p>
      <w:pPr>
        <w:spacing w:line="360" w:lineRule="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四. 供货范围</w:t>
      </w:r>
    </w:p>
    <w:p>
      <w:pPr>
        <w:spacing w:line="360" w:lineRule="auto"/>
        <w:jc w:val="center"/>
        <w:rPr>
          <w:rFonts w:hint="eastAsia" w:ascii="宋体" w:hAnsi="宋体" w:eastAsia="宋体" w:cs="宋体"/>
          <w:color w:val="auto"/>
          <w:sz w:val="24"/>
          <w:szCs w:val="24"/>
          <w:highlight w:val="none"/>
        </w:rPr>
      </w:pPr>
      <w:bookmarkStart w:id="1" w:name="_Toc119430930"/>
      <w:bookmarkStart w:id="2" w:name="OLE_LINK5"/>
      <w:r>
        <w:rPr>
          <w:rFonts w:hint="eastAsia" w:ascii="宋体" w:hAnsi="宋体" w:eastAsia="宋体" w:cs="宋体"/>
          <w:color w:val="auto"/>
          <w:sz w:val="24"/>
          <w:szCs w:val="24"/>
          <w:highlight w:val="none"/>
        </w:rPr>
        <w:t>表</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sz w:val="24"/>
          <w:szCs w:val="24"/>
          <w:lang w:val="en-US" w:eastAsia="zh-CN"/>
        </w:rPr>
        <w:t>一种多功能防外破的太阳能取电电缆井盖</w:t>
      </w:r>
      <w:r>
        <w:rPr>
          <w:rFonts w:hint="eastAsia" w:ascii="宋体" w:hAnsi="宋体" w:eastAsia="宋体" w:cs="宋体"/>
          <w:color w:val="auto"/>
          <w:sz w:val="24"/>
          <w:szCs w:val="24"/>
          <w:highlight w:val="none"/>
        </w:rPr>
        <w:t>供货清单</w:t>
      </w:r>
    </w:p>
    <w:bookmarkEnd w:id="1"/>
    <w:bookmarkEnd w:id="2"/>
    <w:tbl>
      <w:tblPr>
        <w:tblStyle w:val="7"/>
        <w:tblW w:w="83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15"/>
        <w:gridCol w:w="3274"/>
        <w:gridCol w:w="1282"/>
        <w:gridCol w:w="1309"/>
        <w:gridCol w:w="18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trPr>
        <w:tc>
          <w:tcPr>
            <w:tcW w:w="715" w:type="dxa"/>
            <w:noWrap w:val="0"/>
            <w:tcMar>
              <w:top w:w="20" w:type="dxa"/>
              <w:left w:w="20" w:type="dxa"/>
              <w:bottom w:w="0" w:type="dxa"/>
              <w:right w:w="20"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74" w:type="dxa"/>
            <w:noWrap w:val="0"/>
            <w:tcMar>
              <w:top w:w="20" w:type="dxa"/>
              <w:left w:w="20" w:type="dxa"/>
              <w:bottom w:w="0" w:type="dxa"/>
              <w:right w:w="20"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设备名称</w:t>
            </w:r>
          </w:p>
        </w:tc>
        <w:tc>
          <w:tcPr>
            <w:tcW w:w="1282" w:type="dxa"/>
            <w:noWrap w:val="0"/>
            <w:tcMar>
              <w:top w:w="20" w:type="dxa"/>
              <w:left w:w="20" w:type="dxa"/>
              <w:bottom w:w="0" w:type="dxa"/>
              <w:right w:w="20"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w:t>
            </w:r>
          </w:p>
        </w:tc>
        <w:tc>
          <w:tcPr>
            <w:tcW w:w="1309" w:type="dxa"/>
            <w:noWrap w:val="0"/>
            <w:tcMar>
              <w:top w:w="20" w:type="dxa"/>
              <w:left w:w="20" w:type="dxa"/>
              <w:bottom w:w="0" w:type="dxa"/>
              <w:right w:w="20"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800" w:type="dxa"/>
            <w:noWrap w:val="0"/>
            <w:tcMar>
              <w:top w:w="20" w:type="dxa"/>
              <w:left w:w="20" w:type="dxa"/>
              <w:bottom w:w="0" w:type="dxa"/>
              <w:right w:w="20"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50" w:hRule="atLeast"/>
        </w:trPr>
        <w:tc>
          <w:tcPr>
            <w:tcW w:w="715" w:type="dxa"/>
            <w:noWrap w:val="0"/>
            <w:tcMar>
              <w:top w:w="20" w:type="dxa"/>
              <w:left w:w="20" w:type="dxa"/>
              <w:bottom w:w="0" w:type="dxa"/>
              <w:right w:w="20" w:type="dxa"/>
            </w:tcMar>
            <w:vAlign w:val="center"/>
          </w:tcPr>
          <w:p>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3274" w:type="dxa"/>
            <w:noWrap w:val="0"/>
            <w:tcMar>
              <w:top w:w="20" w:type="dxa"/>
              <w:left w:w="20" w:type="dxa"/>
              <w:bottom w:w="0" w:type="dxa"/>
              <w:right w:w="20" w:type="dxa"/>
            </w:tcMar>
            <w:vAlign w:val="center"/>
          </w:tcPr>
          <w:p>
            <w:pPr>
              <w:topLinePunct/>
              <w:snapToGrid w:val="0"/>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sz w:val="24"/>
                <w:szCs w:val="24"/>
                <w:lang w:val="en-US" w:eastAsia="zh-CN"/>
              </w:rPr>
              <w:t>一种多功能防外破的太阳能取电电缆井盖</w:t>
            </w:r>
          </w:p>
        </w:tc>
        <w:tc>
          <w:tcPr>
            <w:tcW w:w="1282" w:type="dxa"/>
            <w:noWrap w:val="0"/>
            <w:tcMar>
              <w:top w:w="20" w:type="dxa"/>
              <w:left w:w="20" w:type="dxa"/>
              <w:bottom w:w="0" w:type="dxa"/>
              <w:right w:w="20" w:type="dxa"/>
            </w:tcMar>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件</w:t>
            </w:r>
          </w:p>
        </w:tc>
        <w:tc>
          <w:tcPr>
            <w:tcW w:w="1309" w:type="dxa"/>
            <w:noWrap w:val="0"/>
            <w:tcMar>
              <w:top w:w="20" w:type="dxa"/>
              <w:left w:w="20" w:type="dxa"/>
              <w:bottom w:w="0" w:type="dxa"/>
              <w:right w:w="20" w:type="dxa"/>
            </w:tcMar>
            <w:vAlign w:val="center"/>
          </w:tcPr>
          <w:p>
            <w:pPr>
              <w:spacing w:line="360" w:lineRule="auto"/>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p>
        </w:tc>
        <w:tc>
          <w:tcPr>
            <w:tcW w:w="1800" w:type="dxa"/>
            <w:noWrap w:val="0"/>
            <w:vAlign w:val="center"/>
          </w:tcPr>
          <w:p>
            <w:pPr>
              <w:spacing w:line="360" w:lineRule="auto"/>
              <w:jc w:val="center"/>
              <w:rPr>
                <w:rFonts w:hint="eastAsia" w:ascii="宋体" w:hAnsi="宋体" w:eastAsia="宋体" w:cs="宋体"/>
                <w:color w:val="auto"/>
                <w:sz w:val="24"/>
                <w:szCs w:val="24"/>
                <w:highlight w:val="none"/>
              </w:rPr>
            </w:pPr>
          </w:p>
        </w:tc>
      </w:tr>
    </w:tbl>
    <w:p>
      <w:pPr>
        <w:spacing w:line="360" w:lineRule="auto"/>
        <w:rPr>
          <w:rFonts w:hint="eastAsia" w:ascii="宋体" w:hAnsi="宋体" w:eastAsia="宋体" w:cs="宋体"/>
          <w:b/>
          <w:bCs/>
          <w:sz w:val="24"/>
          <w:szCs w:val="24"/>
          <w:u w:val="none"/>
          <w:lang w:val="en-US" w:eastAsia="zh-CN"/>
        </w:rPr>
      </w:pPr>
      <w:r>
        <w:rPr>
          <w:rFonts w:hint="eastAsia" w:ascii="宋体" w:hAnsi="宋体" w:eastAsia="宋体" w:cs="宋体"/>
          <w:b/>
          <w:bCs/>
          <w:sz w:val="24"/>
          <w:szCs w:val="24"/>
          <w:u w:val="none"/>
          <w:lang w:val="en-US" w:eastAsia="zh-CN"/>
        </w:rPr>
        <w:t>五、试验要求</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成品需满足出厂试验要求，满足承重试验，气密性和渗水试验报告。</w:t>
      </w:r>
    </w:p>
    <w:p>
      <w:pPr>
        <w:spacing w:line="360" w:lineRule="auto"/>
        <w:rPr>
          <w:rFonts w:hint="eastAsia" w:ascii="宋体" w:hAnsi="宋体" w:eastAsia="宋体" w:cs="宋体"/>
          <w:b/>
          <w:bCs/>
          <w:sz w:val="24"/>
          <w:szCs w:val="24"/>
          <w:u w:val="none"/>
          <w:lang w:val="en-US" w:eastAsia="zh-CN"/>
        </w:rPr>
      </w:pPr>
      <w:bookmarkStart w:id="3" w:name="_Toc367709681"/>
      <w:bookmarkStart w:id="4" w:name="_Toc490650489"/>
      <w:bookmarkStart w:id="5" w:name="_Toc450578894"/>
      <w:r>
        <w:rPr>
          <w:rFonts w:hint="eastAsia" w:ascii="宋体" w:hAnsi="宋体" w:eastAsia="宋体" w:cs="宋体"/>
          <w:b/>
          <w:bCs/>
          <w:sz w:val="24"/>
          <w:szCs w:val="24"/>
          <w:u w:val="none"/>
          <w:lang w:val="en-US" w:eastAsia="zh-CN"/>
        </w:rPr>
        <w:t>六、售后服务</w:t>
      </w:r>
      <w:bookmarkEnd w:id="3"/>
      <w:bookmarkEnd w:id="4"/>
      <w:bookmarkEnd w:id="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1、供</w:t>
      </w:r>
      <w:r>
        <w:rPr>
          <w:rFonts w:hint="eastAsia" w:ascii="宋体" w:hAnsi="宋体" w:eastAsia="宋体" w:cs="宋体"/>
          <w:b w:val="0"/>
          <w:bCs w:val="0"/>
          <w:sz w:val="24"/>
          <w:szCs w:val="24"/>
          <w:u w:val="none"/>
          <w:lang w:val="en-US" w:eastAsia="zh-CN"/>
        </w:rPr>
        <w:t>方须按需方实际安装要求派遣足够的且有工程经验的技术人员到现场进行技术服务，指导安装、调试和试运行，并负责安装调试、试运行中发现的制造质量</w:t>
      </w:r>
      <w:r>
        <w:rPr>
          <w:rFonts w:hint="eastAsia" w:ascii="宋体" w:hAnsi="宋体" w:eastAsia="宋体" w:cs="宋体"/>
          <w:b w:val="0"/>
          <w:bCs w:val="0"/>
          <w:sz w:val="24"/>
          <w:szCs w:val="24"/>
          <w:u w:val="none"/>
          <w:lang w:val="en-US" w:eastAsia="zh-CN"/>
        </w:rPr>
        <w:t>及性能等方面的有关问题，详细解答供货产品范围内买方提出的问</w:t>
      </w:r>
      <w:r>
        <w:rPr>
          <w:rFonts w:hint="eastAsia" w:ascii="宋体" w:hAnsi="宋体" w:eastAsia="宋体" w:cs="宋体"/>
          <w:b w:val="0"/>
          <w:bCs w:val="0"/>
          <w:sz w:val="24"/>
          <w:szCs w:val="24"/>
          <w:u w:val="none"/>
          <w:lang w:val="en-US" w:eastAsia="zh-CN"/>
        </w:rPr>
        <w:t>题。</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2、产品质保期为2年，保质期内配件或设备损坏，由卖方负责免费修理或更换。超过保质期有配件或设备损坏，卖方有优先提供配件和修理的义务；</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3、售后服务响应时间：不超过12小时，如紧急事件需到达现场应在24小时内到达现场，并立即进行处理。</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4、技术支持保证：加强维护工作与设备预检预修，提供10×365天×24小时的技术支持服务，包括设备使用状态、故障处理和远程支持。</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5、投诉处理保证：承诺在收到有关设备质量、服务质量或技术支持质量的投诉后立即作出反应，派专人赶赴现场处理，并向使用方提交有关处理报告。</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宋体" w:hAnsi="宋体" w:eastAsia="宋体" w:cs="宋体"/>
          <w:b w:val="0"/>
          <w:bCs w:val="0"/>
          <w:sz w:val="24"/>
          <w:szCs w:val="24"/>
          <w:u w:val="none"/>
          <w:lang w:val="en-US" w:eastAsia="zh-CN"/>
        </w:rPr>
      </w:pPr>
      <w:r>
        <w:rPr>
          <w:rFonts w:hint="eastAsia" w:ascii="宋体" w:hAnsi="宋体" w:eastAsia="宋体" w:cs="宋体"/>
          <w:b w:val="0"/>
          <w:bCs w:val="0"/>
          <w:sz w:val="24"/>
          <w:szCs w:val="24"/>
          <w:u w:val="none"/>
          <w:lang w:val="en-US" w:eastAsia="zh-CN"/>
        </w:rPr>
        <w:t>6、供方应负责供货产品有关的培训工作。</w:t>
      </w:r>
    </w:p>
    <w:p>
      <w:pPr>
        <w:numPr>
          <w:ilvl w:val="0"/>
          <w:numId w:val="0"/>
        </w:numPr>
        <w:rPr>
          <w:rFonts w:hint="eastAsia" w:ascii="宋体" w:hAnsi="宋体" w:eastAsia="宋体" w:cs="宋体"/>
          <w:lang w:val="en-US" w:eastAsia="zh-CN"/>
        </w:rPr>
      </w:pPr>
      <w:bookmarkStart w:id="6" w:name="_GoBack"/>
      <w:bookmarkEnd w:id="6"/>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auto"/>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 w:name="Arial Unicode MS">
    <w:altName w:val="Arial"/>
    <w:panose1 w:val="020B0604020202020204"/>
    <w:charset w:val="7A"/>
    <w:family w:val="swiss"/>
    <w:pitch w:val="default"/>
    <w:sig w:usb0="00000000" w:usb1="00000000" w:usb2="0000003F" w:usb3="00000000" w:csb0="603F01FF" w:csb1="FFFF0000"/>
  </w:font>
  <w:font w:name="EU-F1">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F0CB2"/>
    <w:multiLevelType w:val="singleLevel"/>
    <w:tmpl w:val="085F0CB2"/>
    <w:lvl w:ilvl="0" w:tentative="0">
      <w:start w:val="3"/>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NkZWJmOTVmYjZlNTgxNTgxMmJjYTJkYmNjMjYzYWMifQ=="/>
    <w:docVar w:name="KSO_WPS_MARK_KEY" w:val="e8552729-bd62-4f3e-9a4b-3195d904e188"/>
  </w:docVars>
  <w:rsids>
    <w:rsidRoot w:val="1C092469"/>
    <w:rsid w:val="1C092469"/>
    <w:rsid w:val="1ED10455"/>
    <w:rsid w:val="26D870C8"/>
    <w:rsid w:val="270C6E38"/>
    <w:rsid w:val="2E7339C7"/>
    <w:rsid w:val="364F4412"/>
    <w:rsid w:val="37C130EE"/>
    <w:rsid w:val="37FF0F7D"/>
    <w:rsid w:val="3BE30717"/>
    <w:rsid w:val="3DE75397"/>
    <w:rsid w:val="4E626DEF"/>
    <w:rsid w:val="52BE7E0B"/>
    <w:rsid w:val="554C1676"/>
    <w:rsid w:val="64104091"/>
    <w:rsid w:val="652F3602"/>
    <w:rsid w:val="6B125A53"/>
    <w:rsid w:val="6CCE0375"/>
    <w:rsid w:val="6F5C629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unhideWhenUsed/>
    <w:qFormat/>
    <w:uiPriority w:val="0"/>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9">
    <w:name w:val="Default Paragraph Font"/>
    <w:semiHidden/>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3">
    <w:name w:val="Plain Text"/>
    <w:basedOn w:val="1"/>
    <w:uiPriority w:val="0"/>
    <w:rPr>
      <w:rFonts w:ascii="宋体" w:hAnsi="Courier New" w:eastAsia="宋体" w:cs="Times New Roman"/>
    </w:rPr>
  </w:style>
  <w:style w:type="paragraph" w:styleId="4">
    <w:name w:val="footer"/>
    <w:basedOn w:val="1"/>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6">
    <w:name w:val="Title"/>
    <w:basedOn w:val="1"/>
    <w:uiPriority w:val="0"/>
    <w:pPr>
      <w:spacing w:before="240" w:after="60"/>
      <w:jc w:val="center"/>
      <w:outlineLvl w:val="0"/>
    </w:pPr>
    <w:rPr>
      <w:rFonts w:ascii="Arial" w:hAnsi="Arial" w:eastAsia="宋体" w:cs="Arial"/>
      <w:b/>
      <w:bCs/>
      <w:sz w:val="32"/>
      <w:szCs w:val="32"/>
    </w:rPr>
  </w:style>
  <w:style w:type="table" w:styleId="8">
    <w:name w:val="Table Grid"/>
    <w:basedOn w:val="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3z"/>
    <w:basedOn w:val="1"/>
    <w:uiPriority w:val="0"/>
    <w:pPr>
      <w:topLinePunct/>
      <w:spacing w:line="312" w:lineRule="exact"/>
    </w:pPr>
    <w:rPr>
      <w:rFonts w:ascii="EU-F1" w:hAnsi="Times New Roman" w:eastAsia="黑体" w:cs="Times New Roman"/>
      <w:kern w:val="0"/>
      <w:sz w:val="2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1862</Words>
  <Characters>2095</Characters>
  <Lines>0</Lines>
  <Paragraphs>0</Paragraphs>
  <TotalTime>29</TotalTime>
  <ScaleCrop>false</ScaleCrop>
  <LinksUpToDate>false</LinksUpToDate>
  <CharactersWithSpaces>2098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2024-07-06T01:11:00Z</dcterms:created>
  <dc:creator>活着</dc:creator>
  <cp:lastModifiedBy>9693F2DBCAC146A48EBCB932E514A6B2</cp:lastModifiedBy>
  <dcterms:modified xsi:type="dcterms:W3CDTF">2024-08-13T04:47:16Z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B6436090563E493EBB94CF5F62925D06</vt:lpwstr>
  </property>
</Properties>
</file>