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color w:val="auto"/>
          <w:sz w:val="44"/>
          <w:szCs w:val="44"/>
          <w:highlight w:val="none"/>
        </w:rPr>
      </w:pPr>
      <w:bookmarkStart w:id="0" w:name="_Toc371343937"/>
      <w:bookmarkStart w:id="1" w:name="_Toc371453819"/>
      <w:bookmarkStart w:id="2" w:name="_Toc371453820"/>
      <w:bookmarkStart w:id="3" w:name="_Toc274903054"/>
      <w:bookmarkStart w:id="4" w:name="_Toc371343936"/>
      <w:bookmarkStart w:id="5" w:name="_Toc339216642"/>
      <w:bookmarkStart w:id="6" w:name="_Toc244916004"/>
      <w:bookmarkStart w:id="7" w:name="_Toc323572795"/>
      <w:bookmarkStart w:id="8" w:name="_Toc274902993"/>
      <w:bookmarkStart w:id="9" w:name="_Toc339216643"/>
      <w:r>
        <w:rPr>
          <w:color w:val="auto"/>
        </w:rPr>
        <w:drawing>
          <wp:anchor distT="0" distB="0" distL="114300" distR="114300" simplePos="0" relativeHeight="251659264" behindDoc="1" locked="0" layoutInCell="1" allowOverlap="1">
            <wp:simplePos x="0" y="0"/>
            <wp:positionH relativeFrom="column">
              <wp:posOffset>-907415</wp:posOffset>
            </wp:positionH>
            <wp:positionV relativeFrom="paragraph">
              <wp:posOffset>-911860</wp:posOffset>
            </wp:positionV>
            <wp:extent cx="7886700" cy="10948035"/>
            <wp:effectExtent l="0" t="0" r="7620" b="9525"/>
            <wp:wrapNone/>
            <wp:docPr id="1" name="图片 2" descr="会议封面-空白-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会议封面-空白-A4"/>
                    <pic:cNvPicPr>
                      <a:picLocks noChangeAspect="1"/>
                    </pic:cNvPicPr>
                  </pic:nvPicPr>
                  <pic:blipFill>
                    <a:blip r:embed="rId10"/>
                    <a:stretch>
                      <a:fillRect/>
                    </a:stretch>
                  </pic:blipFill>
                  <pic:spPr>
                    <a:xfrm>
                      <a:off x="0" y="0"/>
                      <a:ext cx="7886700" cy="10948035"/>
                    </a:xfrm>
                    <a:prstGeom prst="rect">
                      <a:avLst/>
                    </a:prstGeom>
                    <a:noFill/>
                    <a:ln>
                      <a:noFill/>
                    </a:ln>
                  </pic:spPr>
                </pic:pic>
              </a:graphicData>
            </a:graphic>
          </wp:anchor>
        </w:drawing>
      </w: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lang w:eastAsia="zh-CN"/>
        </w:rPr>
      </w:pPr>
      <w:r>
        <w:rPr>
          <w:rFonts w:hint="eastAsia" w:eastAsia="黑体"/>
          <w:b/>
          <w:color w:val="auto"/>
          <w:sz w:val="48"/>
          <w:szCs w:val="48"/>
          <w:highlight w:val="none"/>
          <w:lang w:eastAsia="zh-CN"/>
        </w:rPr>
        <w:t>超高压大理局2024年金官站站外水源监测智联网系统研究项目（XZTZ）</w:t>
      </w:r>
    </w:p>
    <w:p>
      <w:pPr>
        <w:jc w:val="center"/>
        <w:rPr>
          <w:rFonts w:eastAsia="黑体"/>
          <w:b/>
          <w:color w:val="auto"/>
          <w:sz w:val="48"/>
          <w:szCs w:val="48"/>
          <w:highlight w:val="none"/>
        </w:rPr>
      </w:pPr>
      <w:r>
        <w:rPr>
          <w:rFonts w:hint="eastAsia" w:eastAsia="黑体"/>
          <w:b/>
          <w:color w:val="auto"/>
          <w:sz w:val="48"/>
          <w:szCs w:val="48"/>
          <w:highlight w:val="none"/>
        </w:rPr>
        <w:t>询价材料</w:t>
      </w:r>
    </w:p>
    <w:p>
      <w:pPr>
        <w:rPr>
          <w:rFonts w:ascii="黑体" w:hAnsi="黑体" w:eastAsia="黑体"/>
          <w:b/>
          <w:color w:val="auto"/>
          <w:sz w:val="32"/>
          <w:szCs w:val="32"/>
          <w:highlight w:val="none"/>
        </w:rPr>
      </w:pPr>
    </w:p>
    <w:p>
      <w:pPr>
        <w:jc w:val="center"/>
        <w:rPr>
          <w:rFonts w:ascii="黑体" w:hAnsi="黑体" w:eastAsia="黑体"/>
          <w:b/>
          <w:color w:val="auto"/>
          <w:sz w:val="32"/>
          <w:szCs w:val="32"/>
          <w:highlight w:val="none"/>
        </w:rPr>
      </w:pPr>
    </w:p>
    <w:p>
      <w:pPr>
        <w:spacing w:line="280" w:lineRule="exact"/>
        <w:jc w:val="center"/>
        <w:rPr>
          <w:rFonts w:ascii="黑体" w:hAnsi="黑体" w:eastAsia="黑体"/>
          <w:b/>
          <w:color w:val="auto"/>
          <w:sz w:val="30"/>
          <w:szCs w:val="30"/>
          <w:highlight w:val="none"/>
        </w:rPr>
      </w:pPr>
    </w:p>
    <w:p>
      <w:pPr>
        <w:spacing w:line="280" w:lineRule="exact"/>
        <w:jc w:val="center"/>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before="480" w:beforeLines="200" w:line="320" w:lineRule="exact"/>
        <w:jc w:val="both"/>
        <w:rPr>
          <w:rFonts w:hint="eastAsia" w:ascii="宋体" w:hAnsi="宋体" w:cs="宋体"/>
          <w:color w:val="auto"/>
          <w:sz w:val="30"/>
          <w:szCs w:val="30"/>
          <w:highlight w:val="none"/>
        </w:rPr>
      </w:pPr>
    </w:p>
    <w:p>
      <w:pPr>
        <w:spacing w:before="480" w:beforeLines="200" w:line="320" w:lineRule="exact"/>
        <w:jc w:val="center"/>
        <w:rPr>
          <w:rFonts w:hint="eastAsia"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t>超高压</w:t>
      </w:r>
      <w:r>
        <w:rPr>
          <w:rFonts w:hint="eastAsia" w:ascii="宋体" w:hAnsi="宋体" w:cs="宋体"/>
          <w:color w:val="auto"/>
          <w:sz w:val="30"/>
          <w:szCs w:val="30"/>
          <w:highlight w:val="none"/>
          <w:lang w:eastAsia="zh-CN"/>
        </w:rPr>
        <w:t>输电</w:t>
      </w:r>
      <w:r>
        <w:rPr>
          <w:rFonts w:hint="eastAsia" w:ascii="宋体" w:hAnsi="宋体" w:cs="宋体"/>
          <w:color w:val="auto"/>
          <w:sz w:val="30"/>
          <w:szCs w:val="30"/>
          <w:highlight w:val="none"/>
        </w:rPr>
        <w:t>公司大理局</w:t>
      </w:r>
      <w:r>
        <w:rPr>
          <w:rFonts w:hint="eastAsia" w:ascii="宋体" w:hAnsi="宋体" w:cs="宋体"/>
          <w:color w:val="auto"/>
          <w:sz w:val="30"/>
          <w:szCs w:val="30"/>
          <w:highlight w:val="none"/>
          <w:lang w:eastAsia="zh-CN"/>
        </w:rPr>
        <w:t>生产技术部</w:t>
      </w:r>
    </w:p>
    <w:p>
      <w:pPr>
        <w:spacing w:before="480" w:beforeLines="200" w:line="320" w:lineRule="exact"/>
        <w:jc w:val="center"/>
        <w:rPr>
          <w:rFonts w:ascii="仿宋_GB2312" w:eastAsia="仿宋_GB2312"/>
          <w:color w:val="auto"/>
          <w:szCs w:val="21"/>
          <w:highlight w:val="none"/>
        </w:rPr>
      </w:pPr>
      <w:r>
        <w:rPr>
          <w:rFonts w:hint="eastAsia" w:ascii="宋体" w:hAnsi="宋体" w:cs="宋体"/>
          <w:color w:val="auto"/>
          <w:sz w:val="30"/>
          <w:szCs w:val="30"/>
          <w:highlight w:val="none"/>
        </w:rPr>
        <w:t>202</w:t>
      </w:r>
      <w:r>
        <w:rPr>
          <w:rFonts w:hint="eastAsia" w:ascii="宋体" w:hAnsi="宋体" w:cs="宋体"/>
          <w:color w:val="auto"/>
          <w:sz w:val="30"/>
          <w:szCs w:val="30"/>
          <w:highlight w:val="none"/>
          <w:lang w:val="en-US" w:eastAsia="zh-CN"/>
        </w:rPr>
        <w:t>4</w:t>
      </w:r>
      <w:r>
        <w:rPr>
          <w:rFonts w:hint="eastAsia" w:ascii="宋体" w:hAnsi="宋体" w:cs="宋体"/>
          <w:color w:val="auto"/>
          <w:sz w:val="30"/>
          <w:szCs w:val="30"/>
          <w:highlight w:val="none"/>
        </w:rPr>
        <w:t>年</w:t>
      </w:r>
      <w:r>
        <w:rPr>
          <w:rFonts w:hint="eastAsia" w:ascii="宋体" w:hAnsi="宋体" w:cs="宋体"/>
          <w:color w:val="auto"/>
          <w:sz w:val="30"/>
          <w:szCs w:val="30"/>
          <w:highlight w:val="none"/>
          <w:lang w:val="en-US" w:eastAsia="zh-CN"/>
        </w:rPr>
        <w:t>07</w:t>
      </w:r>
      <w:r>
        <w:rPr>
          <w:rFonts w:hint="eastAsia" w:ascii="宋体" w:hAnsi="宋体" w:cs="宋体"/>
          <w:color w:val="auto"/>
          <w:sz w:val="30"/>
          <w:szCs w:val="30"/>
          <w:highlight w:val="none"/>
        </w:rPr>
        <w:t>月</w:t>
      </w:r>
    </w:p>
    <w:p>
      <w:pPr>
        <w:rPr>
          <w:rFonts w:ascii="宋体" w:hAnsi="宋体"/>
          <w:b/>
          <w:color w:val="auto"/>
          <w:sz w:val="24"/>
          <w:highlight w:val="none"/>
        </w:rPr>
        <w:sectPr>
          <w:headerReference r:id="rId3" w:type="default"/>
          <w:footerReference r:id="rId4" w:type="default"/>
          <w:pgSz w:w="11907" w:h="16839"/>
          <w:pgMar w:top="1417" w:right="1134" w:bottom="1134" w:left="1417" w:header="907" w:footer="1134" w:gutter="0"/>
          <w:cols w:space="720" w:num="1"/>
          <w:docGrid w:linePitch="312" w:charSpace="0"/>
        </w:sectPr>
      </w:pPr>
    </w:p>
    <w:bookmarkEnd w:id="0"/>
    <w:bookmarkEnd w:id="1"/>
    <w:bookmarkEnd w:id="2"/>
    <w:bookmarkEnd w:id="3"/>
    <w:bookmarkEnd w:id="4"/>
    <w:bookmarkEnd w:id="5"/>
    <w:bookmarkEnd w:id="6"/>
    <w:bookmarkEnd w:id="7"/>
    <w:bookmarkEnd w:id="8"/>
    <w:bookmarkEnd w:id="9"/>
    <w:p>
      <w:pPr>
        <w:numPr>
          <w:ilvl w:val="0"/>
          <w:numId w:val="0"/>
        </w:numPr>
        <w:adjustRightInd w:val="0"/>
        <w:snapToGrid w:val="0"/>
        <w:spacing w:line="360" w:lineRule="auto"/>
        <w:ind w:firstLine="482" w:firstLineChars="200"/>
        <w:rPr>
          <w:rFonts w:hint="eastAsia" w:ascii="宋体" w:hAnsi="宋体"/>
          <w:b/>
          <w:bCs/>
          <w:color w:val="auto"/>
          <w:sz w:val="24"/>
          <w:highlight w:val="none"/>
          <w:lang w:val="en-US" w:eastAsia="zh-CN"/>
        </w:rPr>
        <w:sectPr>
          <w:headerReference r:id="rId5" w:type="default"/>
          <w:footerReference r:id="rId6" w:type="default"/>
          <w:pgSz w:w="11906" w:h="16838"/>
          <w:pgMar w:top="1440" w:right="1800" w:bottom="1440" w:left="1800" w:header="851" w:footer="992" w:gutter="0"/>
          <w:pgNumType w:fmt="decimal" w:start="1"/>
          <w:cols w:space="720" w:num="1"/>
          <w:docGrid w:type="lines" w:linePitch="312" w:charSpace="0"/>
        </w:sectPr>
      </w:pPr>
      <w:bookmarkStart w:id="10" w:name="_Toc372699294"/>
      <w:bookmarkStart w:id="11" w:name="_Toc369269815"/>
      <w:bookmarkStart w:id="12" w:name="_Toc399839020"/>
      <w:bookmarkStart w:id="13" w:name="_Toc371153697"/>
      <w:bookmarkStart w:id="14" w:name="_Toc371344042"/>
    </w:p>
    <w:p>
      <w:pPr>
        <w:numPr>
          <w:ilvl w:val="0"/>
          <w:numId w:val="0"/>
        </w:num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1 </w:t>
      </w:r>
      <w:r>
        <w:rPr>
          <w:rFonts w:hint="eastAsia" w:ascii="宋体" w:hAnsi="宋体"/>
          <w:b/>
          <w:bCs/>
          <w:color w:val="auto"/>
          <w:sz w:val="24"/>
          <w:highlight w:val="none"/>
        </w:rPr>
        <w:t>项目名称</w:t>
      </w:r>
    </w:p>
    <w:p>
      <w:pPr>
        <w:numPr>
          <w:ilvl w:val="0"/>
          <w:numId w:val="0"/>
        </w:numPr>
        <w:adjustRightInd w:val="0"/>
        <w:snapToGrid w:val="0"/>
        <w:spacing w:line="360" w:lineRule="auto"/>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lang w:eastAsia="zh-CN"/>
        </w:rPr>
        <w:t>超高压大理局2024年金官站站外水源监测智联网系统研究项目（XZTZ）</w:t>
      </w:r>
    </w:p>
    <w:p>
      <w:pPr>
        <w:numPr>
          <w:ilvl w:val="0"/>
          <w:numId w:val="0"/>
        </w:num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2 </w:t>
      </w:r>
      <w:r>
        <w:rPr>
          <w:rFonts w:hint="eastAsia" w:ascii="宋体" w:hAnsi="宋体"/>
          <w:b/>
          <w:bCs/>
          <w:color w:val="auto"/>
          <w:sz w:val="24"/>
          <w:highlight w:val="none"/>
        </w:rPr>
        <w:t>项目需求内容</w:t>
      </w:r>
    </w:p>
    <w:p>
      <w:pPr>
        <w:adjustRightInd w:val="0"/>
        <w:snapToGrid w:val="0"/>
        <w:spacing w:line="360" w:lineRule="auto"/>
        <w:ind w:firstLine="480" w:firstLineChars="200"/>
        <w:rPr>
          <w:rFonts w:hint="default" w:ascii="宋体" w:hAnsi="宋体" w:eastAsia="宋体" w:cs="Times New Roman"/>
          <w:sz w:val="24"/>
          <w:lang w:val="en-US" w:eastAsia="zh-CN"/>
        </w:rPr>
      </w:pPr>
      <w:r>
        <w:rPr>
          <w:rFonts w:hint="eastAsia" w:ascii="宋体" w:hAnsi="宋体" w:eastAsia="宋体" w:cs="Times New Roman"/>
          <w:sz w:val="24"/>
          <w:lang w:val="en-US" w:eastAsia="zh-CN"/>
        </w:rPr>
        <w:t>换流站阀冷系统承担着对</w:t>
      </w:r>
      <w:r>
        <w:rPr>
          <w:rFonts w:hint="default" w:ascii="宋体" w:hAnsi="宋体" w:eastAsia="宋体" w:cs="Times New Roman"/>
          <w:sz w:val="24"/>
          <w:lang w:val="en-US" w:eastAsia="zh-CN"/>
        </w:rPr>
        <w:t>可控硅换流阀</w:t>
      </w:r>
      <w:r>
        <w:rPr>
          <w:rFonts w:hint="eastAsia" w:ascii="宋体" w:hAnsi="宋体" w:eastAsia="宋体" w:cs="Times New Roman"/>
          <w:sz w:val="24"/>
          <w:lang w:val="en-US" w:eastAsia="zh-CN"/>
        </w:rPr>
        <w:t>的</w:t>
      </w:r>
      <w:r>
        <w:rPr>
          <w:rFonts w:hint="default" w:ascii="宋体" w:hAnsi="宋体" w:eastAsia="宋体" w:cs="Times New Roman"/>
          <w:sz w:val="24"/>
          <w:lang w:val="en-US" w:eastAsia="zh-CN"/>
        </w:rPr>
        <w:t>发热元件</w:t>
      </w:r>
      <w:r>
        <w:rPr>
          <w:rFonts w:hint="eastAsia" w:ascii="宋体" w:hAnsi="宋体" w:eastAsia="宋体" w:cs="Times New Roman"/>
          <w:sz w:val="24"/>
          <w:lang w:val="en-US" w:eastAsia="zh-CN"/>
        </w:rPr>
        <w:t>持续进行冷却的重要角色，对站外水源的供给状态保持有效的监测和管控必不可少。目前金官站对站外水源的管控措施为每个交接班日电话问询水池管理员，该方法存在诸多弊端，如无法实现实时监测，完全依赖水池管理员的责任心，易导致生产信息外泄，无法预知水位异常下降，无法监测水温、水质等参数，存在较大的安全隐患，难以实现站外水源的有效监测和管控</w:t>
      </w:r>
      <w:r>
        <w:rPr>
          <w:rFonts w:hint="eastAsia" w:ascii="宋体" w:hAnsi="宋体" w:eastAsia="宋体" w:cs="Times New Roman"/>
          <w:sz w:val="24"/>
        </w:rPr>
        <w:t>。</w:t>
      </w:r>
    </w:p>
    <w:p>
      <w:pPr>
        <w:adjustRightInd w:val="0"/>
        <w:snapToGrid w:val="0"/>
        <w:spacing w:line="360" w:lineRule="auto"/>
        <w:ind w:firstLine="480" w:firstLineChars="200"/>
        <w:rPr>
          <w:rFonts w:ascii="宋体" w:hAnsi="宋体"/>
          <w:sz w:val="24"/>
        </w:rPr>
      </w:pPr>
      <w:r>
        <w:rPr>
          <w:rFonts w:hint="eastAsia" w:ascii="宋体" w:hAnsi="宋体"/>
          <w:sz w:val="24"/>
        </w:rPr>
        <w:t>本项目旨在承接网公司对于加快推进企业数字化转型的战略部署，利用可视化技术，通过智联网研制一套水位监测系统，用于站外水源的实时监测和管控，实现水位、水质和水温等参数的生态监测和预警，以及历史趋势的可视化分析，完成站外水源的数字化监控。</w:t>
      </w: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3</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技术要求</w:t>
      </w:r>
    </w:p>
    <w:p>
      <w:pPr>
        <w:adjustRightInd w:val="0"/>
        <w:snapToGrid w:val="0"/>
        <w:spacing w:line="360" w:lineRule="auto"/>
        <w:ind w:left="239" w:leftChars="114" w:firstLine="240" w:firstLineChars="100"/>
        <w:rPr>
          <w:rFonts w:hint="eastAsia" w:ascii="宋体" w:hAnsi="宋体"/>
          <w:color w:val="auto"/>
          <w:sz w:val="24"/>
          <w:highlight w:val="none"/>
        </w:rPr>
      </w:pPr>
      <w:r>
        <w:rPr>
          <w:rFonts w:hint="eastAsia" w:ascii="宋体" w:hAnsi="宋体"/>
          <w:color w:val="auto"/>
          <w:sz w:val="24"/>
          <w:highlight w:val="none"/>
          <w:lang w:val="en-US" w:eastAsia="zh-CN"/>
        </w:rPr>
        <w:t>3.1</w:t>
      </w:r>
      <w:r>
        <w:rPr>
          <w:rFonts w:hint="eastAsia" w:ascii="宋体" w:hAnsi="宋体"/>
          <w:color w:val="auto"/>
          <w:sz w:val="24"/>
          <w:highlight w:val="none"/>
        </w:rPr>
        <w:t>开发新型站外水源多参量融合传感器。实现站外水源水质、有毒物、水温、水位等关键参数的实时监测及上送。</w:t>
      </w:r>
    </w:p>
    <w:p>
      <w:pPr>
        <w:adjustRightInd w:val="0"/>
        <w:snapToGrid w:val="0"/>
        <w:spacing w:line="360" w:lineRule="auto"/>
        <w:ind w:left="239" w:leftChars="114" w:firstLine="240" w:firstLineChars="100"/>
        <w:rPr>
          <w:rFonts w:hint="eastAsia" w:ascii="宋体" w:hAnsi="宋体"/>
          <w:color w:val="auto"/>
          <w:sz w:val="24"/>
          <w:highlight w:val="none"/>
        </w:rPr>
      </w:pPr>
      <w:r>
        <w:rPr>
          <w:rFonts w:hint="eastAsia" w:ascii="宋体" w:hAnsi="宋体"/>
          <w:color w:val="auto"/>
          <w:sz w:val="24"/>
          <w:highlight w:val="none"/>
          <w:lang w:val="en-US" w:eastAsia="zh-CN"/>
        </w:rPr>
        <w:t>3.2</w:t>
      </w:r>
      <w:r>
        <w:rPr>
          <w:rFonts w:hint="eastAsia" w:ascii="宋体" w:hAnsi="宋体"/>
          <w:color w:val="auto"/>
          <w:sz w:val="24"/>
          <w:highlight w:val="none"/>
        </w:rPr>
        <w:t>搭建基于南网平台的物联网模型。依据通信协议，配置对应的物联网卡并调通与南网物联网平台的通信链路。</w:t>
      </w:r>
    </w:p>
    <w:p>
      <w:pPr>
        <w:adjustRightInd w:val="0"/>
        <w:snapToGrid w:val="0"/>
        <w:spacing w:line="360" w:lineRule="auto"/>
        <w:ind w:left="239" w:leftChars="114" w:firstLine="240" w:firstLineChars="100"/>
        <w:rPr>
          <w:rFonts w:hint="eastAsia" w:ascii="宋体" w:hAnsi="宋体"/>
          <w:color w:val="auto"/>
          <w:sz w:val="24"/>
          <w:highlight w:val="none"/>
        </w:rPr>
      </w:pPr>
      <w:r>
        <w:rPr>
          <w:rFonts w:hint="eastAsia" w:ascii="宋体" w:hAnsi="宋体"/>
          <w:color w:val="auto"/>
          <w:sz w:val="24"/>
          <w:highlight w:val="none"/>
          <w:lang w:val="en-US" w:eastAsia="zh-CN"/>
        </w:rPr>
        <w:t>3.3</w:t>
      </w:r>
      <w:r>
        <w:rPr>
          <w:rFonts w:hint="eastAsia" w:ascii="宋体" w:hAnsi="宋体"/>
          <w:color w:val="auto"/>
          <w:sz w:val="24"/>
          <w:highlight w:val="none"/>
        </w:rPr>
        <w:t>开展数据转化及上送。将物联网所采集到的数据，按照南网物联网模型要求进行转换，依据MQTT等协议将数据通过便携主机由物联网卡将数据上传至南网物联网平台。</w:t>
      </w:r>
    </w:p>
    <w:p>
      <w:pPr>
        <w:adjustRightInd w:val="0"/>
        <w:snapToGrid w:val="0"/>
        <w:spacing w:line="360" w:lineRule="auto"/>
        <w:ind w:left="239" w:leftChars="114" w:firstLine="240" w:firstLineChars="100"/>
        <w:rPr>
          <w:rFonts w:hint="eastAsia" w:ascii="宋体" w:hAnsi="宋体"/>
          <w:color w:val="auto"/>
          <w:sz w:val="24"/>
          <w:highlight w:val="none"/>
        </w:rPr>
      </w:pPr>
      <w:r>
        <w:rPr>
          <w:rFonts w:hint="eastAsia" w:ascii="宋体" w:hAnsi="宋体"/>
          <w:color w:val="auto"/>
          <w:sz w:val="24"/>
          <w:highlight w:val="none"/>
          <w:lang w:val="en-US" w:eastAsia="zh-CN"/>
        </w:rPr>
        <w:t>3.4</w:t>
      </w:r>
      <w:r>
        <w:rPr>
          <w:rFonts w:hint="eastAsia" w:ascii="宋体" w:hAnsi="宋体"/>
          <w:color w:val="auto"/>
          <w:sz w:val="24"/>
          <w:highlight w:val="none"/>
        </w:rPr>
        <w:t>开发基于南网中台的站外水源监测的专用服务组件。基于南网智瞰开发一个可以从中台读取数据的微应用，对数据进行可视化展示，应用百度echarts等专用报表工具，实现折线图、柱形图等趋势分析，超过定值发告警，并通过LSTM（长短期记忆网络）算法对图表进行分析，提前预测各参数的劣化趋势，对管理员进行预警。</w:t>
      </w:r>
    </w:p>
    <w:p>
      <w:pPr>
        <w:adjustRightInd w:val="0"/>
        <w:snapToGrid w:val="0"/>
        <w:spacing w:line="360" w:lineRule="auto"/>
        <w:ind w:left="239" w:leftChars="114" w:firstLine="240" w:firstLineChars="100"/>
        <w:rPr>
          <w:rFonts w:hint="eastAsia" w:ascii="宋体" w:hAnsi="宋体"/>
          <w:color w:val="auto"/>
          <w:sz w:val="24"/>
          <w:highlight w:val="none"/>
        </w:rPr>
      </w:pPr>
      <w:r>
        <w:rPr>
          <w:rFonts w:hint="eastAsia" w:ascii="宋体" w:hAnsi="宋体"/>
          <w:color w:val="auto"/>
          <w:sz w:val="24"/>
          <w:highlight w:val="none"/>
          <w:lang w:val="en-US" w:eastAsia="zh-CN"/>
        </w:rPr>
        <w:t>3.5</w:t>
      </w:r>
      <w:r>
        <w:rPr>
          <w:rFonts w:hint="eastAsia" w:ascii="宋体" w:hAnsi="宋体"/>
          <w:color w:val="auto"/>
          <w:sz w:val="24"/>
          <w:highlight w:val="none"/>
        </w:rPr>
        <w:t>开展RPA程序编写。通过时间间隔调度，如5分钟自动刷屏，判断数据是否超标，然后调取elink对运行人员发送告警信息，帮助运维人员及时响应，启动相应的应急预案。</w:t>
      </w:r>
    </w:p>
    <w:p>
      <w:pPr>
        <w:adjustRightInd w:val="0"/>
        <w:snapToGrid w:val="0"/>
        <w:spacing w:line="360" w:lineRule="auto"/>
        <w:ind w:left="239" w:leftChars="114" w:firstLine="240" w:firstLineChars="100"/>
        <w:rPr>
          <w:rFonts w:hint="eastAsia" w:ascii="宋体" w:hAnsi="宋体"/>
          <w:color w:val="auto"/>
          <w:sz w:val="24"/>
          <w:highlight w:val="none"/>
        </w:rPr>
      </w:pPr>
      <w:r>
        <w:rPr>
          <w:rFonts w:hint="eastAsia" w:ascii="宋体" w:hAnsi="宋体"/>
          <w:color w:val="auto"/>
          <w:sz w:val="24"/>
          <w:highlight w:val="none"/>
          <w:lang w:val="en-US" w:eastAsia="zh-CN"/>
        </w:rPr>
        <w:t>3.6</w:t>
      </w:r>
      <w:r>
        <w:rPr>
          <w:rFonts w:hint="eastAsia" w:ascii="宋体" w:hAnsi="宋体"/>
          <w:color w:val="auto"/>
          <w:sz w:val="24"/>
          <w:highlight w:val="none"/>
        </w:rPr>
        <w:t>交付成果：参与开发基于</w:t>
      </w:r>
      <w:r>
        <w:rPr>
          <w:rFonts w:hint="eastAsia" w:ascii="宋体" w:hAnsi="宋体"/>
          <w:color w:val="auto"/>
          <w:sz w:val="24"/>
          <w:highlight w:val="none"/>
          <w:lang w:val="en-US" w:eastAsia="zh-CN"/>
        </w:rPr>
        <w:t>智联网</w:t>
      </w:r>
      <w:r>
        <w:rPr>
          <w:rFonts w:hint="eastAsia" w:ascii="宋体" w:hAnsi="宋体"/>
          <w:color w:val="auto"/>
          <w:sz w:val="24"/>
          <w:highlight w:val="none"/>
        </w:rPr>
        <w:t>技术的金官站站外水源监测系统1套，配合开展技术创新总结提炼及保护相关工作。</w:t>
      </w: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4</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资质要求</w:t>
      </w:r>
    </w:p>
    <w:tbl>
      <w:tblPr>
        <w:tblStyle w:val="20"/>
        <w:tblW w:w="7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4</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6960" w:type="dxa"/>
            <w:vAlign w:val="center"/>
          </w:tcPr>
          <w:p>
            <w:pPr>
              <w:ind w:left="113" w:leftChars="0"/>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pPr>
              <w:ind w:left="113" w:leftChars="0"/>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ind w:left="113" w:leftChars="0"/>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pPr>
              <w:ind w:left="113" w:leftChars="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4</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6960" w:type="dxa"/>
            <w:vAlign w:val="center"/>
          </w:tcPr>
          <w:p>
            <w:pPr>
              <w:ind w:left="113" w:leftChars="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4</w:t>
            </w:r>
            <w:r>
              <w:rPr>
                <w:rFonts w:hint="eastAsia" w:ascii="宋体" w:hAnsi="宋体"/>
                <w:color w:val="auto"/>
                <w:sz w:val="24"/>
                <w:highlight w:val="none"/>
                <w:lang w:val="en-US" w:eastAsia="zh-CN"/>
              </w:rPr>
              <w:t>.</w:t>
            </w:r>
            <w:r>
              <w:rPr>
                <w:rFonts w:hint="eastAsia" w:ascii="宋体" w:hAnsi="宋体" w:eastAsia="宋体"/>
                <w:color w:val="auto"/>
                <w:sz w:val="24"/>
                <w:highlight w:val="none"/>
              </w:rPr>
              <w:t>3</w:t>
            </w:r>
          </w:p>
        </w:tc>
        <w:tc>
          <w:tcPr>
            <w:tcW w:w="6960" w:type="dxa"/>
            <w:vAlign w:val="center"/>
          </w:tcPr>
          <w:p>
            <w:pPr>
              <w:ind w:left="113" w:leftChars="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4</w:t>
            </w:r>
            <w:r>
              <w:rPr>
                <w:rFonts w:hint="eastAsia" w:ascii="宋体" w:hAnsi="宋体"/>
                <w:color w:val="auto"/>
                <w:sz w:val="24"/>
                <w:highlight w:val="none"/>
                <w:lang w:val="en-US" w:eastAsia="zh-CN"/>
              </w:rPr>
              <w:t>.</w:t>
            </w:r>
            <w:r>
              <w:rPr>
                <w:rFonts w:hint="eastAsia" w:ascii="宋体" w:hAnsi="宋体" w:eastAsia="宋体"/>
                <w:color w:val="auto"/>
                <w:sz w:val="24"/>
                <w:highlight w:val="none"/>
                <w:lang w:val="en-US" w:eastAsia="zh-CN"/>
              </w:rPr>
              <w:t>4</w:t>
            </w:r>
          </w:p>
        </w:tc>
        <w:tc>
          <w:tcPr>
            <w:tcW w:w="6960" w:type="dxa"/>
            <w:vAlign w:val="center"/>
          </w:tcPr>
          <w:p>
            <w:pPr>
              <w:ind w:left="113" w:leftChars="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单位负责人为同一人或者存在控股、管理关系的不同单位，不得参加</w:t>
            </w:r>
            <w:r>
              <w:rPr>
                <w:rFonts w:hint="eastAsia" w:ascii="宋体" w:hAnsi="宋体" w:eastAsia="宋体"/>
                <w:color w:val="auto"/>
                <w:sz w:val="24"/>
                <w:highlight w:val="none"/>
                <w:lang w:eastAsia="zh-CN"/>
              </w:rPr>
              <w:t>同一项目报价</w:t>
            </w:r>
            <w:r>
              <w:rPr>
                <w:rFonts w:hint="eastAsia" w:ascii="宋体" w:hAnsi="宋体" w:eastAsia="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tcPr>
          <w:p>
            <w:pPr>
              <w:adjustRightInd w:val="0"/>
              <w:snapToGrid w:val="0"/>
              <w:spacing w:line="360" w:lineRule="auto"/>
              <w:jc w:val="center"/>
              <w:rPr>
                <w:rFonts w:hint="eastAsia" w:ascii="宋体" w:hAnsi="宋体" w:eastAsia="宋体"/>
                <w:color w:val="auto"/>
                <w:sz w:val="24"/>
                <w:highlight w:val="none"/>
                <w:vertAlign w:val="baseline"/>
                <w:lang w:eastAsia="zh-CN"/>
              </w:rPr>
            </w:pPr>
            <w:r>
              <w:rPr>
                <w:rFonts w:hint="eastAsia" w:ascii="宋体" w:hAnsi="宋体"/>
                <w:color w:val="auto"/>
                <w:sz w:val="24"/>
                <w:highlight w:val="none"/>
                <w:vertAlign w:val="baseline"/>
              </w:rPr>
              <w:t>4.</w:t>
            </w:r>
            <w:r>
              <w:rPr>
                <w:rFonts w:hint="eastAsia" w:ascii="宋体" w:hAnsi="宋体"/>
                <w:color w:val="auto"/>
                <w:sz w:val="24"/>
                <w:highlight w:val="none"/>
                <w:vertAlign w:val="baseline"/>
                <w:lang w:val="en-US" w:eastAsia="zh-CN"/>
              </w:rPr>
              <w:t>5</w:t>
            </w:r>
          </w:p>
        </w:tc>
        <w:tc>
          <w:tcPr>
            <w:tcW w:w="6960" w:type="dxa"/>
          </w:tcPr>
          <w:p>
            <w:pPr>
              <w:adjustRightInd w:val="0"/>
              <w:snapToGrid w:val="0"/>
              <w:spacing w:line="360" w:lineRule="auto"/>
              <w:rPr>
                <w:rFonts w:hint="default" w:ascii="宋体" w:hAnsi="宋体"/>
                <w:color w:val="auto"/>
                <w:sz w:val="24"/>
                <w:highlight w:val="none"/>
                <w:vertAlign w:val="baseline"/>
                <w:lang w:val="en-US"/>
              </w:rPr>
            </w:pPr>
            <w:r>
              <w:rPr>
                <w:rFonts w:hint="eastAsia" w:ascii="宋体" w:hAnsi="宋体"/>
                <w:color w:val="auto"/>
                <w:sz w:val="24"/>
                <w:highlight w:val="none"/>
                <w:vertAlign w:val="baseline"/>
              </w:rPr>
              <w:t>经营范围包括</w:t>
            </w:r>
            <w:r>
              <w:rPr>
                <w:rFonts w:hint="eastAsia" w:ascii="宋体" w:hAnsi="宋体"/>
                <w:color w:val="auto"/>
                <w:sz w:val="24"/>
                <w:highlight w:val="none"/>
                <w:vertAlign w:val="baseline"/>
                <w:lang w:eastAsia="zh-CN"/>
              </w:rPr>
              <w:t>技术服务或技术开发相关资质。</w:t>
            </w:r>
          </w:p>
        </w:tc>
      </w:tr>
    </w:tbl>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5</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lang w:eastAsia="zh-CN"/>
        </w:rPr>
        <w:t>项目</w:t>
      </w:r>
      <w:r>
        <w:rPr>
          <w:rFonts w:hint="eastAsia" w:ascii="宋体" w:hAnsi="宋体"/>
          <w:b/>
          <w:bCs/>
          <w:color w:val="auto"/>
          <w:sz w:val="24"/>
          <w:highlight w:val="none"/>
          <w:lang w:val="en-US" w:eastAsia="zh-CN"/>
        </w:rPr>
        <w:t>服务</w:t>
      </w:r>
      <w:r>
        <w:rPr>
          <w:rFonts w:hint="eastAsia" w:ascii="宋体" w:hAnsi="宋体"/>
          <w:b/>
          <w:bCs/>
          <w:color w:val="auto"/>
          <w:sz w:val="24"/>
          <w:highlight w:val="none"/>
        </w:rPr>
        <w:t>清单</w:t>
      </w:r>
    </w:p>
    <w:tbl>
      <w:tblPr>
        <w:tblStyle w:val="19"/>
        <w:tblW w:w="8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83"/>
        <w:gridCol w:w="2602"/>
        <w:gridCol w:w="954"/>
        <w:gridCol w:w="973"/>
        <w:gridCol w:w="3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5" w:hRule="atLeast"/>
          <w:jc w:val="center"/>
        </w:trPr>
        <w:tc>
          <w:tcPr>
            <w:tcW w:w="783"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bidi="ar"/>
              </w:rPr>
              <w:t>序号</w:t>
            </w:r>
          </w:p>
        </w:tc>
        <w:tc>
          <w:tcPr>
            <w:tcW w:w="2602"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sz w:val="24"/>
                <w:highlight w:val="none"/>
                <w:lang w:eastAsia="zh-CN"/>
              </w:rPr>
              <w:t>服务内容</w:t>
            </w:r>
          </w:p>
        </w:tc>
        <w:tc>
          <w:tcPr>
            <w:tcW w:w="954"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bidi="ar"/>
              </w:rPr>
              <w:t>单位</w:t>
            </w:r>
          </w:p>
        </w:tc>
        <w:tc>
          <w:tcPr>
            <w:tcW w:w="973"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kern w:val="0"/>
                <w:sz w:val="24"/>
                <w:highlight w:val="none"/>
                <w:lang w:bidi="ar"/>
              </w:rPr>
            </w:pPr>
            <w:r>
              <w:rPr>
                <w:rFonts w:hint="eastAsia" w:asciiTheme="minorEastAsia" w:hAnsiTheme="minorEastAsia" w:eastAsiaTheme="minorEastAsia" w:cstheme="minorEastAsia"/>
                <w:b/>
                <w:bCs/>
                <w:color w:val="auto"/>
                <w:kern w:val="0"/>
                <w:sz w:val="24"/>
                <w:highlight w:val="none"/>
                <w:lang w:bidi="ar"/>
              </w:rPr>
              <w:t>数量</w:t>
            </w:r>
          </w:p>
        </w:tc>
        <w:tc>
          <w:tcPr>
            <w:tcW w:w="3120" w:type="dxa"/>
            <w:tcBorders>
              <w:tl2br w:val="nil"/>
              <w:tr2bl w:val="nil"/>
            </w:tcBorders>
            <w:shd w:val="clear" w:color="auto" w:fill="auto"/>
            <w:vAlign w:val="center"/>
          </w:tcPr>
          <w:p>
            <w:pPr>
              <w:widowControl/>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783"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1</w:t>
            </w:r>
          </w:p>
        </w:tc>
        <w:tc>
          <w:tcPr>
            <w:tcW w:w="2602" w:type="dxa"/>
            <w:tcBorders>
              <w:tl2br w:val="nil"/>
              <w:tr2bl w:val="nil"/>
            </w:tcBorders>
            <w:shd w:val="clear" w:color="auto" w:fill="auto"/>
            <w:vAlign w:val="center"/>
          </w:tcPr>
          <w:p>
            <w:pPr>
              <w:widowControl/>
              <w:jc w:val="center"/>
              <w:textAlignment w:val="center"/>
              <w:rPr>
                <w:rFonts w:hint="default" w:asciiTheme="minorEastAsia" w:hAnsiTheme="minorEastAsia" w:eastAsiaTheme="minorEastAsia" w:cstheme="minorEastAsia"/>
                <w:color w:val="auto"/>
                <w:sz w:val="24"/>
                <w:highlight w:val="none"/>
                <w:lang w:val="en-US" w:eastAsia="zh-CN"/>
              </w:rPr>
            </w:pPr>
            <w:r>
              <w:rPr>
                <w:rFonts w:hint="eastAsia" w:ascii="宋体" w:hAnsi="宋体"/>
                <w:color w:val="auto"/>
                <w:sz w:val="24"/>
                <w:highlight w:val="none"/>
                <w:lang w:eastAsia="zh-CN"/>
              </w:rPr>
              <w:t>金官站站外水源监测智联网系统</w:t>
            </w:r>
            <w:r>
              <w:rPr>
                <w:rFonts w:hint="eastAsia" w:asciiTheme="minorEastAsia" w:hAnsiTheme="minorEastAsia" w:eastAsiaTheme="minorEastAsia" w:cstheme="minorEastAsia"/>
                <w:color w:val="auto"/>
                <w:sz w:val="24"/>
                <w:highlight w:val="none"/>
                <w:lang w:val="en-US" w:eastAsia="zh-CN"/>
              </w:rPr>
              <w:t>研制</w:t>
            </w:r>
          </w:p>
        </w:tc>
        <w:tc>
          <w:tcPr>
            <w:tcW w:w="954"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color w:val="auto"/>
                <w:kern w:val="0"/>
                <w:sz w:val="24"/>
                <w:szCs w:val="24"/>
                <w:highlight w:val="no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套</w:t>
            </w:r>
          </w:p>
        </w:tc>
        <w:tc>
          <w:tcPr>
            <w:tcW w:w="973" w:type="dxa"/>
            <w:tcBorders>
              <w:tl2br w:val="nil"/>
              <w:tr2bl w:val="nil"/>
            </w:tcBorders>
            <w:shd w:val="clear" w:color="auto" w:fill="auto"/>
            <w:vAlign w:val="center"/>
          </w:tcPr>
          <w:p>
            <w:pPr>
              <w:widowControl/>
              <w:jc w:val="center"/>
              <w:textAlignment w:val="center"/>
              <w:rPr>
                <w:rFonts w:hint="default" w:asciiTheme="minorEastAsia" w:hAnsiTheme="minorEastAsia" w:eastAsiaTheme="minorEastAsia" w:cstheme="minorEastAsia"/>
                <w:color w:val="auto"/>
                <w:kern w:val="0"/>
                <w:sz w:val="24"/>
                <w:highlight w:val="none"/>
                <w:lang w:val="en-US" w:eastAsia="zh-CN" w:bidi="ar"/>
              </w:rPr>
            </w:pPr>
            <w:r>
              <w:rPr>
                <w:rFonts w:hint="eastAsia" w:asciiTheme="minorEastAsia" w:hAnsiTheme="minorEastAsia" w:eastAsiaTheme="minorEastAsia" w:cstheme="minorEastAsia"/>
                <w:color w:val="auto"/>
                <w:kern w:val="0"/>
                <w:sz w:val="24"/>
                <w:highlight w:val="none"/>
                <w:lang w:val="en-US" w:eastAsia="zh-CN" w:bidi="ar"/>
              </w:rPr>
              <w:t xml:space="preserve">1 </w:t>
            </w:r>
          </w:p>
        </w:tc>
        <w:tc>
          <w:tcPr>
            <w:tcW w:w="3120" w:type="dxa"/>
            <w:tcBorders>
              <w:tl2br w:val="nil"/>
              <w:tr2bl w:val="nil"/>
            </w:tcBorders>
            <w:shd w:val="clear" w:color="auto" w:fill="auto"/>
            <w:vAlign w:val="center"/>
          </w:tcPr>
          <w:p>
            <w:pPr>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eastAsia="zh-CN"/>
              </w:rPr>
              <w:t>详见技术要求</w:t>
            </w:r>
            <w:r>
              <w:rPr>
                <w:rFonts w:hint="eastAsia" w:asciiTheme="minorEastAsia" w:hAnsiTheme="minorEastAsia" w:eastAsiaTheme="minorEastAsia" w:cstheme="minorEastAsia"/>
                <w:color w:val="auto"/>
                <w:sz w:val="24"/>
                <w:highlight w:val="none"/>
                <w:lang w:val="en-US" w:eastAsia="zh-CN"/>
              </w:rPr>
              <w:t>3</w:t>
            </w:r>
          </w:p>
        </w:tc>
      </w:tr>
    </w:tbl>
    <w:p>
      <w:pPr>
        <w:spacing w:line="36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rPr>
        <w:t>6</w:t>
      </w:r>
      <w:bookmarkEnd w:id="10"/>
      <w:bookmarkEnd w:id="11"/>
      <w:bookmarkEnd w:id="12"/>
      <w:bookmarkEnd w:id="13"/>
      <w:bookmarkEnd w:id="14"/>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售后服务要求</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产品发票要求：报价单位可提供符合规定税率的全额增值税专用发票。</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产品质保期及售后服务响应要求：产品质保期不少于1年，质保期内有任何质量问题将免费进行修理、更换；售后服务的响应时间在48小时内；提供技术支持。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6.3</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交付时间及地点要求：产品交货时间为202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31</w:t>
      </w:r>
      <w:r>
        <w:rPr>
          <w:rFonts w:hint="eastAsia" w:ascii="宋体" w:hAnsi="宋体" w:cs="宋体"/>
          <w:color w:val="auto"/>
          <w:sz w:val="24"/>
          <w:highlight w:val="none"/>
        </w:rPr>
        <w:t>日前，交货地点为中国南方电网有限责任公司超高压输电公司大理局。</w:t>
      </w:r>
    </w:p>
    <w:p>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7</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报价文件格式要求</w:t>
      </w:r>
    </w:p>
    <w:p>
      <w:pPr>
        <w:spacing w:line="360" w:lineRule="auto"/>
        <w:ind w:firstLine="480" w:firstLineChars="200"/>
        <w:rPr>
          <w:rFonts w:ascii="宋体" w:hAnsi="宋体" w:cs="宋体"/>
          <w:color w:val="auto"/>
          <w:sz w:val="24"/>
          <w:highlight w:val="none"/>
        </w:rPr>
        <w:sectPr>
          <w:footerReference r:id="rId7" w:type="default"/>
          <w:pgSz w:w="11906" w:h="16838"/>
          <w:pgMar w:top="1440" w:right="1800" w:bottom="1440" w:left="1800" w:header="851" w:footer="992" w:gutter="0"/>
          <w:pgNumType w:fmt="decimal" w:start="1"/>
          <w:cols w:space="720" w:num="1"/>
          <w:docGrid w:type="lines" w:linePitch="312" w:charSpace="0"/>
        </w:sectPr>
      </w:pPr>
      <w:r>
        <w:rPr>
          <w:rFonts w:hint="eastAsia" w:ascii="宋体" w:hAnsi="宋体" w:cs="宋体"/>
          <w:color w:val="auto"/>
          <w:sz w:val="24"/>
          <w:highlight w:val="none"/>
          <w:lang w:val="en-US" w:eastAsia="zh-CN"/>
        </w:rPr>
        <w:t xml:space="preserve">7.1 </w:t>
      </w:r>
      <w:r>
        <w:rPr>
          <w:rFonts w:hint="eastAsia" w:ascii="宋体" w:hAnsi="宋体" w:cs="宋体"/>
          <w:color w:val="auto"/>
          <w:sz w:val="24"/>
          <w:highlight w:val="none"/>
        </w:rPr>
        <w:t>报价单位需提供盖章版（单位行政印章）纸质报价文件，报价文件包括但不限于：报价表、品质、售后服务及相关资质文件（复印件），</w:t>
      </w:r>
      <w:r>
        <w:rPr>
          <w:rFonts w:hint="eastAsia" w:ascii="宋体" w:hAnsi="宋体"/>
          <w:color w:val="auto"/>
          <w:sz w:val="24"/>
          <w:highlight w:val="none"/>
        </w:rPr>
        <w:t>《</w:t>
      </w:r>
      <w:r>
        <w:rPr>
          <w:rFonts w:hint="eastAsia" w:ascii="宋体" w:hAnsi="宋体" w:cs="宋体"/>
          <w:color w:val="auto"/>
          <w:sz w:val="24"/>
          <w:highlight w:val="none"/>
        </w:rPr>
        <w:t>报价文件格式》如下：</w:t>
      </w:r>
    </w:p>
    <w:p>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Xxx单位</w:t>
      </w:r>
      <w:r>
        <w:rPr>
          <w:rFonts w:hint="eastAsia" w:ascii="宋体" w:hAnsi="宋体" w:eastAsia="宋体" w:cs="宋体"/>
          <w:b/>
          <w:bCs/>
          <w:color w:val="auto"/>
          <w:sz w:val="28"/>
          <w:szCs w:val="28"/>
        </w:rPr>
        <w:t>报价表</w:t>
      </w:r>
    </w:p>
    <w:p>
      <w:pPr>
        <w:spacing w:line="360" w:lineRule="auto"/>
        <w:jc w:val="center"/>
        <w:outlineLvl w:val="5"/>
        <w:rPr>
          <w:rFonts w:hint="eastAsia" w:ascii="宋体" w:hAnsi="宋体" w:eastAsia="宋体" w:cs="宋体"/>
          <w:b/>
          <w:bCs/>
          <w:color w:val="auto"/>
          <w:spacing w:val="10"/>
          <w:kern w:val="0"/>
          <w:sz w:val="21"/>
          <w:szCs w:val="21"/>
        </w:rPr>
      </w:pPr>
      <w:r>
        <w:rPr>
          <w:rFonts w:hint="eastAsia" w:ascii="宋体" w:hAnsi="宋体" w:eastAsia="宋体" w:cs="宋体"/>
          <w:b/>
          <w:bCs/>
          <w:color w:val="auto"/>
          <w:spacing w:val="10"/>
          <w:kern w:val="0"/>
          <w:sz w:val="21"/>
          <w:szCs w:val="21"/>
        </w:rPr>
        <w:t>包含但不限于以下内容报价</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报价方名称(盖公章</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单位：元</w:t>
      </w:r>
    </w:p>
    <w:tbl>
      <w:tblPr>
        <w:tblStyle w:val="20"/>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9"/>
        <w:gridCol w:w="531"/>
        <w:gridCol w:w="681"/>
        <w:gridCol w:w="1108"/>
        <w:gridCol w:w="1214"/>
        <w:gridCol w:w="2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序号</w:t>
            </w:r>
          </w:p>
        </w:tc>
        <w:tc>
          <w:tcPr>
            <w:tcW w:w="2409"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项目名称</w:t>
            </w:r>
          </w:p>
        </w:tc>
        <w:tc>
          <w:tcPr>
            <w:tcW w:w="531"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单位</w:t>
            </w:r>
          </w:p>
        </w:tc>
        <w:tc>
          <w:tcPr>
            <w:tcW w:w="681"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数量</w:t>
            </w:r>
          </w:p>
        </w:tc>
        <w:tc>
          <w:tcPr>
            <w:tcW w:w="1108"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单价（元）</w:t>
            </w:r>
          </w:p>
        </w:tc>
        <w:tc>
          <w:tcPr>
            <w:tcW w:w="1214"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总价（元）</w:t>
            </w:r>
          </w:p>
        </w:tc>
        <w:tc>
          <w:tcPr>
            <w:tcW w:w="2182"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8" w:hRule="atLeast"/>
        </w:trPr>
        <w:tc>
          <w:tcPr>
            <w:tcW w:w="715" w:type="dxa"/>
            <w:vAlign w:val="center"/>
          </w:tcPr>
          <w:p>
            <w:pPr>
              <w:adjustRightInd w:val="0"/>
              <w:snapToGrid w:val="0"/>
              <w:spacing w:line="360" w:lineRule="auto"/>
              <w:jc w:val="center"/>
              <w:rPr>
                <w:rFonts w:hint="eastAsia" w:ascii="宋体" w:hAnsi="宋体" w:cs="宋体"/>
                <w:b/>
                <w:bCs/>
                <w:color w:val="auto"/>
                <w:kern w:val="0"/>
                <w:sz w:val="20"/>
                <w:szCs w:val="21"/>
              </w:rPr>
            </w:pPr>
            <w:r>
              <w:rPr>
                <w:rFonts w:hint="eastAsia" w:ascii="宋体" w:hAnsi="宋体" w:cs="宋体"/>
                <w:color w:val="auto"/>
                <w:kern w:val="0"/>
                <w:sz w:val="20"/>
                <w:szCs w:val="21"/>
              </w:rPr>
              <w:t>1</w:t>
            </w:r>
          </w:p>
        </w:tc>
        <w:tc>
          <w:tcPr>
            <w:tcW w:w="2409" w:type="dxa"/>
            <w:vAlign w:val="center"/>
          </w:tcPr>
          <w:p>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超高压大理局2024年金官站站外水源监测智联网系统研究项目（XZTZ）</w:t>
            </w:r>
          </w:p>
        </w:tc>
        <w:tc>
          <w:tcPr>
            <w:tcW w:w="531" w:type="dxa"/>
            <w:vAlign w:val="center"/>
          </w:tcPr>
          <w:p>
            <w:pPr>
              <w:adjustRightInd w:val="0"/>
              <w:snapToGrid w:val="0"/>
              <w:spacing w:line="360" w:lineRule="auto"/>
              <w:jc w:val="center"/>
              <w:rPr>
                <w:rFonts w:hint="eastAsia" w:ascii="宋体" w:hAnsi="宋体" w:eastAsia="宋体" w:cs="宋体"/>
                <w:b w:val="0"/>
                <w:bCs w:val="0"/>
                <w:color w:val="auto"/>
                <w:kern w:val="0"/>
                <w:sz w:val="20"/>
                <w:szCs w:val="21"/>
                <w:lang w:eastAsia="zh-CN"/>
              </w:rPr>
            </w:pPr>
            <w:r>
              <w:rPr>
                <w:rFonts w:hint="eastAsia" w:ascii="宋体" w:hAnsi="宋体" w:cs="宋体"/>
                <w:b w:val="0"/>
                <w:bCs w:val="0"/>
                <w:color w:val="auto"/>
                <w:kern w:val="0"/>
                <w:sz w:val="20"/>
                <w:szCs w:val="21"/>
                <w:lang w:val="en-US" w:eastAsia="zh-CN"/>
              </w:rPr>
              <w:t>项</w:t>
            </w:r>
          </w:p>
        </w:tc>
        <w:tc>
          <w:tcPr>
            <w:tcW w:w="681" w:type="dxa"/>
            <w:vAlign w:val="center"/>
          </w:tcPr>
          <w:p>
            <w:pPr>
              <w:adjustRightInd w:val="0"/>
              <w:snapToGrid w:val="0"/>
              <w:spacing w:line="360" w:lineRule="auto"/>
              <w:jc w:val="center"/>
              <w:rPr>
                <w:rFonts w:hint="eastAsia" w:ascii="宋体" w:hAnsi="宋体" w:cs="宋体"/>
                <w:b w:val="0"/>
                <w:bCs w:val="0"/>
                <w:color w:val="auto"/>
                <w:kern w:val="0"/>
                <w:sz w:val="20"/>
                <w:szCs w:val="21"/>
              </w:rPr>
            </w:pPr>
            <w:r>
              <w:rPr>
                <w:rFonts w:hint="eastAsia" w:ascii="宋体" w:hAnsi="宋体" w:cs="宋体"/>
                <w:b w:val="0"/>
                <w:bCs w:val="0"/>
                <w:color w:val="auto"/>
                <w:kern w:val="0"/>
                <w:sz w:val="20"/>
                <w:szCs w:val="21"/>
              </w:rPr>
              <w:t>1</w:t>
            </w:r>
          </w:p>
        </w:tc>
        <w:tc>
          <w:tcPr>
            <w:tcW w:w="1108" w:type="dxa"/>
            <w:vAlign w:val="center"/>
          </w:tcPr>
          <w:p>
            <w:pPr>
              <w:adjustRightInd w:val="0"/>
              <w:snapToGrid w:val="0"/>
              <w:spacing w:line="360" w:lineRule="auto"/>
              <w:jc w:val="center"/>
              <w:rPr>
                <w:rFonts w:hint="eastAsia" w:ascii="宋体" w:hAnsi="宋体" w:cs="宋体"/>
                <w:b w:val="0"/>
                <w:bCs w:val="0"/>
                <w:color w:val="auto"/>
                <w:kern w:val="0"/>
                <w:sz w:val="20"/>
                <w:szCs w:val="21"/>
              </w:rPr>
            </w:pPr>
          </w:p>
        </w:tc>
        <w:tc>
          <w:tcPr>
            <w:tcW w:w="1214" w:type="dxa"/>
            <w:vAlign w:val="center"/>
          </w:tcPr>
          <w:p>
            <w:pPr>
              <w:adjustRightInd w:val="0"/>
              <w:snapToGrid w:val="0"/>
              <w:spacing w:line="360" w:lineRule="auto"/>
              <w:jc w:val="center"/>
              <w:rPr>
                <w:rFonts w:hint="eastAsia" w:ascii="宋体" w:hAnsi="宋体" w:cs="宋体"/>
                <w:b w:val="0"/>
                <w:bCs w:val="0"/>
                <w:color w:val="auto"/>
                <w:kern w:val="0"/>
                <w:sz w:val="20"/>
                <w:szCs w:val="21"/>
              </w:rPr>
            </w:pPr>
          </w:p>
        </w:tc>
        <w:tc>
          <w:tcPr>
            <w:tcW w:w="2182" w:type="dxa"/>
            <w:vAlign w:val="center"/>
          </w:tcPr>
          <w:p>
            <w:pPr>
              <w:numPr>
                <w:ilvl w:val="0"/>
                <w:numId w:val="3"/>
              </w:numPr>
              <w:adjustRightInd w:val="0"/>
              <w:snapToGrid w:val="0"/>
              <w:spacing w:line="360" w:lineRule="auto"/>
              <w:jc w:val="both"/>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包含执行本项目所发的所有费用；</w:t>
            </w:r>
          </w:p>
          <w:p>
            <w:pPr>
              <w:adjustRightInd w:val="0"/>
              <w:snapToGrid w:val="0"/>
              <w:spacing w:line="360" w:lineRule="auto"/>
              <w:jc w:val="both"/>
              <w:rPr>
                <w:rFonts w:hint="eastAsia" w:ascii="宋体" w:hAnsi="宋体" w:cs="宋体"/>
                <w:b w:val="0"/>
                <w:bCs w:val="0"/>
                <w:color w:val="auto"/>
                <w:kern w:val="0"/>
                <w:sz w:val="20"/>
                <w:szCs w:val="21"/>
              </w:rPr>
            </w:pPr>
            <w:r>
              <w:rPr>
                <w:rFonts w:hint="eastAsia" w:ascii="宋体" w:hAnsi="宋体" w:cs="宋体"/>
                <w:b w:val="0"/>
                <w:bCs w:val="0"/>
                <w:color w:val="auto"/>
                <w:kern w:val="0"/>
                <w:sz w:val="20"/>
                <w:szCs w:val="21"/>
                <w:lang w:val="en-US" w:eastAsia="zh-CN"/>
              </w:rPr>
              <w:t>2、提供全额增值税专用发票。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840" w:type="dxa"/>
            <w:gridSpan w:val="7"/>
            <w:vAlign w:val="center"/>
          </w:tcPr>
          <w:p>
            <w:pPr>
              <w:adjustRightInd w:val="0"/>
              <w:snapToGrid w:val="0"/>
              <w:spacing w:line="360" w:lineRule="auto"/>
              <w:jc w:val="center"/>
              <w:rPr>
                <w:rFonts w:hint="eastAsia" w:ascii="宋体" w:hAnsi="宋体" w:cs="宋体"/>
                <w:b/>
                <w:bCs/>
                <w:color w:val="auto"/>
                <w:kern w:val="0"/>
                <w:sz w:val="20"/>
                <w:szCs w:val="21"/>
              </w:rPr>
            </w:pPr>
            <w:r>
              <w:rPr>
                <w:rFonts w:hint="eastAsia" w:ascii="宋体" w:hAnsi="宋体" w:cs="宋体"/>
                <w:b/>
                <w:bCs/>
                <w:color w:val="auto"/>
                <w:kern w:val="0"/>
                <w:sz w:val="20"/>
                <w:szCs w:val="21"/>
              </w:rPr>
              <w:t>分项报价清单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center"/>
          </w:tcPr>
          <w:p>
            <w:pPr>
              <w:adjustRightInd w:val="0"/>
              <w:snapToGrid w:val="0"/>
              <w:spacing w:line="360" w:lineRule="auto"/>
              <w:jc w:val="center"/>
              <w:rPr>
                <w:rFonts w:hint="eastAsia" w:ascii="宋体" w:hAnsi="宋体" w:cs="宋体"/>
                <w:b/>
                <w:bCs/>
                <w:color w:val="auto"/>
                <w:kern w:val="0"/>
                <w:sz w:val="20"/>
                <w:szCs w:val="21"/>
                <w:lang w:val="en-US" w:eastAsia="zh-CN"/>
              </w:rPr>
            </w:pPr>
            <w:r>
              <w:rPr>
                <w:rFonts w:hint="eastAsia" w:ascii="宋体" w:hAnsi="宋体" w:cs="宋体"/>
                <w:b/>
                <w:bCs/>
                <w:color w:val="auto"/>
                <w:kern w:val="0"/>
                <w:sz w:val="20"/>
                <w:szCs w:val="21"/>
                <w:lang w:val="en-US" w:eastAsia="zh-CN"/>
              </w:rPr>
              <w:t>序号</w:t>
            </w:r>
          </w:p>
        </w:tc>
        <w:tc>
          <w:tcPr>
            <w:tcW w:w="2409" w:type="dxa"/>
            <w:vAlign w:val="center"/>
          </w:tcPr>
          <w:p>
            <w:pPr>
              <w:adjustRightInd w:val="0"/>
              <w:snapToGrid w:val="0"/>
              <w:spacing w:line="240" w:lineRule="auto"/>
              <w:jc w:val="center"/>
              <w:rPr>
                <w:rFonts w:hint="eastAsia" w:ascii="宋体" w:hAnsi="宋体" w:eastAsia="宋体" w:cs="宋体"/>
                <w:b/>
                <w:bCs/>
                <w:color w:val="auto"/>
                <w:kern w:val="0"/>
                <w:sz w:val="20"/>
                <w:szCs w:val="21"/>
                <w:lang w:val="en-US" w:eastAsia="zh-CN"/>
              </w:rPr>
            </w:pPr>
            <w:r>
              <w:rPr>
                <w:rFonts w:hint="eastAsia" w:ascii="宋体" w:hAnsi="宋体" w:cs="宋体"/>
                <w:b/>
                <w:bCs/>
                <w:color w:val="auto"/>
                <w:kern w:val="0"/>
                <w:sz w:val="20"/>
                <w:szCs w:val="21"/>
                <w:lang w:val="en-US" w:eastAsia="zh-CN"/>
              </w:rPr>
              <w:t>采购/服务内容</w:t>
            </w:r>
          </w:p>
        </w:tc>
        <w:tc>
          <w:tcPr>
            <w:tcW w:w="531" w:type="dxa"/>
            <w:vAlign w:val="center"/>
          </w:tcPr>
          <w:p>
            <w:pPr>
              <w:adjustRightInd w:val="0"/>
              <w:snapToGrid w:val="0"/>
              <w:spacing w:line="240" w:lineRule="auto"/>
              <w:jc w:val="center"/>
              <w:rPr>
                <w:rFonts w:hint="eastAsia" w:ascii="宋体" w:hAnsi="宋体" w:eastAsia="宋体" w:cs="宋体"/>
                <w:b/>
                <w:bCs/>
                <w:color w:val="auto"/>
                <w:kern w:val="0"/>
                <w:sz w:val="20"/>
                <w:szCs w:val="21"/>
                <w:lang w:val="en-US" w:eastAsia="zh-CN"/>
              </w:rPr>
            </w:pPr>
            <w:r>
              <w:rPr>
                <w:rFonts w:hint="eastAsia" w:ascii="宋体" w:hAnsi="宋体" w:eastAsia="宋体" w:cs="宋体"/>
                <w:b/>
                <w:bCs/>
                <w:color w:val="auto"/>
                <w:kern w:val="0"/>
                <w:sz w:val="20"/>
                <w:szCs w:val="21"/>
                <w:lang w:val="en-US" w:eastAsia="zh-CN"/>
              </w:rPr>
              <w:t>单位</w:t>
            </w:r>
          </w:p>
        </w:tc>
        <w:tc>
          <w:tcPr>
            <w:tcW w:w="681" w:type="dxa"/>
            <w:vAlign w:val="center"/>
          </w:tcPr>
          <w:p>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数量</w:t>
            </w:r>
          </w:p>
        </w:tc>
        <w:tc>
          <w:tcPr>
            <w:tcW w:w="1108" w:type="dxa"/>
            <w:vAlign w:val="center"/>
          </w:tcPr>
          <w:p>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单价（元）</w:t>
            </w:r>
          </w:p>
        </w:tc>
        <w:tc>
          <w:tcPr>
            <w:tcW w:w="1214" w:type="dxa"/>
            <w:vAlign w:val="center"/>
          </w:tcPr>
          <w:p>
            <w:pPr>
              <w:adjustRightInd w:val="0"/>
              <w:snapToGrid w:val="0"/>
              <w:spacing w:line="360" w:lineRule="auto"/>
              <w:jc w:val="center"/>
              <w:rPr>
                <w:rFonts w:hint="default"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总价（元）</w:t>
            </w:r>
          </w:p>
        </w:tc>
        <w:tc>
          <w:tcPr>
            <w:tcW w:w="2182" w:type="dxa"/>
            <w:vAlign w:val="center"/>
          </w:tcPr>
          <w:p>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center"/>
          </w:tcPr>
          <w:p>
            <w:pPr>
              <w:adjustRightInd w:val="0"/>
              <w:snapToGrid w:val="0"/>
              <w:spacing w:line="360" w:lineRule="auto"/>
              <w:jc w:val="center"/>
              <w:rPr>
                <w:rFonts w:hint="eastAsia" w:ascii="宋体" w:hAnsi="宋体" w:eastAsia="宋体" w:cs="宋体"/>
                <w:color w:val="auto"/>
                <w:kern w:val="0"/>
                <w:sz w:val="20"/>
                <w:szCs w:val="21"/>
                <w:lang w:eastAsia="zh-CN"/>
              </w:rPr>
            </w:pPr>
            <w:r>
              <w:rPr>
                <w:rFonts w:hint="eastAsia" w:ascii="宋体" w:hAnsi="宋体" w:cs="宋体"/>
                <w:color w:val="auto"/>
                <w:kern w:val="0"/>
                <w:sz w:val="20"/>
                <w:szCs w:val="21"/>
                <w:lang w:val="en-US" w:eastAsia="zh-CN"/>
              </w:rPr>
              <w:t>1</w:t>
            </w:r>
          </w:p>
        </w:tc>
        <w:tc>
          <w:tcPr>
            <w:tcW w:w="2409"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XXX；</w:t>
            </w:r>
          </w:p>
        </w:tc>
        <w:tc>
          <w:tcPr>
            <w:tcW w:w="531"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81"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pPr>
              <w:adjustRightInd w:val="0"/>
              <w:snapToGrid w:val="0"/>
              <w:spacing w:line="240" w:lineRule="auto"/>
              <w:jc w:val="center"/>
              <w:rPr>
                <w:rFonts w:hint="eastAsia" w:ascii="宋体" w:hAnsi="宋体" w:cs="宋体"/>
                <w:color w:val="auto"/>
                <w:kern w:val="0"/>
                <w:sz w:val="20"/>
                <w:szCs w:val="21"/>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5" w:type="dxa"/>
            <w:vAlign w:val="center"/>
          </w:tcPr>
          <w:p>
            <w:pPr>
              <w:adjustRightInd w:val="0"/>
              <w:snapToGrid w:val="0"/>
              <w:spacing w:line="360" w:lineRule="auto"/>
              <w:jc w:val="center"/>
              <w:rPr>
                <w:rFonts w:hint="eastAsia" w:ascii="宋体" w:hAnsi="宋体" w:eastAsia="宋体" w:cs="宋体"/>
                <w:color w:val="auto"/>
                <w:kern w:val="0"/>
                <w:sz w:val="20"/>
                <w:szCs w:val="21"/>
                <w:lang w:eastAsia="zh-CN"/>
              </w:rPr>
            </w:pPr>
            <w:r>
              <w:rPr>
                <w:rFonts w:hint="eastAsia" w:ascii="宋体" w:hAnsi="宋体" w:cs="宋体"/>
                <w:color w:val="auto"/>
                <w:kern w:val="0"/>
                <w:sz w:val="20"/>
                <w:szCs w:val="21"/>
                <w:lang w:val="en-US" w:eastAsia="zh-CN"/>
              </w:rPr>
              <w:t>2</w:t>
            </w:r>
          </w:p>
        </w:tc>
        <w:tc>
          <w:tcPr>
            <w:tcW w:w="2409"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XXX。</w:t>
            </w:r>
          </w:p>
        </w:tc>
        <w:tc>
          <w:tcPr>
            <w:tcW w:w="531" w:type="dxa"/>
            <w:vAlign w:val="center"/>
          </w:tcPr>
          <w:p>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套</w:t>
            </w:r>
          </w:p>
        </w:tc>
        <w:tc>
          <w:tcPr>
            <w:tcW w:w="681"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pPr>
              <w:adjustRightInd w:val="0"/>
              <w:snapToGrid w:val="0"/>
              <w:spacing w:line="240" w:lineRule="auto"/>
              <w:jc w:val="center"/>
              <w:rPr>
                <w:rFonts w:hint="eastAsia" w:ascii="宋体" w:hAnsi="宋体" w:cs="宋体"/>
                <w:color w:val="auto"/>
                <w:kern w:val="0"/>
                <w:sz w:val="20"/>
                <w:szCs w:val="21"/>
                <w:lang w:val="en-US" w:eastAsia="zh-CN"/>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5" w:type="dxa"/>
            <w:vAlign w:val="center"/>
          </w:tcPr>
          <w:p>
            <w:pPr>
              <w:adjustRightInd w:val="0"/>
              <w:snapToGrid w:val="0"/>
              <w:spacing w:line="360" w:lineRule="auto"/>
              <w:jc w:val="center"/>
              <w:rPr>
                <w:rFonts w:hint="default" w:ascii="宋体" w:hAnsi="宋体" w:cs="宋体"/>
                <w:color w:val="auto"/>
                <w:kern w:val="0"/>
                <w:sz w:val="20"/>
                <w:szCs w:val="21"/>
                <w:lang w:val="en-US" w:eastAsia="zh-CN"/>
              </w:rPr>
            </w:pPr>
            <w:r>
              <w:rPr>
                <w:rFonts w:hint="eastAsia" w:ascii="宋体" w:hAnsi="宋体" w:cs="宋体"/>
                <w:color w:val="auto"/>
                <w:kern w:val="0"/>
                <w:sz w:val="20"/>
                <w:szCs w:val="21"/>
                <w:lang w:val="en-US" w:eastAsia="zh-CN"/>
              </w:rPr>
              <w:t>3</w:t>
            </w:r>
          </w:p>
        </w:tc>
        <w:tc>
          <w:tcPr>
            <w:tcW w:w="2409" w:type="dxa"/>
            <w:vAlign w:val="center"/>
          </w:tcPr>
          <w:p>
            <w:pPr>
              <w:adjustRightInd w:val="0"/>
              <w:snapToGrid w:val="0"/>
              <w:spacing w:line="240" w:lineRule="auto"/>
              <w:jc w:val="center"/>
              <w:rPr>
                <w:rFonts w:hint="default"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w:t>
            </w:r>
          </w:p>
        </w:tc>
        <w:tc>
          <w:tcPr>
            <w:tcW w:w="531" w:type="dxa"/>
            <w:vAlign w:val="center"/>
          </w:tcPr>
          <w:p>
            <w:pPr>
              <w:adjustRightInd w:val="0"/>
              <w:snapToGrid w:val="0"/>
              <w:spacing w:line="240" w:lineRule="auto"/>
              <w:jc w:val="center"/>
              <w:rPr>
                <w:rFonts w:hint="eastAsia" w:ascii="宋体" w:hAnsi="宋体" w:cs="宋体"/>
                <w:b w:val="0"/>
                <w:bCs w:val="0"/>
                <w:color w:val="auto"/>
                <w:kern w:val="0"/>
                <w:sz w:val="20"/>
                <w:szCs w:val="21"/>
                <w:lang w:val="en-US" w:eastAsia="zh-CN"/>
              </w:rPr>
            </w:pPr>
          </w:p>
        </w:tc>
        <w:tc>
          <w:tcPr>
            <w:tcW w:w="681" w:type="dxa"/>
            <w:vAlign w:val="center"/>
          </w:tcPr>
          <w:p>
            <w:pPr>
              <w:adjustRightInd w:val="0"/>
              <w:snapToGrid w:val="0"/>
              <w:spacing w:line="240" w:lineRule="auto"/>
              <w:jc w:val="center"/>
              <w:rPr>
                <w:rFonts w:hint="eastAsia" w:ascii="宋体" w:hAnsi="宋体" w:cs="宋体"/>
                <w:b w:val="0"/>
                <w:bCs w:val="0"/>
                <w:color w:val="auto"/>
                <w:kern w:val="0"/>
                <w:sz w:val="20"/>
                <w:szCs w:val="21"/>
                <w:lang w:val="en-US" w:eastAsia="zh-CN"/>
              </w:rPr>
            </w:pPr>
          </w:p>
        </w:tc>
        <w:tc>
          <w:tcPr>
            <w:tcW w:w="1108" w:type="dxa"/>
            <w:vAlign w:val="center"/>
          </w:tcPr>
          <w:p>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pPr>
              <w:adjustRightInd w:val="0"/>
              <w:snapToGrid w:val="0"/>
              <w:spacing w:line="240" w:lineRule="auto"/>
              <w:jc w:val="center"/>
              <w:rPr>
                <w:rFonts w:hint="eastAsia" w:ascii="宋体" w:hAnsi="宋体" w:cs="宋体"/>
                <w:b w:val="0"/>
                <w:bCs w:val="0"/>
                <w:color w:val="auto"/>
                <w:kern w:val="0"/>
                <w:sz w:val="20"/>
                <w:szCs w:val="21"/>
                <w:lang w:eastAsia="zh-CN"/>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715" w:type="dxa"/>
            <w:vAlign w:val="center"/>
          </w:tcPr>
          <w:p>
            <w:pPr>
              <w:adjustRightInd w:val="0"/>
              <w:snapToGrid w:val="0"/>
              <w:spacing w:line="360" w:lineRule="auto"/>
              <w:jc w:val="center"/>
              <w:rPr>
                <w:rFonts w:hint="eastAsia" w:ascii="宋体" w:hAnsi="宋体" w:cs="宋体"/>
                <w:color w:val="auto"/>
                <w:kern w:val="0"/>
                <w:sz w:val="20"/>
                <w:szCs w:val="21"/>
              </w:rPr>
            </w:pPr>
          </w:p>
        </w:tc>
        <w:tc>
          <w:tcPr>
            <w:tcW w:w="2409" w:type="dxa"/>
            <w:vAlign w:val="center"/>
          </w:tcPr>
          <w:p>
            <w:pPr>
              <w:adjustRightInd w:val="0"/>
              <w:snapToGrid w:val="0"/>
              <w:spacing w:line="360" w:lineRule="auto"/>
              <w:ind w:firstLine="843" w:firstLineChars="400"/>
              <w:jc w:val="both"/>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合计</w:t>
            </w:r>
          </w:p>
        </w:tc>
        <w:tc>
          <w:tcPr>
            <w:tcW w:w="5716" w:type="dxa"/>
            <w:gridSpan w:val="5"/>
            <w:vAlign w:val="center"/>
          </w:tcPr>
          <w:p>
            <w:pPr>
              <w:adjustRightInd w:val="0"/>
              <w:snapToGrid w:val="0"/>
              <w:spacing w:line="36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xx元</w:t>
            </w:r>
          </w:p>
        </w:tc>
      </w:tr>
    </w:tbl>
    <w:p>
      <w:pPr>
        <w:spacing w:line="360" w:lineRule="auto"/>
        <w:rPr>
          <w:rFonts w:ascii="宋体" w:hAnsi="宋体" w:cs="宋体"/>
          <w:color w:val="auto"/>
          <w:szCs w:val="21"/>
        </w:rPr>
      </w:pPr>
      <w:r>
        <w:rPr>
          <w:rFonts w:hint="eastAsia" w:ascii="宋体" w:hAnsi="宋体" w:cs="宋体"/>
          <w:color w:val="auto"/>
          <w:szCs w:val="21"/>
        </w:rPr>
        <w:t>注：</w:t>
      </w:r>
    </w:p>
    <w:p>
      <w:pPr>
        <w:spacing w:line="360" w:lineRule="auto"/>
        <w:rPr>
          <w:rFonts w:ascii="宋体" w:hAnsi="宋体" w:cs="宋体"/>
          <w:color w:val="auto"/>
          <w:szCs w:val="21"/>
        </w:rPr>
      </w:pPr>
      <w:r>
        <w:rPr>
          <w:rFonts w:hint="eastAsia" w:ascii="宋体" w:hAnsi="宋体" w:cs="宋体"/>
          <w:color w:val="auto"/>
          <w:spacing w:val="-1"/>
          <w:szCs w:val="21"/>
        </w:rPr>
        <w:t>1、若单价和总价有差异，以单价为准；</w:t>
      </w:r>
    </w:p>
    <w:p>
      <w:pPr>
        <w:spacing w:line="360" w:lineRule="auto"/>
        <w:rPr>
          <w:rFonts w:ascii="宋体" w:hAnsi="宋体" w:cs="宋体"/>
          <w:color w:val="auto"/>
          <w:szCs w:val="21"/>
        </w:rPr>
      </w:pPr>
      <w:r>
        <w:rPr>
          <w:rFonts w:hint="eastAsia" w:ascii="宋体" w:hAnsi="宋体" w:cs="宋体"/>
          <w:color w:val="auto"/>
          <w:spacing w:val="-1"/>
          <w:szCs w:val="21"/>
        </w:rPr>
        <w:t>2、</w:t>
      </w:r>
      <w:r>
        <w:rPr>
          <w:rFonts w:hint="eastAsia" w:ascii="宋体" w:hAnsi="宋体" w:cs="宋体"/>
          <w:bCs/>
          <w:color w:val="auto"/>
          <w:spacing w:val="2"/>
          <w:szCs w:val="21"/>
        </w:rPr>
        <w:t>报价方</w:t>
      </w:r>
      <w:r>
        <w:rPr>
          <w:rFonts w:hint="eastAsia" w:ascii="宋体" w:hAnsi="宋体" w:cs="宋体"/>
          <w:color w:val="auto"/>
          <w:spacing w:val="-1"/>
          <w:szCs w:val="21"/>
        </w:rPr>
        <w:t>为执行本项目所发生的其他一切费用均已包含在总价中；</w:t>
      </w:r>
    </w:p>
    <w:p>
      <w:pPr>
        <w:spacing w:line="360" w:lineRule="auto"/>
        <w:rPr>
          <w:rFonts w:hint="eastAsia" w:ascii="宋体" w:hAnsi="宋体" w:cs="宋体"/>
          <w:color w:val="auto"/>
          <w:spacing w:val="-1"/>
          <w:szCs w:val="21"/>
        </w:rPr>
      </w:pPr>
      <w:r>
        <w:rPr>
          <w:rFonts w:hint="eastAsia" w:ascii="宋体" w:hAnsi="宋体" w:cs="宋体"/>
          <w:color w:val="auto"/>
          <w:spacing w:val="-1"/>
          <w:szCs w:val="21"/>
        </w:rPr>
        <w:t>3、按照询价文件中的需求进行报价，报价包含运杂费、服务</w:t>
      </w:r>
      <w:r>
        <w:rPr>
          <w:rFonts w:hint="eastAsia" w:ascii="宋体" w:hAnsi="宋体" w:cs="宋体"/>
          <w:color w:val="auto"/>
          <w:spacing w:val="-1"/>
          <w:szCs w:val="21"/>
          <w:lang w:val="en-US" w:eastAsia="zh-CN"/>
        </w:rPr>
        <w:t>/产品</w:t>
      </w:r>
      <w:r>
        <w:rPr>
          <w:rFonts w:hint="eastAsia" w:ascii="宋体" w:hAnsi="宋体" w:cs="宋体"/>
          <w:color w:val="auto"/>
          <w:spacing w:val="-1"/>
          <w:szCs w:val="21"/>
        </w:rPr>
        <w:t>费</w:t>
      </w:r>
      <w:r>
        <w:rPr>
          <w:rFonts w:hint="eastAsia" w:ascii="宋体" w:hAnsi="宋体" w:cs="宋体"/>
          <w:color w:val="auto"/>
          <w:spacing w:val="-1"/>
          <w:szCs w:val="21"/>
          <w:lang w:eastAsia="zh-CN"/>
        </w:rPr>
        <w:t>、税费</w:t>
      </w:r>
      <w:r>
        <w:rPr>
          <w:rFonts w:hint="eastAsia" w:ascii="宋体" w:hAnsi="宋体" w:cs="宋体"/>
          <w:color w:val="auto"/>
          <w:spacing w:val="-1"/>
          <w:szCs w:val="21"/>
        </w:rPr>
        <w:t xml:space="preserve">，发票应按照分项报价清单分项开具对应符合规定税率的全额增值税专用发票。 </w:t>
      </w:r>
    </w:p>
    <w:p>
      <w:pPr>
        <w:spacing w:line="360" w:lineRule="auto"/>
        <w:jc w:val="right"/>
        <w:rPr>
          <w:rFonts w:hint="eastAsia" w:ascii="宋体" w:hAnsi="宋体" w:cs="宋体"/>
          <w:color w:val="auto"/>
          <w:spacing w:val="-1"/>
          <w:szCs w:val="21"/>
        </w:rPr>
      </w:pPr>
    </w:p>
    <w:p>
      <w:pPr>
        <w:wordWrap w:val="0"/>
        <w:spacing w:line="360" w:lineRule="auto"/>
        <w:jc w:val="right"/>
        <w:rPr>
          <w:rFonts w:hint="default" w:ascii="宋体" w:hAnsi="宋体" w:eastAsia="宋体" w:cs="宋体"/>
          <w:color w:val="auto"/>
          <w:spacing w:val="-1"/>
          <w:szCs w:val="21"/>
          <w:lang w:val="en-US" w:eastAsia="zh-CN"/>
        </w:rPr>
      </w:pPr>
      <w:r>
        <w:rPr>
          <w:rFonts w:hint="eastAsia" w:ascii="宋体" w:hAnsi="宋体" w:cs="宋体"/>
          <w:color w:val="auto"/>
          <w:spacing w:val="-1"/>
          <w:szCs w:val="21"/>
        </w:rPr>
        <w:t>法定代表人或其授权代理人签字：</w:t>
      </w:r>
      <w:r>
        <w:rPr>
          <w:rFonts w:hint="eastAsia" w:ascii="宋体" w:hAnsi="宋体" w:cs="宋体"/>
          <w:color w:val="auto"/>
          <w:spacing w:val="-1"/>
          <w:szCs w:val="21"/>
          <w:lang w:val="en-US" w:eastAsia="zh-CN"/>
        </w:rPr>
        <w:t xml:space="preserve">     </w:t>
      </w:r>
    </w:p>
    <w:p>
      <w:pPr>
        <w:wordWrap w:val="0"/>
        <w:spacing w:line="360" w:lineRule="auto"/>
        <w:jc w:val="right"/>
        <w:rPr>
          <w:rFonts w:hint="default" w:eastAsia="宋体" w:asciiTheme="minorEastAsia" w:hAnsiTheme="minorEastAsia" w:cstheme="minorEastAsia"/>
          <w:color w:val="auto"/>
          <w:kern w:val="0"/>
          <w:sz w:val="24"/>
          <w:highlight w:val="none"/>
          <w:lang w:val="en-US" w:eastAsia="zh-CN"/>
        </w:rPr>
      </w:pPr>
      <w:r>
        <w:rPr>
          <w:rFonts w:hint="eastAsia" w:ascii="宋体" w:hAnsi="宋体" w:cs="宋体"/>
          <w:color w:val="auto"/>
          <w:spacing w:val="-1"/>
          <w:szCs w:val="21"/>
        </w:rPr>
        <w:t>年     月     日</w:t>
      </w:r>
      <w:r>
        <w:rPr>
          <w:rFonts w:hint="eastAsia" w:ascii="宋体" w:hAnsi="宋体" w:cs="宋体"/>
          <w:color w:val="auto"/>
          <w:spacing w:val="-1"/>
          <w:szCs w:val="21"/>
          <w:lang w:val="en-US" w:eastAsia="zh-CN"/>
        </w:rPr>
        <w:t xml:space="preserve">          </w:t>
      </w:r>
    </w:p>
    <w:p>
      <w:pPr>
        <w:spacing w:line="360" w:lineRule="auto"/>
        <w:jc w:val="center"/>
        <w:rPr>
          <w:color w:val="auto"/>
          <w:spacing w:val="-1"/>
          <w:sz w:val="24"/>
          <w:highlight w:val="none"/>
        </w:rPr>
        <w:sectPr>
          <w:footerReference r:id="rId8" w:type="default"/>
          <w:pgSz w:w="11906" w:h="16838"/>
          <w:pgMar w:top="1440" w:right="1800" w:bottom="1440" w:left="1800" w:header="851" w:footer="992" w:gutter="0"/>
          <w:pgNumType w:fmt="decimal"/>
          <w:cols w:space="720" w:num="1"/>
          <w:docGrid w:type="lines" w:linePitch="312" w:charSpace="0"/>
        </w:sectPr>
      </w:pPr>
    </w:p>
    <w:p>
      <w:pPr>
        <w:spacing w:line="360" w:lineRule="auto"/>
        <w:jc w:val="center"/>
        <w:outlineLvl w:val="5"/>
        <w:rPr>
          <w:rFonts w:ascii="宋体" w:hAnsi="宋体" w:cs="宋体"/>
          <w:color w:val="auto"/>
          <w:szCs w:val="21"/>
          <w:highlight w:val="none"/>
        </w:rPr>
      </w:pPr>
      <w:r>
        <w:rPr>
          <w:rFonts w:hint="eastAsia"/>
          <w:b/>
          <w:bCs/>
          <w:color w:val="auto"/>
          <w:spacing w:val="14"/>
          <w:kern w:val="0"/>
          <w:sz w:val="28"/>
          <w:szCs w:val="28"/>
          <w:highlight w:val="none"/>
        </w:rPr>
        <w:t>品质</w:t>
      </w:r>
    </w:p>
    <w:tbl>
      <w:tblPr>
        <w:tblStyle w:val="19"/>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pPr>
              <w:widowControl/>
              <w:jc w:val="both"/>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技术要求</w:t>
            </w:r>
          </w:p>
        </w:tc>
        <w:tc>
          <w:tcPr>
            <w:tcW w:w="2046"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widowControl/>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457" w:hRule="exact"/>
          <w:jc w:val="center"/>
        </w:trPr>
        <w:tc>
          <w:tcPr>
            <w:tcW w:w="8554" w:type="dxa"/>
            <w:gridSpan w:val="3"/>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yellow"/>
              </w:rPr>
            </w:pPr>
            <w:r>
              <w:rPr>
                <w:rFonts w:hint="eastAsia" w:ascii="宋体" w:hAnsi="宋体"/>
                <w:color w:val="auto"/>
                <w:sz w:val="24"/>
                <w:highlight w:val="none"/>
                <w:lang w:eastAsia="zh-CN"/>
              </w:rPr>
              <w:t>超高压大理局2024年金官站站外水源监测智联网系统研究项目（XZTZ）</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850"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val="0"/>
                <w:bCs/>
                <w:color w:val="auto"/>
                <w:sz w:val="20"/>
                <w:szCs w:val="20"/>
                <w:highlight w:val="none"/>
              </w:rPr>
            </w:pPr>
            <w:r>
              <w:rPr>
                <w:rFonts w:hint="eastAsia" w:asciiTheme="minorEastAsia" w:hAnsiTheme="minorEastAsia" w:eastAsiaTheme="minorEastAsia" w:cstheme="minorEastAsia"/>
                <w:b w:val="0"/>
                <w:bCs/>
                <w:color w:val="auto"/>
                <w:kern w:val="0"/>
                <w:sz w:val="20"/>
                <w:szCs w:val="20"/>
                <w:highlight w:val="none"/>
                <w:lang w:bidi="ar"/>
              </w:rPr>
              <w:t>1</w:t>
            </w:r>
          </w:p>
        </w:tc>
        <w:tc>
          <w:tcPr>
            <w:tcW w:w="5920" w:type="dxa"/>
            <w:tcBorders>
              <w:tl2br w:val="nil"/>
              <w:tr2bl w:val="nil"/>
            </w:tcBorders>
            <w:shd w:val="clear" w:color="auto" w:fill="auto"/>
            <w:vAlign w:val="center"/>
          </w:tcPr>
          <w:p>
            <w:pPr>
              <w:widowControl/>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eastAsia="zh-CN"/>
              </w:rPr>
              <w:t>开发新型站外水源多参量融合传感器。实现站外水源水质、有毒物、水温、水位等关键参数的实时监测及上送。</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805"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val="0"/>
                <w:bCs/>
                <w:color w:val="auto"/>
                <w:sz w:val="20"/>
                <w:szCs w:val="20"/>
                <w:highlight w:val="none"/>
              </w:rPr>
            </w:pPr>
            <w:r>
              <w:rPr>
                <w:rFonts w:hint="eastAsia" w:asciiTheme="minorEastAsia" w:hAnsiTheme="minorEastAsia" w:eastAsiaTheme="minorEastAsia" w:cstheme="minorEastAsia"/>
                <w:b w:val="0"/>
                <w:bCs/>
                <w:color w:val="auto"/>
                <w:kern w:val="0"/>
                <w:sz w:val="20"/>
                <w:szCs w:val="20"/>
                <w:highlight w:val="none"/>
                <w:lang w:bidi="ar"/>
              </w:rPr>
              <w:t>2</w:t>
            </w:r>
          </w:p>
        </w:tc>
        <w:tc>
          <w:tcPr>
            <w:tcW w:w="5920" w:type="dxa"/>
            <w:tcBorders>
              <w:tl2br w:val="nil"/>
              <w:tr2bl w:val="nil"/>
            </w:tcBorders>
            <w:shd w:val="clear" w:color="auto" w:fill="auto"/>
            <w:vAlign w:val="center"/>
          </w:tcPr>
          <w:p>
            <w:pPr>
              <w:widowControl/>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搭建基于南网平台的物联网模型。依据通信协议，配置对应的物联网卡并调通与南网物联网平台的通信链路。</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053"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val="0"/>
                <w:bCs/>
                <w:color w:val="auto"/>
                <w:sz w:val="20"/>
                <w:szCs w:val="20"/>
                <w:highlight w:val="none"/>
              </w:rPr>
            </w:pPr>
            <w:r>
              <w:rPr>
                <w:rFonts w:hint="eastAsia" w:asciiTheme="minorEastAsia" w:hAnsiTheme="minorEastAsia" w:eastAsiaTheme="minorEastAsia" w:cstheme="minorEastAsia"/>
                <w:b w:val="0"/>
                <w:bCs/>
                <w:color w:val="auto"/>
                <w:kern w:val="0"/>
                <w:sz w:val="20"/>
                <w:szCs w:val="20"/>
                <w:highlight w:val="none"/>
                <w:lang w:bidi="ar"/>
              </w:rPr>
              <w:t>3</w:t>
            </w:r>
          </w:p>
        </w:tc>
        <w:tc>
          <w:tcPr>
            <w:tcW w:w="5920" w:type="dxa"/>
            <w:tcBorders>
              <w:tl2br w:val="nil"/>
              <w:tr2bl w:val="nil"/>
            </w:tcBorders>
            <w:shd w:val="clear" w:color="auto" w:fill="auto"/>
            <w:vAlign w:val="center"/>
          </w:tcPr>
          <w:p>
            <w:pPr>
              <w:widowControl/>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开展数据转化及上送。将物联网所采集到的数据，按照南网物联网模型要求进行转换，依据MQTT等协议将数据通过便携主机由物联网卡将数据上传至南网物联网平台。</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708" w:hRule="exact"/>
          <w:jc w:val="center"/>
        </w:trPr>
        <w:tc>
          <w:tcPr>
            <w:tcW w:w="588"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val="0"/>
                <w:bCs/>
                <w:color w:val="auto"/>
                <w:kern w:val="0"/>
                <w:sz w:val="20"/>
                <w:szCs w:val="20"/>
                <w:highlight w:val="none"/>
                <w:lang w:val="en-US" w:eastAsia="zh-CN" w:bidi="ar"/>
              </w:rPr>
            </w:pPr>
            <w:r>
              <w:rPr>
                <w:rFonts w:hint="eastAsia" w:asciiTheme="minorEastAsia" w:hAnsiTheme="minorEastAsia" w:eastAsiaTheme="minorEastAsia" w:cstheme="minorEastAsia"/>
                <w:b w:val="0"/>
                <w:bCs/>
                <w:color w:val="auto"/>
                <w:kern w:val="0"/>
                <w:sz w:val="20"/>
                <w:szCs w:val="20"/>
                <w:highlight w:val="none"/>
                <w:lang w:val="en-US" w:eastAsia="zh-CN" w:bidi="ar"/>
              </w:rPr>
              <w:t>4</w:t>
            </w:r>
          </w:p>
        </w:tc>
        <w:tc>
          <w:tcPr>
            <w:tcW w:w="5920" w:type="dxa"/>
            <w:tcBorders>
              <w:tl2br w:val="nil"/>
              <w:tr2bl w:val="nil"/>
            </w:tcBorders>
            <w:shd w:val="clear" w:color="auto" w:fill="auto"/>
            <w:vAlign w:val="center"/>
          </w:tcPr>
          <w:p>
            <w:pPr>
              <w:widowControl/>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开发基于南网中台的站外水源监测的专用服务组件。基于南网智瞰开发一个可以从中台读取数据的微应用，对数据进行可视化展示，应用百度echarts等专用报表工具，实现折线图、柱形图等趋势分析，超过定值发告警，并通过LSTM（长短期记忆网络）算法对图表进行分析，提前预测各参数的劣化趋势，对管理员进行预警。</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068" w:hRule="exact"/>
          <w:jc w:val="center"/>
        </w:trPr>
        <w:tc>
          <w:tcPr>
            <w:tcW w:w="588"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val="0"/>
                <w:bCs/>
                <w:color w:val="auto"/>
                <w:kern w:val="0"/>
                <w:sz w:val="20"/>
                <w:szCs w:val="20"/>
                <w:highlight w:val="none"/>
                <w:lang w:val="en-US" w:eastAsia="zh-CN" w:bidi="ar"/>
              </w:rPr>
            </w:pPr>
            <w:r>
              <w:rPr>
                <w:rFonts w:hint="eastAsia" w:asciiTheme="minorEastAsia" w:hAnsiTheme="minorEastAsia" w:eastAsiaTheme="minorEastAsia" w:cstheme="minorEastAsia"/>
                <w:b w:val="0"/>
                <w:bCs/>
                <w:color w:val="auto"/>
                <w:kern w:val="0"/>
                <w:sz w:val="20"/>
                <w:szCs w:val="20"/>
                <w:highlight w:val="none"/>
                <w:lang w:val="en-US" w:eastAsia="zh-CN" w:bidi="ar"/>
              </w:rPr>
              <w:t>5</w:t>
            </w:r>
          </w:p>
        </w:tc>
        <w:tc>
          <w:tcPr>
            <w:tcW w:w="5920" w:type="dxa"/>
            <w:tcBorders>
              <w:tl2br w:val="nil"/>
              <w:tr2bl w:val="nil"/>
            </w:tcBorders>
            <w:shd w:val="clear" w:color="auto" w:fill="auto"/>
            <w:vAlign w:val="center"/>
          </w:tcPr>
          <w:p>
            <w:pPr>
              <w:widowControl/>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开展RPA程序编写。通过时间间隔调度，</w:t>
            </w:r>
            <w:bookmarkStart w:id="15" w:name="_GoBack"/>
            <w:bookmarkEnd w:id="15"/>
            <w:r>
              <w:rPr>
                <w:rFonts w:hint="eastAsia" w:asciiTheme="minorEastAsia" w:hAnsiTheme="minorEastAsia" w:eastAsiaTheme="minorEastAsia" w:cstheme="minorEastAsia"/>
                <w:color w:val="auto"/>
                <w:sz w:val="20"/>
                <w:szCs w:val="20"/>
                <w:highlight w:val="none"/>
              </w:rPr>
              <w:t>如5分钟自动刷屏，判断数据是否超标，然后调取elink对运行人员发送告警信息，帮助运维人员及时响应，启动相应的应急预案。</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888" w:hRule="exact"/>
          <w:jc w:val="center"/>
        </w:trPr>
        <w:tc>
          <w:tcPr>
            <w:tcW w:w="588"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val="0"/>
                <w:bCs/>
                <w:color w:val="auto"/>
                <w:kern w:val="0"/>
                <w:sz w:val="20"/>
                <w:szCs w:val="20"/>
                <w:highlight w:val="none"/>
                <w:lang w:val="en-US" w:eastAsia="zh-CN" w:bidi="ar"/>
              </w:rPr>
            </w:pPr>
            <w:r>
              <w:rPr>
                <w:rFonts w:hint="eastAsia" w:asciiTheme="minorEastAsia" w:hAnsiTheme="minorEastAsia" w:eastAsiaTheme="minorEastAsia" w:cstheme="minorEastAsia"/>
                <w:b w:val="0"/>
                <w:bCs/>
                <w:color w:val="auto"/>
                <w:kern w:val="0"/>
                <w:sz w:val="20"/>
                <w:szCs w:val="20"/>
                <w:highlight w:val="none"/>
                <w:lang w:val="en-US" w:eastAsia="zh-CN" w:bidi="ar"/>
              </w:rPr>
              <w:t>6</w:t>
            </w:r>
          </w:p>
        </w:tc>
        <w:tc>
          <w:tcPr>
            <w:tcW w:w="5920" w:type="dxa"/>
            <w:tcBorders>
              <w:tl2br w:val="nil"/>
              <w:tr2bl w:val="nil"/>
            </w:tcBorders>
            <w:shd w:val="clear" w:color="auto" w:fill="auto"/>
            <w:vAlign w:val="center"/>
          </w:tcPr>
          <w:p>
            <w:pPr>
              <w:widowControl/>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交付成果：参与开发基于</w:t>
            </w:r>
            <w:r>
              <w:rPr>
                <w:rFonts w:hint="eastAsia" w:asciiTheme="minorEastAsia" w:hAnsiTheme="minorEastAsia" w:eastAsiaTheme="minorEastAsia" w:cstheme="minorEastAsia"/>
                <w:color w:val="auto"/>
                <w:sz w:val="20"/>
                <w:szCs w:val="20"/>
                <w:highlight w:val="none"/>
                <w:lang w:val="en-US" w:eastAsia="zh-CN"/>
              </w:rPr>
              <w:t>智联网</w:t>
            </w:r>
            <w:r>
              <w:rPr>
                <w:rFonts w:hint="eastAsia" w:asciiTheme="minorEastAsia" w:hAnsiTheme="minorEastAsia" w:eastAsiaTheme="minorEastAsia" w:cstheme="minorEastAsia"/>
                <w:color w:val="auto"/>
                <w:sz w:val="20"/>
                <w:szCs w:val="20"/>
                <w:highlight w:val="none"/>
              </w:rPr>
              <w:t>技术的金官站站外水源监测系统1套，配合开展技术创新总结提炼及保护相关工作。</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bl>
    <w:p>
      <w:pPr>
        <w:tabs>
          <w:tab w:val="left" w:pos="7180"/>
          <w:tab w:val="left" w:pos="7601"/>
        </w:tabs>
        <w:spacing w:line="360" w:lineRule="auto"/>
        <w:jc w:val="right"/>
        <w:rPr>
          <w:rFonts w:hint="eastAsia" w:asciiTheme="minorEastAsia" w:hAnsiTheme="minorEastAsia" w:eastAsiaTheme="minorEastAsia" w:cstheme="minorEastAsia"/>
          <w:color w:val="auto"/>
          <w:spacing w:val="-1"/>
          <w:kern w:val="0"/>
          <w:sz w:val="24"/>
          <w:highlight w:val="none"/>
          <w:lang w:val="zh-CN"/>
        </w:rPr>
      </w:pPr>
    </w:p>
    <w:p>
      <w:pPr>
        <w:tabs>
          <w:tab w:val="left" w:pos="7180"/>
          <w:tab w:val="left" w:pos="7601"/>
        </w:tabs>
        <w:spacing w:line="360" w:lineRule="auto"/>
        <w:jc w:val="right"/>
        <w:rPr>
          <w:rFonts w:asciiTheme="minorEastAsia" w:hAnsiTheme="minorEastAsia" w:eastAsiaTheme="minorEastAsia" w:cstheme="minorEastAsia"/>
          <w:color w:val="auto"/>
          <w:spacing w:val="23"/>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zh-CN"/>
        </w:rPr>
        <w:t>报价单位：</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（盖单位章）</w:t>
      </w:r>
    </w:p>
    <w:p>
      <w:pPr>
        <w:tabs>
          <w:tab w:val="left" w:pos="7180"/>
          <w:tab w:val="left" w:pos="7601"/>
        </w:tabs>
        <w:spacing w:line="360" w:lineRule="auto"/>
        <w:jc w:val="left"/>
        <w:rPr>
          <w:rFonts w:asciiTheme="minorEastAsia" w:hAnsiTheme="minorEastAsia" w:eastAsiaTheme="minorEastAsia" w:cstheme="minorEastAsia"/>
          <w:color w:val="auto"/>
          <w:spacing w:val="-1"/>
          <w:kern w:val="0"/>
          <w:sz w:val="24"/>
          <w:highlight w:val="none"/>
          <w:lang w:val="zh-CN"/>
        </w:rPr>
      </w:pPr>
    </w:p>
    <w:p>
      <w:pPr>
        <w:tabs>
          <w:tab w:val="left" w:pos="7180"/>
          <w:tab w:val="left" w:pos="7601"/>
        </w:tabs>
        <w:spacing w:line="360" w:lineRule="auto"/>
        <w:jc w:val="right"/>
        <w:rPr>
          <w:rFonts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zh-CN"/>
        </w:rPr>
        <w:t>法定代表人或授权代表：</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（签字）</w:t>
      </w:r>
    </w:p>
    <w:p>
      <w:pPr>
        <w:tabs>
          <w:tab w:val="left" w:pos="525"/>
          <w:tab w:val="left" w:pos="1051"/>
        </w:tabs>
        <w:wordWrap w:val="0"/>
        <w:spacing w:line="360" w:lineRule="auto"/>
        <w:jc w:val="right"/>
        <w:rPr>
          <w:rFonts w:asciiTheme="minorEastAsia" w:hAnsiTheme="minorEastAsia" w:eastAsiaTheme="minorEastAsia" w:cstheme="minorEastAsia"/>
          <w:color w:val="auto"/>
          <w:kern w:val="0"/>
          <w:sz w:val="24"/>
          <w:highlight w:val="none"/>
          <w:lang w:val="zh-CN"/>
        </w:rPr>
      </w:pPr>
    </w:p>
    <w:p>
      <w:pPr>
        <w:tabs>
          <w:tab w:val="left" w:pos="722"/>
          <w:tab w:val="left" w:pos="1323"/>
        </w:tabs>
        <w:spacing w:line="360" w:lineRule="auto"/>
        <w:jc w:val="right"/>
        <w:rPr>
          <w:b/>
          <w:bCs/>
          <w:color w:val="auto"/>
          <w:spacing w:val="14"/>
          <w:kern w:val="0"/>
          <w:sz w:val="28"/>
          <w:szCs w:val="28"/>
          <w:highlight w:val="none"/>
        </w:rPr>
      </w:pPr>
      <w:r>
        <w:rPr>
          <w:rFonts w:hint="eastAsia" w:asciiTheme="minorEastAsia" w:hAnsiTheme="minorEastAsia" w:eastAsiaTheme="minorEastAsia" w:cstheme="minorEastAsia"/>
          <w:color w:val="auto"/>
          <w:kern w:val="0"/>
          <w:sz w:val="24"/>
          <w:highlight w:val="none"/>
          <w:lang w:val="zh-CN"/>
        </w:rPr>
        <w:t>年      月      日</w:t>
      </w:r>
    </w:p>
    <w:p>
      <w:pPr>
        <w:rPr>
          <w:b/>
          <w:bCs/>
          <w:color w:val="auto"/>
          <w:spacing w:val="14"/>
          <w:kern w:val="0"/>
          <w:sz w:val="28"/>
          <w:szCs w:val="28"/>
          <w:highlight w:val="none"/>
        </w:rPr>
      </w:pPr>
      <w:r>
        <w:rPr>
          <w:b/>
          <w:bCs/>
          <w:color w:val="auto"/>
          <w:spacing w:val="14"/>
          <w:kern w:val="0"/>
          <w:sz w:val="28"/>
          <w:szCs w:val="28"/>
          <w:highlight w:val="none"/>
        </w:rPr>
        <w:br w:type="page"/>
      </w:r>
    </w:p>
    <w:p>
      <w:pPr>
        <w:spacing w:line="360" w:lineRule="auto"/>
        <w:outlineLvl w:val="5"/>
        <w:rPr>
          <w:b/>
          <w:bCs/>
          <w:color w:val="auto"/>
          <w:spacing w:val="14"/>
          <w:kern w:val="0"/>
          <w:sz w:val="28"/>
          <w:szCs w:val="28"/>
          <w:highlight w:val="none"/>
        </w:rPr>
      </w:pPr>
    </w:p>
    <w:p>
      <w:pPr>
        <w:spacing w:line="360" w:lineRule="auto"/>
        <w:jc w:val="center"/>
        <w:outlineLvl w:val="5"/>
        <w:rPr>
          <w:b/>
          <w:bCs/>
          <w:color w:val="auto"/>
          <w:spacing w:val="14"/>
          <w:kern w:val="0"/>
          <w:sz w:val="28"/>
          <w:szCs w:val="28"/>
          <w:highlight w:val="none"/>
        </w:rPr>
      </w:pPr>
      <w:r>
        <w:rPr>
          <w:rFonts w:hint="eastAsia"/>
          <w:b/>
          <w:bCs/>
          <w:color w:val="auto"/>
          <w:spacing w:val="14"/>
          <w:kern w:val="0"/>
          <w:sz w:val="28"/>
          <w:szCs w:val="28"/>
          <w:highlight w:val="none"/>
        </w:rPr>
        <w:t>售后服务</w:t>
      </w:r>
    </w:p>
    <w:tbl>
      <w:tblPr>
        <w:tblStyle w:val="19"/>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pPr>
              <w:widowControl/>
              <w:jc w:val="both"/>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售后服务要求</w:t>
            </w:r>
          </w:p>
        </w:tc>
        <w:tc>
          <w:tcPr>
            <w:tcW w:w="2046"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52"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1</w:t>
            </w:r>
          </w:p>
        </w:tc>
        <w:tc>
          <w:tcPr>
            <w:tcW w:w="5920" w:type="dxa"/>
            <w:tcBorders>
              <w:tl2br w:val="nil"/>
              <w:tr2bl w:val="nil"/>
            </w:tcBorders>
            <w:shd w:val="clear" w:color="auto" w:fill="auto"/>
            <w:vAlign w:val="center"/>
          </w:tcPr>
          <w:p>
            <w:pPr>
              <w:spacing w:line="360" w:lineRule="auto"/>
              <w:rPr>
                <w:rFonts w:ascii="宋体" w:hAnsi="宋体" w:cs="宋体"/>
                <w:color w:val="auto"/>
                <w:sz w:val="24"/>
                <w:highlight w:val="none"/>
              </w:rPr>
            </w:pPr>
            <w:r>
              <w:rPr>
                <w:rFonts w:hint="eastAsia" w:ascii="宋体" w:hAnsi="宋体" w:cs="宋体"/>
                <w:b/>
                <w:bCs/>
                <w:color w:val="auto"/>
                <w:sz w:val="24"/>
                <w:highlight w:val="none"/>
              </w:rPr>
              <w:t>产品发票要求：</w:t>
            </w:r>
            <w:r>
              <w:rPr>
                <w:rFonts w:hint="eastAsia" w:ascii="宋体" w:hAnsi="宋体" w:cs="宋体"/>
                <w:color w:val="auto"/>
                <w:sz w:val="24"/>
                <w:highlight w:val="none"/>
              </w:rPr>
              <w:t>报价单位可提供符合规定税率的全额增值税专用发票。</w:t>
            </w:r>
          </w:p>
          <w:p>
            <w:pPr>
              <w:widowControl/>
              <w:textAlignment w:val="center"/>
              <w:rPr>
                <w:rFonts w:ascii="宋体" w:hAnsi="宋体"/>
                <w:color w:val="auto"/>
                <w:sz w:val="24"/>
                <w:highlight w:val="none"/>
              </w:rPr>
            </w:pP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559"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2</w:t>
            </w:r>
          </w:p>
        </w:tc>
        <w:tc>
          <w:tcPr>
            <w:tcW w:w="5920" w:type="dxa"/>
            <w:tcBorders>
              <w:tl2br w:val="nil"/>
              <w:tr2bl w:val="nil"/>
            </w:tcBorders>
            <w:shd w:val="clear" w:color="auto" w:fill="auto"/>
            <w:vAlign w:val="center"/>
          </w:tcPr>
          <w:p>
            <w:pPr>
              <w:spacing w:line="360" w:lineRule="auto"/>
              <w:rPr>
                <w:rFonts w:ascii="宋体" w:hAnsi="宋体"/>
                <w:color w:val="auto"/>
                <w:sz w:val="24"/>
                <w:highlight w:val="none"/>
              </w:rPr>
            </w:pPr>
            <w:r>
              <w:rPr>
                <w:rFonts w:hint="eastAsia" w:ascii="宋体" w:hAnsi="宋体" w:cs="宋体"/>
                <w:b/>
                <w:bCs/>
                <w:color w:val="auto"/>
                <w:sz w:val="24"/>
                <w:highlight w:val="none"/>
              </w:rPr>
              <w:t>产品质保期及售后服务响应要求：</w:t>
            </w:r>
            <w:r>
              <w:rPr>
                <w:rFonts w:hint="eastAsia" w:ascii="宋体" w:hAnsi="宋体" w:cs="宋体"/>
                <w:color w:val="auto"/>
                <w:sz w:val="24"/>
                <w:highlight w:val="none"/>
              </w:rPr>
              <w:t>产品质保期不少于1年，质保期内有任何质量问题将免费进行修理、更换；售后服务的响应时间在48小时内；提供技术支持。</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437"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3</w:t>
            </w:r>
          </w:p>
        </w:tc>
        <w:tc>
          <w:tcPr>
            <w:tcW w:w="5920" w:type="dxa"/>
            <w:tcBorders>
              <w:tl2br w:val="nil"/>
              <w:tr2bl w:val="nil"/>
            </w:tcBorders>
            <w:shd w:val="clear" w:color="auto" w:fill="auto"/>
            <w:vAlign w:val="center"/>
          </w:tcPr>
          <w:p>
            <w:pPr>
              <w:spacing w:line="360" w:lineRule="auto"/>
              <w:rPr>
                <w:rFonts w:ascii="宋体" w:hAnsi="宋体" w:cs="宋体"/>
                <w:color w:val="auto"/>
                <w:sz w:val="24"/>
                <w:highlight w:val="none"/>
              </w:rPr>
            </w:pPr>
            <w:r>
              <w:rPr>
                <w:rFonts w:hint="eastAsia" w:ascii="宋体" w:hAnsi="宋体" w:cs="宋体"/>
                <w:b/>
                <w:bCs/>
                <w:color w:val="auto"/>
                <w:sz w:val="24"/>
                <w:highlight w:val="none"/>
              </w:rPr>
              <w:t>交付时间及地点要求：</w:t>
            </w:r>
            <w:r>
              <w:rPr>
                <w:rFonts w:hint="eastAsia" w:ascii="宋体" w:hAnsi="宋体" w:cs="宋体"/>
                <w:color w:val="auto"/>
                <w:sz w:val="24"/>
                <w:highlight w:val="none"/>
              </w:rPr>
              <w:t>产品交货时间为202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31</w:t>
            </w:r>
            <w:r>
              <w:rPr>
                <w:rFonts w:hint="eastAsia" w:ascii="宋体" w:hAnsi="宋体" w:cs="宋体"/>
                <w:color w:val="auto"/>
                <w:sz w:val="24"/>
                <w:highlight w:val="none"/>
              </w:rPr>
              <w:t>日前，交货地点为中国南方电网有限责任公司超高压输电公司大理局。</w:t>
            </w:r>
          </w:p>
          <w:p>
            <w:pPr>
              <w:widowControl/>
              <w:textAlignment w:val="center"/>
              <w:rPr>
                <w:rFonts w:ascii="宋体" w:hAnsi="宋体"/>
                <w:color w:val="auto"/>
                <w:sz w:val="24"/>
                <w:highlight w:val="none"/>
              </w:rPr>
            </w:pP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bl>
    <w:p>
      <w:pPr>
        <w:spacing w:line="360" w:lineRule="auto"/>
        <w:jc w:val="left"/>
        <w:outlineLvl w:val="5"/>
        <w:rPr>
          <w:color w:val="auto"/>
          <w:kern w:val="0"/>
          <w:sz w:val="24"/>
          <w:highlight w:val="none"/>
        </w:rPr>
      </w:pPr>
    </w:p>
    <w:p>
      <w:pPr>
        <w:tabs>
          <w:tab w:val="left" w:pos="7180"/>
          <w:tab w:val="left" w:pos="7601"/>
        </w:tabs>
        <w:spacing w:line="360" w:lineRule="auto"/>
        <w:jc w:val="right"/>
        <w:rPr>
          <w:color w:val="auto"/>
          <w:spacing w:val="-1"/>
          <w:kern w:val="0"/>
          <w:sz w:val="24"/>
          <w:highlight w:val="none"/>
          <w:lang w:val="zh-CN"/>
        </w:rPr>
      </w:pPr>
    </w:p>
    <w:p>
      <w:pPr>
        <w:tabs>
          <w:tab w:val="left" w:pos="7180"/>
          <w:tab w:val="left" w:pos="7601"/>
        </w:tabs>
        <w:spacing w:line="360" w:lineRule="auto"/>
        <w:jc w:val="right"/>
        <w:rPr>
          <w:color w:val="auto"/>
          <w:spacing w:val="23"/>
          <w:kern w:val="0"/>
          <w:sz w:val="24"/>
          <w:highlight w:val="none"/>
          <w:lang w:val="zh-CN"/>
        </w:rPr>
      </w:pPr>
      <w:r>
        <w:rPr>
          <w:rFonts w:hint="eastAsia"/>
          <w:color w:val="auto"/>
          <w:spacing w:val="-1"/>
          <w:kern w:val="0"/>
          <w:sz w:val="24"/>
          <w:highlight w:val="none"/>
          <w:lang w:val="zh-CN"/>
        </w:rPr>
        <w:t>报价单位：</w:t>
      </w:r>
      <w:r>
        <w:rPr>
          <w:color w:val="auto"/>
          <w:spacing w:val="-1"/>
          <w:kern w:val="0"/>
          <w:sz w:val="24"/>
          <w:highlight w:val="none"/>
          <w:u w:val="single" w:color="000000"/>
          <w:lang w:val="zh-CN"/>
        </w:rPr>
        <w:t xml:space="preserve">               </w:t>
      </w:r>
      <w:r>
        <w:rPr>
          <w:rFonts w:hint="eastAsia"/>
          <w:color w:val="auto"/>
          <w:kern w:val="0"/>
          <w:sz w:val="24"/>
          <w:highlight w:val="none"/>
          <w:lang w:val="zh-CN"/>
        </w:rPr>
        <w:t>（盖单位章）</w:t>
      </w:r>
    </w:p>
    <w:p>
      <w:pPr>
        <w:tabs>
          <w:tab w:val="left" w:pos="7180"/>
          <w:tab w:val="left" w:pos="7601"/>
        </w:tabs>
        <w:spacing w:line="360" w:lineRule="auto"/>
        <w:jc w:val="left"/>
        <w:rPr>
          <w:color w:val="auto"/>
          <w:spacing w:val="-1"/>
          <w:kern w:val="0"/>
          <w:sz w:val="24"/>
          <w:highlight w:val="none"/>
          <w:lang w:val="zh-CN"/>
        </w:rPr>
      </w:pPr>
    </w:p>
    <w:p>
      <w:pPr>
        <w:tabs>
          <w:tab w:val="left" w:pos="7180"/>
          <w:tab w:val="left" w:pos="7601"/>
        </w:tabs>
        <w:spacing w:line="360" w:lineRule="auto"/>
        <w:jc w:val="right"/>
        <w:rPr>
          <w:color w:val="auto"/>
          <w:kern w:val="0"/>
          <w:sz w:val="24"/>
          <w:highlight w:val="none"/>
          <w:lang w:val="zh-CN"/>
        </w:rPr>
      </w:pPr>
      <w:r>
        <w:rPr>
          <w:rFonts w:hint="eastAsia"/>
          <w:color w:val="auto"/>
          <w:spacing w:val="-1"/>
          <w:kern w:val="0"/>
          <w:sz w:val="24"/>
          <w:highlight w:val="none"/>
          <w:lang w:val="zh-CN"/>
        </w:rPr>
        <w:t>法定代表人或授权代表：</w:t>
      </w:r>
      <w:r>
        <w:rPr>
          <w:rFonts w:hint="eastAsia"/>
          <w:color w:val="auto"/>
          <w:spacing w:val="-1"/>
          <w:kern w:val="0"/>
          <w:sz w:val="24"/>
          <w:highlight w:val="none"/>
          <w:u w:val="single" w:color="000000"/>
          <w:lang w:val="zh-CN"/>
        </w:rPr>
        <w:t xml:space="preserve">      </w:t>
      </w:r>
      <w:r>
        <w:rPr>
          <w:color w:val="auto"/>
          <w:spacing w:val="-1"/>
          <w:kern w:val="0"/>
          <w:sz w:val="24"/>
          <w:highlight w:val="none"/>
          <w:u w:val="single" w:color="000000"/>
          <w:lang w:val="zh-CN"/>
        </w:rPr>
        <w:t xml:space="preserve">  </w:t>
      </w:r>
      <w:r>
        <w:rPr>
          <w:rFonts w:hint="eastAsia"/>
          <w:color w:val="auto"/>
          <w:kern w:val="0"/>
          <w:sz w:val="24"/>
          <w:highlight w:val="none"/>
          <w:lang w:val="zh-CN"/>
        </w:rPr>
        <w:t>（签字）</w:t>
      </w:r>
    </w:p>
    <w:p>
      <w:pPr>
        <w:tabs>
          <w:tab w:val="left" w:pos="525"/>
          <w:tab w:val="left" w:pos="1051"/>
        </w:tabs>
        <w:wordWrap w:val="0"/>
        <w:spacing w:line="360" w:lineRule="auto"/>
        <w:jc w:val="right"/>
        <w:rPr>
          <w:color w:val="auto"/>
          <w:kern w:val="0"/>
          <w:sz w:val="24"/>
          <w:highlight w:val="none"/>
          <w:lang w:val="zh-CN"/>
        </w:rPr>
      </w:pPr>
    </w:p>
    <w:p>
      <w:pPr>
        <w:tabs>
          <w:tab w:val="left" w:pos="722"/>
          <w:tab w:val="left" w:pos="1323"/>
        </w:tabs>
        <w:spacing w:line="360" w:lineRule="auto"/>
        <w:jc w:val="right"/>
        <w:rPr>
          <w:b/>
          <w:bCs/>
          <w:color w:val="auto"/>
          <w:spacing w:val="13"/>
          <w:kern w:val="0"/>
          <w:sz w:val="28"/>
          <w:szCs w:val="28"/>
          <w:highlight w:val="none"/>
        </w:rPr>
      </w:pPr>
      <w:r>
        <w:rPr>
          <w:rFonts w:hint="eastAsia"/>
          <w:color w:val="auto"/>
          <w:kern w:val="0"/>
          <w:sz w:val="24"/>
          <w:highlight w:val="none"/>
          <w:lang w:val="zh-CN"/>
        </w:rPr>
        <w:t>年</w:t>
      </w:r>
      <w:r>
        <w:rPr>
          <w:color w:val="auto"/>
          <w:kern w:val="0"/>
          <w:sz w:val="24"/>
          <w:highlight w:val="none"/>
          <w:lang w:val="zh-CN"/>
        </w:rPr>
        <w:t xml:space="preserve">      </w:t>
      </w:r>
      <w:r>
        <w:rPr>
          <w:rFonts w:hint="eastAsia"/>
          <w:color w:val="auto"/>
          <w:kern w:val="0"/>
          <w:sz w:val="24"/>
          <w:highlight w:val="none"/>
          <w:lang w:val="zh-CN"/>
        </w:rPr>
        <w:t>月</w:t>
      </w:r>
      <w:r>
        <w:rPr>
          <w:color w:val="auto"/>
          <w:kern w:val="0"/>
          <w:sz w:val="24"/>
          <w:highlight w:val="none"/>
          <w:lang w:val="zh-CN"/>
        </w:rPr>
        <w:t xml:space="preserve">      </w:t>
      </w:r>
      <w:r>
        <w:rPr>
          <w:rFonts w:hint="eastAsia"/>
          <w:color w:val="auto"/>
          <w:kern w:val="0"/>
          <w:sz w:val="24"/>
          <w:highlight w:val="none"/>
          <w:lang w:val="zh-CN"/>
        </w:rPr>
        <w:t>日</w:t>
      </w:r>
    </w:p>
    <w:p>
      <w:pPr>
        <w:rPr>
          <w:rFonts w:hint="eastAsia"/>
          <w:b/>
          <w:bCs/>
          <w:color w:val="auto"/>
          <w:spacing w:val="13"/>
          <w:kern w:val="0"/>
          <w:sz w:val="28"/>
          <w:szCs w:val="28"/>
          <w:highlight w:val="none"/>
        </w:rPr>
      </w:pPr>
      <w:r>
        <w:rPr>
          <w:rFonts w:hint="eastAsia"/>
          <w:b/>
          <w:bCs/>
          <w:color w:val="auto"/>
          <w:spacing w:val="13"/>
          <w:kern w:val="0"/>
          <w:sz w:val="28"/>
          <w:szCs w:val="28"/>
          <w:highlight w:val="none"/>
        </w:rPr>
        <w:br w:type="page"/>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spacing w:line="360" w:lineRule="auto"/>
        <w:outlineLvl w:val="5"/>
        <w:rPr>
          <w:rFonts w:ascii="宋体" w:hAnsi="宋体"/>
          <w:bCs/>
          <w:color w:val="auto"/>
          <w:szCs w:val="21"/>
          <w:highlight w:val="none"/>
        </w:rPr>
      </w:pPr>
    </w:p>
    <w:p>
      <w:pPr>
        <w:spacing w:line="360" w:lineRule="auto"/>
        <w:outlineLvl w:val="5"/>
        <w:rPr>
          <w:rFonts w:ascii="宋体" w:hAnsi="宋体"/>
          <w:bCs/>
          <w:color w:val="auto"/>
          <w:szCs w:val="21"/>
          <w:highlight w:val="none"/>
        </w:rPr>
      </w:pPr>
    </w:p>
    <w:p>
      <w:pPr>
        <w:spacing w:line="360" w:lineRule="auto"/>
        <w:rPr>
          <w:rFonts w:ascii="宋体" w:hAnsi="宋体" w:cs="宋体"/>
          <w:color w:val="auto"/>
          <w:sz w:val="24"/>
          <w:highlight w:val="none"/>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LrFBM8BAACY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lang w:val="en-US" w:eastAsia="zh-CN"/>
                            </w:rPr>
                            <w:t>7</w:t>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lang w:val="en-US" w:eastAsia="zh-CN"/>
                      </w:rPr>
                      <w:t>7</w:t>
                    </w:r>
                    <w:r>
                      <w:rPr>
                        <w:rFonts w:hint="eastAsia"/>
                        <w:sz w:val="18"/>
                      </w:rPr>
                      <w:t xml:space="preserve"> 页</w:t>
                    </w: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09601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540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p5Vo28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共 </w:t>
                          </w:r>
                          <w:r>
                            <w:rPr>
                              <w:rFonts w:hint="eastAsia"/>
                              <w:sz w:val="18"/>
                              <w:lang w:val="en-US" w:eastAsia="zh-CN"/>
                            </w:rPr>
                            <w:t>6</w:t>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共 </w:t>
                    </w:r>
                    <w:r>
                      <w:rPr>
                        <w:rFonts w:hint="eastAsia"/>
                        <w:sz w:val="18"/>
                        <w:lang w:val="en-US" w:eastAsia="zh-CN"/>
                      </w:rPr>
                      <w:t>6</w:t>
                    </w:r>
                    <w:r>
                      <w:rPr>
                        <w:rFonts w:hint="eastAsia"/>
                        <w:sz w:val="18"/>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ABC744"/>
    <w:multiLevelType w:val="singleLevel"/>
    <w:tmpl w:val="C8ABC744"/>
    <w:lvl w:ilvl="0" w:tentative="0">
      <w:start w:val="1"/>
      <w:numFmt w:val="decimal"/>
      <w:suff w:val="nothing"/>
      <w:lvlText w:val="%1、"/>
      <w:lvlJc w:val="left"/>
    </w:lvl>
  </w:abstractNum>
  <w:abstractNum w:abstractNumId="1">
    <w:nsid w:val="0000001B"/>
    <w:multiLevelType w:val="multilevel"/>
    <w:tmpl w:val="0000001B"/>
    <w:lvl w:ilvl="0" w:tentative="0">
      <w:start w:val="1"/>
      <w:numFmt w:val="none"/>
      <w:pStyle w:val="3"/>
      <w:lvlText w:val="11"/>
      <w:lvlJc w:val="left"/>
      <w:pPr>
        <w:tabs>
          <w:tab w:val="left" w:pos="425"/>
        </w:tabs>
        <w:ind w:left="0" w:firstLine="0"/>
      </w:pPr>
      <w:rPr>
        <w:rFonts w:hint="eastAsia"/>
      </w:rPr>
    </w:lvl>
    <w:lvl w:ilvl="1" w:tentative="0">
      <w:start w:val="1"/>
      <w:numFmt w:val="upperLetter"/>
      <w:pStyle w:val="2"/>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2">
    <w:nsid w:val="57854CC9"/>
    <w:multiLevelType w:val="multilevel"/>
    <w:tmpl w:val="57854CC9"/>
    <w:lvl w:ilvl="0" w:tentative="0">
      <w:start w:val="1"/>
      <w:numFmt w:val="decimal"/>
      <w:pStyle w:val="51"/>
      <w:lvlText w:val="%1"/>
      <w:lvlJc w:val="left"/>
      <w:pPr>
        <w:ind w:left="425" w:hanging="425"/>
      </w:pPr>
      <w:rPr>
        <w:rFonts w:hint="eastAsia" w:cs="Times New Roman"/>
        <w:sz w:val="21"/>
        <w:szCs w:val="21"/>
      </w:rPr>
    </w:lvl>
    <w:lvl w:ilvl="1" w:tentative="0">
      <w:start w:val="1"/>
      <w:numFmt w:val="decimal"/>
      <w:pStyle w:val="46"/>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C0C"/>
    <w:rsid w:val="000342AC"/>
    <w:rsid w:val="000872FD"/>
    <w:rsid w:val="00095578"/>
    <w:rsid w:val="000A66A7"/>
    <w:rsid w:val="000F2DDF"/>
    <w:rsid w:val="00116E19"/>
    <w:rsid w:val="001401FF"/>
    <w:rsid w:val="00141576"/>
    <w:rsid w:val="0018645D"/>
    <w:rsid w:val="001D7B66"/>
    <w:rsid w:val="0020233D"/>
    <w:rsid w:val="003008FE"/>
    <w:rsid w:val="003E3323"/>
    <w:rsid w:val="004913D8"/>
    <w:rsid w:val="004938A7"/>
    <w:rsid w:val="0060730C"/>
    <w:rsid w:val="00610134"/>
    <w:rsid w:val="00611AAA"/>
    <w:rsid w:val="00630461"/>
    <w:rsid w:val="006A222E"/>
    <w:rsid w:val="00700C0C"/>
    <w:rsid w:val="008444B1"/>
    <w:rsid w:val="008D1F6F"/>
    <w:rsid w:val="008E5C9A"/>
    <w:rsid w:val="0091043B"/>
    <w:rsid w:val="009B64F0"/>
    <w:rsid w:val="009C13CE"/>
    <w:rsid w:val="009E26B5"/>
    <w:rsid w:val="00A00FD5"/>
    <w:rsid w:val="00A276B2"/>
    <w:rsid w:val="00A465FA"/>
    <w:rsid w:val="00A7008F"/>
    <w:rsid w:val="00A73D90"/>
    <w:rsid w:val="00BE0E55"/>
    <w:rsid w:val="00C61456"/>
    <w:rsid w:val="00DB2F76"/>
    <w:rsid w:val="00DE3D98"/>
    <w:rsid w:val="00EC56DD"/>
    <w:rsid w:val="00F04019"/>
    <w:rsid w:val="00FE4E68"/>
    <w:rsid w:val="01A40F8A"/>
    <w:rsid w:val="01DD5244"/>
    <w:rsid w:val="02E84E1B"/>
    <w:rsid w:val="039A1E76"/>
    <w:rsid w:val="04501704"/>
    <w:rsid w:val="046B4A83"/>
    <w:rsid w:val="04CA6BD2"/>
    <w:rsid w:val="059852A9"/>
    <w:rsid w:val="05B67AF4"/>
    <w:rsid w:val="05CD2719"/>
    <w:rsid w:val="05F41940"/>
    <w:rsid w:val="060F4BD6"/>
    <w:rsid w:val="06910EC7"/>
    <w:rsid w:val="06AB0929"/>
    <w:rsid w:val="070A0B6B"/>
    <w:rsid w:val="07961E4E"/>
    <w:rsid w:val="08B379B6"/>
    <w:rsid w:val="08D01A69"/>
    <w:rsid w:val="094651C9"/>
    <w:rsid w:val="095B0EE9"/>
    <w:rsid w:val="09B91536"/>
    <w:rsid w:val="0A5C68BB"/>
    <w:rsid w:val="0A726C5D"/>
    <w:rsid w:val="0A9C5575"/>
    <w:rsid w:val="0AB60694"/>
    <w:rsid w:val="0ACD45B9"/>
    <w:rsid w:val="0B3145BB"/>
    <w:rsid w:val="0B5308D4"/>
    <w:rsid w:val="0B62608C"/>
    <w:rsid w:val="0BF7440E"/>
    <w:rsid w:val="0C183058"/>
    <w:rsid w:val="0C8849AD"/>
    <w:rsid w:val="0C95712B"/>
    <w:rsid w:val="0CBD44D5"/>
    <w:rsid w:val="0CC4072B"/>
    <w:rsid w:val="0CF24637"/>
    <w:rsid w:val="0CFD0263"/>
    <w:rsid w:val="0E2B54C7"/>
    <w:rsid w:val="0E8F38EB"/>
    <w:rsid w:val="0F7B2D38"/>
    <w:rsid w:val="10090346"/>
    <w:rsid w:val="100E20E9"/>
    <w:rsid w:val="108F47AF"/>
    <w:rsid w:val="109C7D56"/>
    <w:rsid w:val="11325498"/>
    <w:rsid w:val="11727245"/>
    <w:rsid w:val="11C13F63"/>
    <w:rsid w:val="11C4398B"/>
    <w:rsid w:val="11DD40A3"/>
    <w:rsid w:val="124B085A"/>
    <w:rsid w:val="127C43FA"/>
    <w:rsid w:val="12E542C2"/>
    <w:rsid w:val="1376193B"/>
    <w:rsid w:val="13AF2A62"/>
    <w:rsid w:val="140E14EE"/>
    <w:rsid w:val="15031A58"/>
    <w:rsid w:val="15127864"/>
    <w:rsid w:val="153E2707"/>
    <w:rsid w:val="15CE0DB9"/>
    <w:rsid w:val="163D0A11"/>
    <w:rsid w:val="16A076A8"/>
    <w:rsid w:val="16E17FD7"/>
    <w:rsid w:val="17087877"/>
    <w:rsid w:val="170F3531"/>
    <w:rsid w:val="17192215"/>
    <w:rsid w:val="17F90724"/>
    <w:rsid w:val="18377B1D"/>
    <w:rsid w:val="188E7C69"/>
    <w:rsid w:val="18DC7149"/>
    <w:rsid w:val="18E65311"/>
    <w:rsid w:val="19775419"/>
    <w:rsid w:val="1B7A6B81"/>
    <w:rsid w:val="1C27355C"/>
    <w:rsid w:val="1C601D9D"/>
    <w:rsid w:val="1C9B0B55"/>
    <w:rsid w:val="1D7651D8"/>
    <w:rsid w:val="1E425E07"/>
    <w:rsid w:val="1EA91661"/>
    <w:rsid w:val="1EF814B6"/>
    <w:rsid w:val="1FB61E73"/>
    <w:rsid w:val="1FEA2DF0"/>
    <w:rsid w:val="207A4B27"/>
    <w:rsid w:val="20C2474B"/>
    <w:rsid w:val="20DE7F97"/>
    <w:rsid w:val="21086AC5"/>
    <w:rsid w:val="21164180"/>
    <w:rsid w:val="21D11228"/>
    <w:rsid w:val="21D65FA3"/>
    <w:rsid w:val="21EA76D2"/>
    <w:rsid w:val="22410CA3"/>
    <w:rsid w:val="230D5F83"/>
    <w:rsid w:val="231435E3"/>
    <w:rsid w:val="26B143E9"/>
    <w:rsid w:val="26CF68D5"/>
    <w:rsid w:val="26D06059"/>
    <w:rsid w:val="291D3964"/>
    <w:rsid w:val="298B6166"/>
    <w:rsid w:val="29D439C5"/>
    <w:rsid w:val="29F71DCE"/>
    <w:rsid w:val="2A5D4013"/>
    <w:rsid w:val="2A73216B"/>
    <w:rsid w:val="2C4634F8"/>
    <w:rsid w:val="2C8A7F2A"/>
    <w:rsid w:val="2CA351F8"/>
    <w:rsid w:val="2DDB37E6"/>
    <w:rsid w:val="2E0A0EFD"/>
    <w:rsid w:val="2F3C75DF"/>
    <w:rsid w:val="2F4D7950"/>
    <w:rsid w:val="2F5C0B8A"/>
    <w:rsid w:val="300924A8"/>
    <w:rsid w:val="30786DD9"/>
    <w:rsid w:val="30B351BB"/>
    <w:rsid w:val="30C42C66"/>
    <w:rsid w:val="30D83BD1"/>
    <w:rsid w:val="3116556A"/>
    <w:rsid w:val="31403EEE"/>
    <w:rsid w:val="314C4B41"/>
    <w:rsid w:val="3161392D"/>
    <w:rsid w:val="31AB1C0B"/>
    <w:rsid w:val="31F1799F"/>
    <w:rsid w:val="32AC098F"/>
    <w:rsid w:val="32FC2794"/>
    <w:rsid w:val="33591408"/>
    <w:rsid w:val="338E2CB9"/>
    <w:rsid w:val="33AE5DBB"/>
    <w:rsid w:val="34186337"/>
    <w:rsid w:val="34485725"/>
    <w:rsid w:val="344C3454"/>
    <w:rsid w:val="34FB1B75"/>
    <w:rsid w:val="350967C7"/>
    <w:rsid w:val="35A54830"/>
    <w:rsid w:val="35E26F61"/>
    <w:rsid w:val="36A93D34"/>
    <w:rsid w:val="36C4459F"/>
    <w:rsid w:val="36CA7098"/>
    <w:rsid w:val="36CE7125"/>
    <w:rsid w:val="36DD06B5"/>
    <w:rsid w:val="37817D15"/>
    <w:rsid w:val="38107BBE"/>
    <w:rsid w:val="38592D41"/>
    <w:rsid w:val="38723B01"/>
    <w:rsid w:val="38B17DB0"/>
    <w:rsid w:val="393307F8"/>
    <w:rsid w:val="39345BEF"/>
    <w:rsid w:val="399E5A8D"/>
    <w:rsid w:val="3A7115CF"/>
    <w:rsid w:val="3A762EA6"/>
    <w:rsid w:val="3AE871ED"/>
    <w:rsid w:val="3B166795"/>
    <w:rsid w:val="3B3A4A72"/>
    <w:rsid w:val="3B426DFA"/>
    <w:rsid w:val="3BB95095"/>
    <w:rsid w:val="3C0C0FD1"/>
    <w:rsid w:val="3C0D22F1"/>
    <w:rsid w:val="3CFD0D4E"/>
    <w:rsid w:val="3D932ECE"/>
    <w:rsid w:val="3DF6298B"/>
    <w:rsid w:val="3E032F55"/>
    <w:rsid w:val="3E5A5D0F"/>
    <w:rsid w:val="3ED75761"/>
    <w:rsid w:val="3EE60069"/>
    <w:rsid w:val="3F037F80"/>
    <w:rsid w:val="3F5D7C25"/>
    <w:rsid w:val="3F6E7356"/>
    <w:rsid w:val="40CE4481"/>
    <w:rsid w:val="40D02223"/>
    <w:rsid w:val="41044933"/>
    <w:rsid w:val="41B64242"/>
    <w:rsid w:val="41D930E9"/>
    <w:rsid w:val="420172F8"/>
    <w:rsid w:val="4214444F"/>
    <w:rsid w:val="428178ED"/>
    <w:rsid w:val="437F3C55"/>
    <w:rsid w:val="443E1922"/>
    <w:rsid w:val="445544D0"/>
    <w:rsid w:val="44883556"/>
    <w:rsid w:val="4566672F"/>
    <w:rsid w:val="4597553F"/>
    <w:rsid w:val="45B96669"/>
    <w:rsid w:val="46292C65"/>
    <w:rsid w:val="46B251D5"/>
    <w:rsid w:val="46D75F15"/>
    <w:rsid w:val="47873FED"/>
    <w:rsid w:val="478A5985"/>
    <w:rsid w:val="485A7764"/>
    <w:rsid w:val="48697707"/>
    <w:rsid w:val="487D34CE"/>
    <w:rsid w:val="48812C6D"/>
    <w:rsid w:val="48FA0CCE"/>
    <w:rsid w:val="497E67FC"/>
    <w:rsid w:val="4A340908"/>
    <w:rsid w:val="4A654689"/>
    <w:rsid w:val="4ADA6DDA"/>
    <w:rsid w:val="4AFB712A"/>
    <w:rsid w:val="4B3F2937"/>
    <w:rsid w:val="4B722F98"/>
    <w:rsid w:val="4BDA732C"/>
    <w:rsid w:val="4C747C00"/>
    <w:rsid w:val="4CAE23D4"/>
    <w:rsid w:val="4CF16EBB"/>
    <w:rsid w:val="4CF27A3F"/>
    <w:rsid w:val="4D952847"/>
    <w:rsid w:val="4E111E7F"/>
    <w:rsid w:val="4E1F0A8F"/>
    <w:rsid w:val="4E9B72CC"/>
    <w:rsid w:val="4EFE4BD1"/>
    <w:rsid w:val="4FF36AD1"/>
    <w:rsid w:val="503B6ED8"/>
    <w:rsid w:val="506E60D9"/>
    <w:rsid w:val="50F4209B"/>
    <w:rsid w:val="51461658"/>
    <w:rsid w:val="51B306F8"/>
    <w:rsid w:val="53646DCD"/>
    <w:rsid w:val="53932D81"/>
    <w:rsid w:val="539D4641"/>
    <w:rsid w:val="53AB1337"/>
    <w:rsid w:val="53EF0B3B"/>
    <w:rsid w:val="54507861"/>
    <w:rsid w:val="547919F2"/>
    <w:rsid w:val="54FC1BBE"/>
    <w:rsid w:val="553F47A0"/>
    <w:rsid w:val="554561C6"/>
    <w:rsid w:val="555108DF"/>
    <w:rsid w:val="55AE0DFF"/>
    <w:rsid w:val="55F857FB"/>
    <w:rsid w:val="560C77A6"/>
    <w:rsid w:val="569D378C"/>
    <w:rsid w:val="56AB6EAC"/>
    <w:rsid w:val="56F56768"/>
    <w:rsid w:val="571C15EB"/>
    <w:rsid w:val="57C81676"/>
    <w:rsid w:val="585D55F4"/>
    <w:rsid w:val="58734628"/>
    <w:rsid w:val="598F0310"/>
    <w:rsid w:val="59FD2825"/>
    <w:rsid w:val="5A0B5058"/>
    <w:rsid w:val="5B1F26BA"/>
    <w:rsid w:val="5B4162F2"/>
    <w:rsid w:val="5B6B1990"/>
    <w:rsid w:val="5B6E2B3B"/>
    <w:rsid w:val="5C270F1D"/>
    <w:rsid w:val="5C8F3336"/>
    <w:rsid w:val="5C927AE0"/>
    <w:rsid w:val="5CDE243B"/>
    <w:rsid w:val="5D754213"/>
    <w:rsid w:val="5D837E1D"/>
    <w:rsid w:val="5DAF4A90"/>
    <w:rsid w:val="5E102188"/>
    <w:rsid w:val="5EA6472F"/>
    <w:rsid w:val="5EC22C27"/>
    <w:rsid w:val="5F041F5F"/>
    <w:rsid w:val="5F1337E9"/>
    <w:rsid w:val="5F3F6973"/>
    <w:rsid w:val="5FA75912"/>
    <w:rsid w:val="5FE45DE0"/>
    <w:rsid w:val="5FE5141B"/>
    <w:rsid w:val="60D85E8A"/>
    <w:rsid w:val="612E6E2A"/>
    <w:rsid w:val="61604458"/>
    <w:rsid w:val="62FE7930"/>
    <w:rsid w:val="6315604E"/>
    <w:rsid w:val="63A802C2"/>
    <w:rsid w:val="64F54A79"/>
    <w:rsid w:val="65037CE8"/>
    <w:rsid w:val="652D0705"/>
    <w:rsid w:val="65676159"/>
    <w:rsid w:val="65E26DFB"/>
    <w:rsid w:val="65EF3B0C"/>
    <w:rsid w:val="66740FA8"/>
    <w:rsid w:val="670B0B64"/>
    <w:rsid w:val="67C65F33"/>
    <w:rsid w:val="690B57BB"/>
    <w:rsid w:val="693718D7"/>
    <w:rsid w:val="69801D62"/>
    <w:rsid w:val="69AB7271"/>
    <w:rsid w:val="69B27FF1"/>
    <w:rsid w:val="6A5B058F"/>
    <w:rsid w:val="6AFB15BD"/>
    <w:rsid w:val="6B0C7C6D"/>
    <w:rsid w:val="6BA04A3E"/>
    <w:rsid w:val="6C042199"/>
    <w:rsid w:val="6C2F1675"/>
    <w:rsid w:val="6C4A1BC7"/>
    <w:rsid w:val="6CE15D0F"/>
    <w:rsid w:val="6CFC63A0"/>
    <w:rsid w:val="6D9165AA"/>
    <w:rsid w:val="6DDB10B7"/>
    <w:rsid w:val="6E6F41E6"/>
    <w:rsid w:val="6E865A0B"/>
    <w:rsid w:val="6ECB5AFA"/>
    <w:rsid w:val="6F2A656C"/>
    <w:rsid w:val="6F637933"/>
    <w:rsid w:val="6F9159A1"/>
    <w:rsid w:val="6FE96964"/>
    <w:rsid w:val="70966945"/>
    <w:rsid w:val="70D46D82"/>
    <w:rsid w:val="71462673"/>
    <w:rsid w:val="724E3782"/>
    <w:rsid w:val="72902DA7"/>
    <w:rsid w:val="72A57890"/>
    <w:rsid w:val="72AD55AD"/>
    <w:rsid w:val="73673268"/>
    <w:rsid w:val="73B54DDE"/>
    <w:rsid w:val="743F2AD2"/>
    <w:rsid w:val="7470173A"/>
    <w:rsid w:val="74CB497C"/>
    <w:rsid w:val="75F82604"/>
    <w:rsid w:val="76301283"/>
    <w:rsid w:val="764F12F9"/>
    <w:rsid w:val="767874E3"/>
    <w:rsid w:val="768024F8"/>
    <w:rsid w:val="77187B21"/>
    <w:rsid w:val="774B1B00"/>
    <w:rsid w:val="775725A0"/>
    <w:rsid w:val="777A2A82"/>
    <w:rsid w:val="78675AD3"/>
    <w:rsid w:val="78D70170"/>
    <w:rsid w:val="78FE2CC9"/>
    <w:rsid w:val="79123E17"/>
    <w:rsid w:val="792B04A4"/>
    <w:rsid w:val="79387F53"/>
    <w:rsid w:val="7A31432B"/>
    <w:rsid w:val="7A7D2F58"/>
    <w:rsid w:val="7AE925C7"/>
    <w:rsid w:val="7C2D6B7E"/>
    <w:rsid w:val="7C94167F"/>
    <w:rsid w:val="7D104923"/>
    <w:rsid w:val="7F642A46"/>
    <w:rsid w:val="7F64616D"/>
    <w:rsid w:val="7F861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2">
    <w:name w:val="heading 2"/>
    <w:basedOn w:val="1"/>
    <w:next w:val="1"/>
    <w:link w:val="36"/>
    <w:qFormat/>
    <w:uiPriority w:val="0"/>
    <w:pPr>
      <w:keepNext/>
      <w:keepLines/>
      <w:numPr>
        <w:ilvl w:val="1"/>
        <w:numId w:val="1"/>
      </w:numPr>
      <w:tabs>
        <w:tab w:val="left" w:pos="425"/>
      </w:tabs>
      <w:topLinePunct/>
      <w:outlineLvl w:val="1"/>
    </w:pPr>
    <w:rPr>
      <w:rFonts w:eastAsia="黑体"/>
      <w:bCs/>
      <w:szCs w:val="21"/>
      <w:lang w:val="zh-CN"/>
    </w:rPr>
  </w:style>
  <w:style w:type="paragraph" w:styleId="4">
    <w:name w:val="heading 3"/>
    <w:basedOn w:val="1"/>
    <w:next w:val="1"/>
    <w:link w:val="37"/>
    <w:qFormat/>
    <w:uiPriority w:val="0"/>
    <w:pPr>
      <w:keepNext/>
      <w:keepLines/>
      <w:spacing w:before="260" w:after="260" w:line="416" w:lineRule="auto"/>
      <w:outlineLvl w:val="2"/>
    </w:pPr>
    <w:rPr>
      <w:b/>
      <w:bCs/>
      <w:sz w:val="32"/>
      <w:szCs w:val="32"/>
      <w:lang w:val="zh-CN"/>
    </w:rPr>
  </w:style>
  <w:style w:type="paragraph" w:styleId="5">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firstLine="420" w:firstLineChars="200"/>
    </w:pPr>
    <w:rPr>
      <w:kern w:val="0"/>
      <w:sz w:val="20"/>
    </w:rPr>
  </w:style>
  <w:style w:type="paragraph" w:styleId="7">
    <w:name w:val="Document Map"/>
    <w:basedOn w:val="1"/>
    <w:link w:val="52"/>
    <w:unhideWhenUsed/>
    <w:qFormat/>
    <w:uiPriority w:val="99"/>
    <w:rPr>
      <w:rFonts w:ascii="宋体"/>
      <w:sz w:val="18"/>
      <w:szCs w:val="18"/>
    </w:rPr>
  </w:style>
  <w:style w:type="paragraph" w:styleId="8">
    <w:name w:val="annotation text"/>
    <w:basedOn w:val="1"/>
    <w:semiHidden/>
    <w:unhideWhenUsed/>
    <w:qFormat/>
    <w:uiPriority w:val="99"/>
    <w:pPr>
      <w:jc w:val="left"/>
    </w:pPr>
  </w:style>
  <w:style w:type="paragraph" w:styleId="9">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0">
    <w:name w:val="Plain Text"/>
    <w:basedOn w:val="1"/>
    <w:link w:val="25"/>
    <w:qFormat/>
    <w:uiPriority w:val="99"/>
    <w:rPr>
      <w:rFonts w:ascii="宋体" w:hAnsi="Courier New" w:eastAsiaTheme="minorEastAsia" w:cstheme="minorBidi"/>
    </w:rPr>
  </w:style>
  <w:style w:type="paragraph" w:styleId="11">
    <w:name w:val="Balloon Text"/>
    <w:basedOn w:val="1"/>
    <w:link w:val="40"/>
    <w:qFormat/>
    <w:uiPriority w:val="0"/>
    <w:rPr>
      <w:rFonts w:asciiTheme="minorHAnsi" w:hAnsiTheme="minorHAnsi" w:cstheme="minorBidi"/>
      <w:sz w:val="18"/>
      <w:szCs w:val="18"/>
    </w:rPr>
  </w:style>
  <w:style w:type="paragraph" w:styleId="12">
    <w:name w:val="footer"/>
    <w:basedOn w:val="1"/>
    <w:link w:val="26"/>
    <w:qFormat/>
    <w:uiPriority w:val="99"/>
    <w:pPr>
      <w:tabs>
        <w:tab w:val="center" w:pos="4153"/>
        <w:tab w:val="right" w:pos="8306"/>
      </w:tabs>
      <w:snapToGrid w:val="0"/>
      <w:jc w:val="left"/>
    </w:pPr>
    <w:rPr>
      <w:rFonts w:asciiTheme="minorHAnsi" w:hAnsiTheme="minorHAnsi" w:cstheme="minorBidi"/>
      <w:sz w:val="18"/>
      <w:szCs w:val="18"/>
    </w:rPr>
  </w:style>
  <w:style w:type="paragraph" w:styleId="13">
    <w:name w:val="header"/>
    <w:basedOn w:val="1"/>
    <w:link w:val="30"/>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4">
    <w:name w:val="toc 1"/>
    <w:basedOn w:val="1"/>
    <w:next w:val="1"/>
    <w:qFormat/>
    <w:uiPriority w:val="39"/>
    <w:pPr>
      <w:spacing w:beforeLines="50" w:line="360" w:lineRule="auto"/>
    </w:pPr>
    <w:rPr>
      <w:rFonts w:eastAsia="黑体"/>
    </w:rPr>
  </w:style>
  <w:style w:type="paragraph" w:styleId="15">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8">
    <w:name w:val="Title"/>
    <w:basedOn w:val="1"/>
    <w:link w:val="27"/>
    <w:qFormat/>
    <w:uiPriority w:val="0"/>
    <w:pPr>
      <w:spacing w:before="240" w:after="60"/>
      <w:jc w:val="center"/>
      <w:outlineLvl w:val="0"/>
    </w:pPr>
    <w:rPr>
      <w:rFonts w:ascii="Arial" w:hAnsi="Arial" w:cs="Arial" w:eastAsiaTheme="minorEastAsia"/>
      <w:b/>
      <w:bCs/>
      <w:sz w:val="32"/>
      <w:szCs w:val="32"/>
    </w:rPr>
  </w:style>
  <w:style w:type="table" w:styleId="20">
    <w:name w:val="Table Grid"/>
    <w:basedOn w:val="19"/>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basedOn w:val="21"/>
    <w:qFormat/>
    <w:uiPriority w:val="0"/>
  </w:style>
  <w:style w:type="character" w:styleId="23">
    <w:name w:val="FollowedHyperlink"/>
    <w:qFormat/>
    <w:uiPriority w:val="0"/>
    <w:rPr>
      <w:color w:val="800080"/>
      <w:u w:val="single"/>
    </w:rPr>
  </w:style>
  <w:style w:type="character" w:styleId="24">
    <w:name w:val="Hyperlink"/>
    <w:qFormat/>
    <w:uiPriority w:val="99"/>
    <w:rPr>
      <w:rFonts w:ascii="Times New Roman" w:hAnsi="Times New Roman" w:eastAsia="宋体"/>
      <w:color w:val="auto"/>
      <w:spacing w:val="0"/>
      <w:w w:val="100"/>
      <w:position w:val="0"/>
      <w:sz w:val="21"/>
      <w:u w:val="none"/>
    </w:rPr>
  </w:style>
  <w:style w:type="character" w:customStyle="1" w:styleId="25">
    <w:name w:val="纯文本 字符"/>
    <w:link w:val="10"/>
    <w:qFormat/>
    <w:uiPriority w:val="0"/>
    <w:rPr>
      <w:rFonts w:ascii="宋体" w:hAnsi="Courier New"/>
      <w:szCs w:val="24"/>
    </w:rPr>
  </w:style>
  <w:style w:type="character" w:customStyle="1" w:styleId="26">
    <w:name w:val="页脚 字符"/>
    <w:link w:val="12"/>
    <w:qFormat/>
    <w:uiPriority w:val="99"/>
    <w:rPr>
      <w:rFonts w:eastAsia="宋体"/>
      <w:sz w:val="18"/>
      <w:szCs w:val="18"/>
    </w:rPr>
  </w:style>
  <w:style w:type="character" w:customStyle="1" w:styleId="27">
    <w:name w:val="标题 字符"/>
    <w:link w:val="18"/>
    <w:qFormat/>
    <w:uiPriority w:val="0"/>
    <w:rPr>
      <w:rFonts w:ascii="Arial" w:hAnsi="Arial" w:cs="Arial"/>
      <w:b/>
      <w:bCs/>
      <w:sz w:val="32"/>
      <w:szCs w:val="32"/>
    </w:rPr>
  </w:style>
  <w:style w:type="character" w:customStyle="1" w:styleId="28">
    <w:name w:val="首行缩进 Char"/>
    <w:link w:val="29"/>
    <w:qFormat/>
    <w:uiPriority w:val="0"/>
    <w:rPr>
      <w:rFonts w:eastAsia="方正书宋简体" w:cs="宋体"/>
    </w:rPr>
  </w:style>
  <w:style w:type="paragraph" w:customStyle="1" w:styleId="29">
    <w:name w:val="首行缩进"/>
    <w:basedOn w:val="1"/>
    <w:link w:val="28"/>
    <w:qFormat/>
    <w:uiPriority w:val="0"/>
    <w:pPr>
      <w:spacing w:line="300" w:lineRule="auto"/>
      <w:ind w:firstLine="420" w:firstLineChars="200"/>
    </w:pPr>
    <w:rPr>
      <w:rFonts w:eastAsia="方正书宋简体" w:cs="宋体" w:asciiTheme="minorHAnsi" w:hAnsiTheme="minorHAnsi"/>
      <w:szCs w:val="22"/>
    </w:rPr>
  </w:style>
  <w:style w:type="character" w:customStyle="1" w:styleId="30">
    <w:name w:val="页眉 字符"/>
    <w:link w:val="13"/>
    <w:qFormat/>
    <w:uiPriority w:val="0"/>
    <w:rPr>
      <w:rFonts w:eastAsia="宋体"/>
      <w:sz w:val="18"/>
      <w:szCs w:val="18"/>
    </w:rPr>
  </w:style>
  <w:style w:type="character" w:customStyle="1" w:styleId="31">
    <w:name w:val="页脚 Char1"/>
    <w:basedOn w:val="21"/>
    <w:semiHidden/>
    <w:qFormat/>
    <w:uiPriority w:val="99"/>
    <w:rPr>
      <w:rFonts w:ascii="Times New Roman" w:hAnsi="Times New Roman" w:eastAsia="宋体" w:cs="Times New Roman"/>
      <w:sz w:val="18"/>
      <w:szCs w:val="18"/>
    </w:rPr>
  </w:style>
  <w:style w:type="character" w:customStyle="1" w:styleId="32">
    <w:name w:val="页眉 Char1"/>
    <w:basedOn w:val="21"/>
    <w:semiHidden/>
    <w:qFormat/>
    <w:uiPriority w:val="99"/>
    <w:rPr>
      <w:rFonts w:ascii="Times New Roman" w:hAnsi="Times New Roman" w:eastAsia="宋体" w:cs="Times New Roman"/>
      <w:sz w:val="18"/>
      <w:szCs w:val="18"/>
    </w:rPr>
  </w:style>
  <w:style w:type="character" w:customStyle="1" w:styleId="33">
    <w:name w:val="标题 Char"/>
    <w:basedOn w:val="21"/>
    <w:qFormat/>
    <w:uiPriority w:val="0"/>
    <w:rPr>
      <w:rFonts w:eastAsia="宋体" w:asciiTheme="majorHAnsi" w:hAnsiTheme="majorHAnsi" w:cstheme="majorBidi"/>
      <w:b/>
      <w:bCs/>
      <w:sz w:val="32"/>
      <w:szCs w:val="32"/>
    </w:rPr>
  </w:style>
  <w:style w:type="character" w:customStyle="1" w:styleId="34">
    <w:name w:val="纯文本 Char"/>
    <w:basedOn w:val="21"/>
    <w:qFormat/>
    <w:uiPriority w:val="99"/>
    <w:rPr>
      <w:rFonts w:ascii="宋体" w:hAnsi="Courier New" w:eastAsia="宋体" w:cs="Courier New"/>
      <w:szCs w:val="21"/>
    </w:rPr>
  </w:style>
  <w:style w:type="character" w:customStyle="1" w:styleId="35">
    <w:name w:val="标题 1 字符"/>
    <w:basedOn w:val="21"/>
    <w:link w:val="3"/>
    <w:qFormat/>
    <w:uiPriority w:val="0"/>
    <w:rPr>
      <w:rFonts w:ascii="Times New Roman" w:hAnsi="Times New Roman" w:eastAsia="汉仪大宋简" w:cs="Times New Roman"/>
      <w:kern w:val="44"/>
      <w:sz w:val="22"/>
      <w:lang w:val="zh-CN" w:eastAsia="zh-CN"/>
    </w:rPr>
  </w:style>
  <w:style w:type="character" w:customStyle="1" w:styleId="36">
    <w:name w:val="标题 2 字符"/>
    <w:basedOn w:val="21"/>
    <w:link w:val="2"/>
    <w:qFormat/>
    <w:uiPriority w:val="0"/>
    <w:rPr>
      <w:rFonts w:ascii="Times New Roman" w:hAnsi="Times New Roman" w:eastAsia="黑体" w:cs="Times New Roman"/>
      <w:bCs/>
      <w:kern w:val="2"/>
      <w:sz w:val="21"/>
      <w:szCs w:val="21"/>
      <w:lang w:val="zh-CN"/>
    </w:rPr>
  </w:style>
  <w:style w:type="character" w:customStyle="1" w:styleId="37">
    <w:name w:val="标题 3 字符"/>
    <w:basedOn w:val="21"/>
    <w:link w:val="4"/>
    <w:qFormat/>
    <w:uiPriority w:val="0"/>
    <w:rPr>
      <w:rFonts w:ascii="Times New Roman" w:hAnsi="Times New Roman" w:eastAsia="宋体" w:cs="Times New Roman"/>
      <w:b/>
      <w:bCs/>
      <w:sz w:val="32"/>
      <w:szCs w:val="32"/>
      <w:lang w:val="zh-CN" w:eastAsia="zh-CN"/>
    </w:rPr>
  </w:style>
  <w:style w:type="character" w:customStyle="1" w:styleId="38">
    <w:name w:val="C标准-正文格式 Char"/>
    <w:link w:val="39"/>
    <w:qFormat/>
    <w:locked/>
    <w:uiPriority w:val="0"/>
    <w:rPr>
      <w:rFonts w:eastAsia="宋体" w:cs="宋体"/>
      <w:sz w:val="24"/>
    </w:rPr>
  </w:style>
  <w:style w:type="paragraph" w:customStyle="1" w:styleId="39">
    <w:name w:val="C标准-正文格式"/>
    <w:basedOn w:val="1"/>
    <w:link w:val="38"/>
    <w:qFormat/>
    <w:uiPriority w:val="0"/>
    <w:pPr>
      <w:spacing w:line="360" w:lineRule="auto"/>
    </w:pPr>
    <w:rPr>
      <w:rFonts w:cs="宋体" w:asciiTheme="minorHAnsi" w:hAnsiTheme="minorHAnsi"/>
      <w:sz w:val="24"/>
      <w:szCs w:val="22"/>
    </w:rPr>
  </w:style>
  <w:style w:type="character" w:customStyle="1" w:styleId="40">
    <w:name w:val="批注框文本 字符"/>
    <w:link w:val="11"/>
    <w:qFormat/>
    <w:locked/>
    <w:uiPriority w:val="0"/>
    <w:rPr>
      <w:rFonts w:eastAsia="宋体"/>
      <w:sz w:val="18"/>
      <w:szCs w:val="18"/>
    </w:rPr>
  </w:style>
  <w:style w:type="character" w:customStyle="1" w:styleId="41">
    <w:name w:val="页码1"/>
    <w:qFormat/>
    <w:uiPriority w:val="0"/>
    <w:rPr>
      <w:rFonts w:ascii="Times New Roman" w:hAnsi="Times New Roman" w:eastAsia="宋体"/>
      <w:sz w:val="18"/>
    </w:rPr>
  </w:style>
  <w:style w:type="character" w:customStyle="1" w:styleId="42">
    <w:name w:val="批注框文本 Char1"/>
    <w:basedOn w:val="21"/>
    <w:semiHidden/>
    <w:qFormat/>
    <w:uiPriority w:val="99"/>
    <w:rPr>
      <w:rFonts w:ascii="Times New Roman" w:hAnsi="Times New Roman" w:eastAsia="宋体" w:cs="Times New Roman"/>
      <w:sz w:val="18"/>
      <w:szCs w:val="18"/>
    </w:rPr>
  </w:style>
  <w:style w:type="paragraph" w:customStyle="1" w:styleId="43">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4">
    <w:name w:val="TOC 标题1"/>
    <w:basedOn w:val="3"/>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5">
    <w:name w:val="列出段落1"/>
    <w:basedOn w:val="1"/>
    <w:qFormat/>
    <w:uiPriority w:val="0"/>
    <w:pPr>
      <w:ind w:firstLine="420" w:firstLineChars="200"/>
    </w:pPr>
  </w:style>
  <w:style w:type="paragraph" w:customStyle="1" w:styleId="46">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7">
    <w:name w:val="列出段落2"/>
    <w:basedOn w:val="1"/>
    <w:qFormat/>
    <w:uiPriority w:val="0"/>
    <w:pPr>
      <w:ind w:firstLine="420" w:firstLineChars="200"/>
    </w:pPr>
  </w:style>
  <w:style w:type="paragraph" w:customStyle="1" w:styleId="48">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49">
    <w:name w:val="标准规范3级"/>
    <w:basedOn w:val="46"/>
    <w:qFormat/>
    <w:uiPriority w:val="0"/>
    <w:pPr>
      <w:numPr>
        <w:numId w:val="0"/>
      </w:numPr>
      <w:spacing w:before="0"/>
      <w:ind w:firstLine="200" w:firstLineChars="200"/>
    </w:pPr>
  </w:style>
  <w:style w:type="paragraph" w:customStyle="1" w:styleId="50">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1">
    <w:name w:val="标准规范1级"/>
    <w:basedOn w:val="18"/>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2">
    <w:name w:val="文档结构图 字符"/>
    <w:basedOn w:val="21"/>
    <w:link w:val="7"/>
    <w:semiHidden/>
    <w:qFormat/>
    <w:uiPriority w:val="99"/>
    <w:rPr>
      <w:rFonts w:ascii="宋体" w:hAnsi="Times New Roman" w:eastAsia="宋体" w:cs="Times New Roman"/>
      <w:kern w:val="2"/>
      <w:sz w:val="18"/>
      <w:szCs w:val="18"/>
    </w:rPr>
  </w:style>
  <w:style w:type="paragraph" w:customStyle="1" w:styleId="53">
    <w:name w:val="朱表头"/>
    <w:basedOn w:val="1"/>
    <w:link w:val="55"/>
    <w:qFormat/>
    <w:uiPriority w:val="0"/>
    <w:pPr>
      <w:topLinePunct/>
      <w:spacing w:before="160" w:after="60" w:line="312" w:lineRule="exact"/>
      <w:jc w:val="center"/>
    </w:pPr>
    <w:rPr>
      <w:rFonts w:ascii="EU-F1" w:eastAsia="黑体"/>
      <w:snapToGrid w:val="0"/>
      <w:kern w:val="0"/>
      <w:sz w:val="20"/>
      <w:szCs w:val="20"/>
    </w:rPr>
  </w:style>
  <w:style w:type="paragraph" w:customStyle="1" w:styleId="54">
    <w:name w:val="p0"/>
    <w:basedOn w:val="1"/>
    <w:qFormat/>
    <w:uiPriority w:val="99"/>
    <w:pPr>
      <w:widowControl/>
    </w:pPr>
    <w:rPr>
      <w:rFonts w:ascii="Calibri" w:hAnsi="Calibri" w:cs="宋体"/>
      <w:kern w:val="0"/>
      <w:szCs w:val="21"/>
    </w:rPr>
  </w:style>
  <w:style w:type="character" w:customStyle="1" w:styleId="55">
    <w:name w:val="朱表头 Char"/>
    <w:link w:val="53"/>
    <w:qFormat/>
    <w:uiPriority w:val="0"/>
    <w:rPr>
      <w:rFonts w:ascii="EU-F1" w:hAnsi="Times New Roman" w:eastAsia="黑体" w:cs="Times New Roman"/>
      <w:snapToGrid w:val="0"/>
    </w:rPr>
  </w:style>
  <w:style w:type="paragraph" w:customStyle="1" w:styleId="56">
    <w:name w:val="二级无标题条"/>
    <w:basedOn w:val="1"/>
    <w:qFormat/>
    <w:uiPriority w:val="0"/>
    <w:rPr>
      <w:rFonts w:ascii="Calibri" w:hAnsi="Calibri"/>
      <w:b/>
      <w:szCs w:val="20"/>
    </w:rPr>
  </w:style>
  <w:style w:type="paragraph" w:customStyle="1" w:styleId="57">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8">
    <w:name w:val="_Style 2"/>
    <w:basedOn w:val="3"/>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59">
    <w:name w:val="font21"/>
    <w:basedOn w:val="21"/>
    <w:qFormat/>
    <w:uiPriority w:val="0"/>
    <w:rPr>
      <w:rFonts w:hint="eastAsia" w:ascii="宋体" w:hAnsi="宋体" w:eastAsia="宋体" w:cs="宋体"/>
      <w:color w:val="000000"/>
      <w:sz w:val="18"/>
      <w:szCs w:val="18"/>
      <w:u w:val="none"/>
      <w:vertAlign w:val="superscript"/>
    </w:rPr>
  </w:style>
  <w:style w:type="paragraph" w:customStyle="1" w:styleId="60">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1">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398</Words>
  <Characters>2270</Characters>
  <Lines>18</Lines>
  <Paragraphs>5</Paragraphs>
  <TotalTime>7</TotalTime>
  <ScaleCrop>false</ScaleCrop>
  <LinksUpToDate>false</LinksUpToDate>
  <CharactersWithSpaces>2663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zhangjunsong</cp:lastModifiedBy>
  <cp:lastPrinted>2024-02-27T06:19:00Z</cp:lastPrinted>
  <dcterms:modified xsi:type="dcterms:W3CDTF">2024-07-12T05:57:09Z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167A2DE10BFC4AB99CDC4BA83610B921</vt:lpwstr>
  </property>
</Properties>
</file>