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eastAsia="黑体" w:cs="Times New Roman"/>
          <w:b/>
          <w:sz w:val="52"/>
          <w:highlight w:val="none"/>
        </w:rPr>
      </w:pPr>
      <w:r>
        <w:rPr>
          <w:rFonts w:ascii="Times New Roman" w:hAnsi="Times New Roman" w:eastAsia="黑体"/>
          <w:b/>
          <w:sz w:val="52"/>
          <w:highlight w:val="none"/>
        </w:rPr>
        <w:drawing>
          <wp:anchor distT="0" distB="0" distL="114300" distR="114300" simplePos="0" relativeHeight="251659264" behindDoc="1" locked="0" layoutInCell="1" allowOverlap="1">
            <wp:simplePos x="0" y="0"/>
            <wp:positionH relativeFrom="page">
              <wp:align>left</wp:align>
            </wp:positionH>
            <wp:positionV relativeFrom="page">
              <wp:align>top</wp:align>
            </wp:positionV>
            <wp:extent cx="8917305" cy="2736215"/>
            <wp:effectExtent l="0" t="0" r="0" b="7620"/>
            <wp:wrapTight wrapText="bothSides">
              <wp:wrapPolygon>
                <wp:start x="0" y="0"/>
                <wp:lineTo x="0" y="21510"/>
                <wp:lineTo x="21551" y="21510"/>
                <wp:lineTo x="21551" y="0"/>
                <wp:lineTo x="0" y="0"/>
              </wp:wrapPolygon>
            </wp:wrapTight>
            <wp:docPr id="1"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模板-3"/>
                    <pic:cNvPicPr>
                      <a:picLocks noChangeAspect="1"/>
                    </pic:cNvPicPr>
                  </pic:nvPicPr>
                  <pic:blipFill>
                    <a:blip r:embed="rId10"/>
                    <a:stretch>
                      <a:fillRect/>
                    </a:stretch>
                  </pic:blipFill>
                  <pic:spPr>
                    <a:xfrm>
                      <a:off x="0" y="0"/>
                      <a:ext cx="8917200" cy="2736000"/>
                    </a:xfrm>
                    <a:prstGeom prst="rect">
                      <a:avLst/>
                    </a:prstGeom>
                    <a:noFill/>
                    <a:ln>
                      <a:noFill/>
                    </a:ln>
                  </pic:spPr>
                </pic:pic>
              </a:graphicData>
            </a:graphic>
          </wp:anchor>
        </w:drawing>
      </w:r>
      <w:r>
        <w:rPr>
          <w:rFonts w:hint="eastAsia" w:ascii="Times New Roman" w:hAnsi="Times New Roman" w:eastAsia="黑体" w:cs="Times New Roman"/>
          <w:b/>
          <w:sz w:val="52"/>
          <w:highlight w:val="none"/>
          <w:lang w:val="en-US" w:eastAsia="zh-CN"/>
        </w:rPr>
        <w:t>新型电力系统新能源负荷侧边缘计算装置</w:t>
      </w:r>
      <w:r>
        <w:rPr>
          <w:rFonts w:hint="eastAsia" w:ascii="Times New Roman" w:hAnsi="Times New Roman" w:eastAsia="黑体" w:cs="Times New Roman"/>
          <w:b/>
          <w:sz w:val="52"/>
          <w:highlight w:val="none"/>
        </w:rPr>
        <w:t>技术规范书</w:t>
      </w:r>
    </w:p>
    <w:p>
      <w:pPr>
        <w:ind w:firstLine="1970" w:firstLineChars="545"/>
        <w:jc w:val="left"/>
        <w:rPr>
          <w:rFonts w:ascii="Times New Roman" w:hAnsi="Times New Roman" w:eastAsia="黑体"/>
          <w:b/>
          <w:sz w:val="36"/>
          <w:highlight w:val="none"/>
        </w:rPr>
      </w:pPr>
    </w:p>
    <w:p>
      <w:pPr>
        <w:rPr>
          <w:rFonts w:ascii="Times New Roman" w:hAnsi="Times New Roman"/>
          <w:highlight w:val="none"/>
        </w:rPr>
      </w:pPr>
    </w:p>
    <w:p>
      <w:pPr>
        <w:rPr>
          <w:rFonts w:ascii="Times New Roman" w:hAnsi="Times New Roman"/>
          <w:highlight w:val="none"/>
        </w:rPr>
      </w:pPr>
    </w:p>
    <w:p>
      <w:pPr>
        <w:rPr>
          <w:rFonts w:ascii="Times New Roman" w:hAnsi="Times New Roman"/>
          <w:highlight w:val="none"/>
        </w:rPr>
      </w:pPr>
    </w:p>
    <w:p>
      <w:pPr>
        <w:rPr>
          <w:rFonts w:ascii="Times New Roman" w:hAnsi="Times New Roman"/>
          <w:highlight w:val="none"/>
        </w:rPr>
      </w:pPr>
    </w:p>
    <w:p>
      <w:pPr>
        <w:rPr>
          <w:rFonts w:ascii="Times New Roman" w:hAnsi="Times New Roman"/>
          <w:highlight w:val="none"/>
        </w:rPr>
      </w:pPr>
    </w:p>
    <w:p>
      <w:pPr>
        <w:rPr>
          <w:rFonts w:ascii="Times New Roman" w:hAnsi="Times New Roman"/>
          <w:highlight w:val="none"/>
        </w:rPr>
      </w:pPr>
    </w:p>
    <w:p>
      <w:pPr>
        <w:rPr>
          <w:rFonts w:ascii="Times New Roman" w:hAnsi="Times New Roman"/>
          <w:highlight w:val="none"/>
        </w:rPr>
      </w:pPr>
    </w:p>
    <w:p>
      <w:pPr>
        <w:pStyle w:val="2"/>
        <w:rPr>
          <w:rFonts w:ascii="Times New Roman" w:hAnsi="Times New Roman"/>
          <w:highlight w:val="none"/>
        </w:rPr>
      </w:pPr>
    </w:p>
    <w:p>
      <w:pPr>
        <w:rPr>
          <w:rFonts w:ascii="Times New Roman" w:hAnsi="Times New Roman"/>
          <w:highlight w:val="none"/>
        </w:rPr>
      </w:pPr>
    </w:p>
    <w:p>
      <w:pPr>
        <w:jc w:val="center"/>
        <w:rPr>
          <w:rFonts w:ascii="Times New Roman" w:hAnsi="Times New Roman" w:eastAsia="黑体"/>
          <w:sz w:val="30"/>
          <w:szCs w:val="30"/>
          <w:highlight w:val="none"/>
        </w:rPr>
      </w:pPr>
    </w:p>
    <w:p>
      <w:pPr>
        <w:jc w:val="center"/>
        <w:rPr>
          <w:rFonts w:ascii="Times New Roman" w:hAnsi="Times New Roman" w:eastAsia="黑体"/>
          <w:sz w:val="30"/>
          <w:szCs w:val="30"/>
          <w:highlight w:val="none"/>
        </w:rPr>
      </w:pPr>
    </w:p>
    <w:p>
      <w:pPr>
        <w:jc w:val="center"/>
        <w:rPr>
          <w:rFonts w:ascii="Times New Roman" w:hAnsi="Times New Roman" w:eastAsia="黑体"/>
          <w:sz w:val="30"/>
          <w:szCs w:val="30"/>
          <w:highlight w:val="none"/>
        </w:rPr>
      </w:pPr>
      <w:r>
        <w:rPr>
          <w:rFonts w:ascii="Times New Roman" w:hAnsi="Times New Roman" w:eastAsia="黑体"/>
          <w:sz w:val="30"/>
          <w:szCs w:val="30"/>
          <w:highlight w:val="none"/>
        </w:rPr>
        <w:t>202</w:t>
      </w:r>
      <w:r>
        <w:rPr>
          <w:rFonts w:hint="eastAsia" w:ascii="Times New Roman" w:hAnsi="Times New Roman" w:eastAsia="黑体"/>
          <w:sz w:val="30"/>
          <w:szCs w:val="30"/>
          <w:highlight w:val="none"/>
          <w:lang w:val="en-US" w:eastAsia="zh-CN"/>
        </w:rPr>
        <w:t>4</w:t>
      </w:r>
      <w:r>
        <w:rPr>
          <w:rFonts w:ascii="Times New Roman" w:hAnsi="Times New Roman" w:eastAsia="黑体"/>
          <w:sz w:val="30"/>
          <w:szCs w:val="30"/>
          <w:highlight w:val="none"/>
        </w:rPr>
        <w:t>年0</w:t>
      </w:r>
      <w:r>
        <w:rPr>
          <w:rFonts w:hint="eastAsia" w:ascii="Times New Roman" w:hAnsi="Times New Roman" w:eastAsia="黑体"/>
          <w:sz w:val="30"/>
          <w:szCs w:val="30"/>
          <w:highlight w:val="none"/>
          <w:lang w:val="en-US" w:eastAsia="zh-CN"/>
        </w:rPr>
        <w:t>8</w:t>
      </w:r>
      <w:r>
        <w:rPr>
          <w:rFonts w:ascii="Times New Roman" w:hAnsi="Times New Roman" w:eastAsia="黑体"/>
          <w:sz w:val="30"/>
          <w:szCs w:val="30"/>
          <w:highlight w:val="none"/>
        </w:rPr>
        <w:t>月</w:t>
      </w:r>
    </w:p>
    <w:p>
      <w:pPr>
        <w:topLinePunct/>
        <w:adjustRightInd w:val="0"/>
        <w:ind w:firstLine="420"/>
        <w:jc w:val="center"/>
        <w:rPr>
          <w:rFonts w:ascii="Times New Roman" w:hAnsi="Times New Roman"/>
          <w:highlight w:val="none"/>
        </w:rPr>
      </w:pPr>
      <w:r>
        <w:rPr>
          <w:rFonts w:ascii="Times New Roman" w:hAnsi="Times New Roman"/>
          <w:highlight w:val="none"/>
        </w:rPr>
        <w:br w:type="page"/>
      </w:r>
      <w:r>
        <w:rPr>
          <w:rFonts w:ascii="Times New Roman" w:hAnsi="Times New Roman"/>
          <w:highlight w:val="none"/>
        </w:rPr>
        <w:t>目  录</w:t>
      </w:r>
    </w:p>
    <w:p>
      <w:pPr>
        <w:pStyle w:val="21"/>
        <w:tabs>
          <w:tab w:val="left" w:pos="420"/>
        </w:tabs>
        <w:rPr>
          <w:rFonts w:asciiTheme="minorHAnsi" w:hAnsiTheme="minorHAnsi" w:eastAsiaTheme="minorEastAsia" w:cstheme="minorBidi"/>
          <w:sz w:val="21"/>
          <w:szCs w:val="22"/>
          <w:highlight w:val="none"/>
        </w:rPr>
      </w:pPr>
      <w:r>
        <w:rPr>
          <w:rFonts w:ascii="Times New Roman" w:hAnsi="Times New Roman"/>
          <w:highlight w:val="none"/>
        </w:rPr>
        <w:fldChar w:fldCharType="begin"/>
      </w:r>
      <w:r>
        <w:rPr>
          <w:rFonts w:ascii="Times New Roman" w:hAnsi="Times New Roman"/>
          <w:highlight w:val="none"/>
        </w:rPr>
        <w:instrText xml:space="preserve"> TOC \o "1-1" \h \z \u </w:instrText>
      </w:r>
      <w:r>
        <w:rPr>
          <w:rFonts w:ascii="Times New Roman" w:hAnsi="Times New Roman"/>
          <w:highlight w:val="none"/>
        </w:rPr>
        <w:fldChar w:fldCharType="separate"/>
      </w:r>
      <w:r>
        <w:rPr>
          <w:highlight w:val="none"/>
        </w:rPr>
        <w:fldChar w:fldCharType="begin"/>
      </w:r>
      <w:r>
        <w:rPr>
          <w:highlight w:val="none"/>
        </w:rPr>
        <w:instrText xml:space="preserve"> HYPERLINK \l "_Toc115199033" </w:instrText>
      </w:r>
      <w:r>
        <w:rPr>
          <w:highlight w:val="none"/>
        </w:rPr>
        <w:fldChar w:fldCharType="separate"/>
      </w:r>
      <w:r>
        <w:rPr>
          <w:rStyle w:val="27"/>
          <w:rFonts w:ascii="Times New Roman" w:hAnsi="Times New Roman"/>
          <w:highlight w:val="none"/>
        </w:rPr>
        <w:t>1</w:t>
      </w:r>
      <w:r>
        <w:rPr>
          <w:rFonts w:asciiTheme="minorHAnsi" w:hAnsiTheme="minorHAnsi" w:eastAsiaTheme="minorEastAsia" w:cstheme="minorBidi"/>
          <w:sz w:val="21"/>
          <w:szCs w:val="22"/>
          <w:highlight w:val="none"/>
        </w:rPr>
        <w:tab/>
      </w:r>
      <w:r>
        <w:rPr>
          <w:rStyle w:val="27"/>
          <w:rFonts w:ascii="Times New Roman" w:hAnsi="Times New Roman"/>
          <w:highlight w:val="none"/>
        </w:rPr>
        <w:t>总则</w:t>
      </w:r>
      <w:r>
        <w:rPr>
          <w:highlight w:val="none"/>
        </w:rPr>
        <w:tab/>
      </w:r>
      <w:r>
        <w:rPr>
          <w:highlight w:val="none"/>
        </w:rPr>
        <w:fldChar w:fldCharType="begin"/>
      </w:r>
      <w:r>
        <w:rPr>
          <w:highlight w:val="none"/>
        </w:rPr>
        <w:instrText xml:space="preserve"> PAGEREF _Toc115199033 \h </w:instrText>
      </w:r>
      <w:r>
        <w:rPr>
          <w:highlight w:val="none"/>
        </w:rPr>
        <w:fldChar w:fldCharType="separate"/>
      </w:r>
      <w:r>
        <w:rPr>
          <w:highlight w:val="none"/>
        </w:rPr>
        <w:t>3</w:t>
      </w:r>
      <w:r>
        <w:rPr>
          <w:highlight w:val="none"/>
        </w:rPr>
        <w:fldChar w:fldCharType="end"/>
      </w:r>
      <w:r>
        <w:rPr>
          <w:highlight w:val="none"/>
        </w:rPr>
        <w:fldChar w:fldCharType="end"/>
      </w:r>
    </w:p>
    <w:p>
      <w:pPr>
        <w:pStyle w:val="21"/>
        <w:tabs>
          <w:tab w:val="left" w:pos="420"/>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"_Toc115199034" </w:instrText>
      </w:r>
      <w:r>
        <w:rPr>
          <w:highlight w:val="none"/>
        </w:rPr>
        <w:fldChar w:fldCharType="separate"/>
      </w:r>
      <w:r>
        <w:rPr>
          <w:rStyle w:val="27"/>
          <w:rFonts w:ascii="Times New Roman" w:hAnsi="Times New Roman"/>
          <w:highlight w:val="none"/>
        </w:rPr>
        <w:t>2</w:t>
      </w:r>
      <w:r>
        <w:rPr>
          <w:rFonts w:asciiTheme="minorHAnsi" w:hAnsiTheme="minorHAnsi" w:eastAsiaTheme="minorEastAsia" w:cstheme="minorBidi"/>
          <w:sz w:val="21"/>
          <w:szCs w:val="22"/>
          <w:highlight w:val="none"/>
        </w:rPr>
        <w:tab/>
      </w:r>
      <w:r>
        <w:rPr>
          <w:rStyle w:val="27"/>
          <w:rFonts w:ascii="Times New Roman" w:hAnsi="Times New Roman"/>
          <w:highlight w:val="none"/>
        </w:rPr>
        <w:t>工作范围</w:t>
      </w:r>
      <w:r>
        <w:rPr>
          <w:highlight w:val="none"/>
        </w:rPr>
        <w:tab/>
      </w:r>
      <w:r>
        <w:rPr>
          <w:highlight w:val="none"/>
        </w:rPr>
        <w:fldChar w:fldCharType="begin"/>
      </w:r>
      <w:r>
        <w:rPr>
          <w:highlight w:val="none"/>
        </w:rPr>
        <w:instrText xml:space="preserve"> PAGEREF _Toc115199034 \h </w:instrText>
      </w:r>
      <w:r>
        <w:rPr>
          <w:highlight w:val="none"/>
        </w:rPr>
        <w:fldChar w:fldCharType="separate"/>
      </w:r>
      <w:r>
        <w:rPr>
          <w:highlight w:val="none"/>
        </w:rPr>
        <w:t>4</w:t>
      </w:r>
      <w:r>
        <w:rPr>
          <w:highlight w:val="none"/>
        </w:rPr>
        <w:fldChar w:fldCharType="end"/>
      </w:r>
      <w:r>
        <w:rPr>
          <w:highlight w:val="none"/>
        </w:rPr>
        <w:fldChar w:fldCharType="end"/>
      </w:r>
    </w:p>
    <w:p>
      <w:pPr>
        <w:pStyle w:val="21"/>
        <w:tabs>
          <w:tab w:val="left" w:pos="420"/>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"_Toc115199035" </w:instrText>
      </w:r>
      <w:r>
        <w:rPr>
          <w:highlight w:val="none"/>
        </w:rPr>
        <w:fldChar w:fldCharType="separate"/>
      </w:r>
      <w:r>
        <w:rPr>
          <w:rStyle w:val="27"/>
          <w:rFonts w:ascii="Times New Roman" w:hAnsi="Times New Roman"/>
          <w:highlight w:val="none"/>
        </w:rPr>
        <w:t>3</w:t>
      </w:r>
      <w:r>
        <w:rPr>
          <w:rFonts w:asciiTheme="minorHAnsi" w:hAnsiTheme="minorHAnsi" w:eastAsiaTheme="minorEastAsia" w:cstheme="minorBidi"/>
          <w:sz w:val="21"/>
          <w:szCs w:val="22"/>
          <w:highlight w:val="none"/>
        </w:rPr>
        <w:tab/>
      </w:r>
      <w:r>
        <w:rPr>
          <w:rStyle w:val="27"/>
          <w:rFonts w:ascii="Times New Roman" w:hAnsi="Times New Roman"/>
          <w:highlight w:val="none"/>
        </w:rPr>
        <w:t>应遵循的主要标准</w:t>
      </w:r>
      <w:r>
        <w:rPr>
          <w:highlight w:val="none"/>
        </w:rPr>
        <w:tab/>
      </w:r>
      <w:r>
        <w:rPr>
          <w:highlight w:val="none"/>
        </w:rPr>
        <w:fldChar w:fldCharType="begin"/>
      </w:r>
      <w:r>
        <w:rPr>
          <w:highlight w:val="none"/>
        </w:rPr>
        <w:instrText xml:space="preserve"> PAGEREF _Toc115199035 \h </w:instrText>
      </w:r>
      <w:r>
        <w:rPr>
          <w:highlight w:val="none"/>
        </w:rPr>
        <w:fldChar w:fldCharType="separate"/>
      </w:r>
      <w:r>
        <w:rPr>
          <w:highlight w:val="none"/>
        </w:rPr>
        <w:t>4</w:t>
      </w:r>
      <w:r>
        <w:rPr>
          <w:highlight w:val="none"/>
        </w:rPr>
        <w:fldChar w:fldCharType="end"/>
      </w:r>
      <w:r>
        <w:rPr>
          <w:highlight w:val="none"/>
        </w:rPr>
        <w:fldChar w:fldCharType="end"/>
      </w:r>
    </w:p>
    <w:p>
      <w:pPr>
        <w:pStyle w:val="21"/>
        <w:tabs>
          <w:tab w:val="left" w:pos="420"/>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"_Toc115199036" </w:instrText>
      </w:r>
      <w:r>
        <w:rPr>
          <w:highlight w:val="none"/>
        </w:rPr>
        <w:fldChar w:fldCharType="separate"/>
      </w:r>
      <w:r>
        <w:rPr>
          <w:rStyle w:val="27"/>
          <w:rFonts w:ascii="Times New Roman" w:hAnsi="Times New Roman"/>
          <w:highlight w:val="none"/>
        </w:rPr>
        <w:t>4</w:t>
      </w:r>
      <w:r>
        <w:rPr>
          <w:rFonts w:asciiTheme="minorHAnsi" w:hAnsiTheme="minorHAnsi" w:eastAsiaTheme="minorEastAsia" w:cstheme="minorBidi"/>
          <w:sz w:val="21"/>
          <w:szCs w:val="22"/>
          <w:highlight w:val="none"/>
        </w:rPr>
        <w:tab/>
      </w:r>
      <w:r>
        <w:rPr>
          <w:rStyle w:val="27"/>
          <w:rFonts w:ascii="Times New Roman" w:hAnsi="Times New Roman"/>
          <w:highlight w:val="none"/>
        </w:rPr>
        <w:t>技术基本情况</w:t>
      </w:r>
      <w:r>
        <w:rPr>
          <w:highlight w:val="none"/>
        </w:rPr>
        <w:tab/>
      </w:r>
      <w:r>
        <w:rPr>
          <w:highlight w:val="none"/>
        </w:rPr>
        <w:fldChar w:fldCharType="begin"/>
      </w:r>
      <w:r>
        <w:rPr>
          <w:highlight w:val="none"/>
        </w:rPr>
        <w:instrText xml:space="preserve"> PAGEREF _Toc115199036 \h </w:instrText>
      </w:r>
      <w:r>
        <w:rPr>
          <w:highlight w:val="none"/>
        </w:rPr>
        <w:fldChar w:fldCharType="separate"/>
      </w:r>
      <w:r>
        <w:rPr>
          <w:highlight w:val="none"/>
        </w:rPr>
        <w:t>4</w:t>
      </w:r>
      <w:r>
        <w:rPr>
          <w:highlight w:val="none"/>
        </w:rPr>
        <w:fldChar w:fldCharType="end"/>
      </w:r>
      <w:r>
        <w:rPr>
          <w:highlight w:val="none"/>
        </w:rPr>
        <w:fldChar w:fldCharType="end"/>
      </w:r>
    </w:p>
    <w:p>
      <w:pPr>
        <w:pStyle w:val="21"/>
        <w:tabs>
          <w:tab w:val="left" w:pos="420"/>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"_Toc115199038" </w:instrText>
      </w:r>
      <w:r>
        <w:rPr>
          <w:highlight w:val="none"/>
        </w:rPr>
        <w:fldChar w:fldCharType="separate"/>
      </w:r>
      <w:r>
        <w:rPr>
          <w:rStyle w:val="27"/>
          <w:rFonts w:hint="eastAsia" w:ascii="Times New Roman" w:hAnsi="Times New Roman"/>
          <w:highlight w:val="none"/>
          <w:lang w:val="en-US" w:eastAsia="zh-CN"/>
        </w:rPr>
        <w:t>5</w:t>
      </w:r>
      <w:r>
        <w:rPr>
          <w:rFonts w:asciiTheme="minorHAnsi" w:hAnsiTheme="minorHAnsi" w:eastAsiaTheme="minorEastAsia" w:cstheme="minorBidi"/>
          <w:sz w:val="21"/>
          <w:szCs w:val="22"/>
          <w:highlight w:val="none"/>
        </w:rPr>
        <w:tab/>
      </w:r>
      <w:r>
        <w:rPr>
          <w:rStyle w:val="27"/>
          <w:rFonts w:ascii="Times New Roman" w:hAnsi="Times New Roman"/>
          <w:highlight w:val="none"/>
        </w:rPr>
        <w:t>实验要求</w:t>
      </w:r>
      <w:r>
        <w:rPr>
          <w:highlight w:val="none"/>
        </w:rPr>
        <w:tab/>
      </w:r>
      <w:r>
        <w:rPr>
          <w:highlight w:val="none"/>
        </w:rPr>
        <w:fldChar w:fldCharType="begin"/>
      </w:r>
      <w:r>
        <w:rPr>
          <w:highlight w:val="none"/>
        </w:rPr>
        <w:instrText xml:space="preserve"> PAGEREF _Toc115199038 \h </w:instrText>
      </w:r>
      <w:r>
        <w:rPr>
          <w:highlight w:val="none"/>
        </w:rPr>
        <w:fldChar w:fldCharType="separate"/>
      </w:r>
      <w:r>
        <w:rPr>
          <w:highlight w:val="none"/>
        </w:rPr>
        <w:t>9</w:t>
      </w:r>
      <w:r>
        <w:rPr>
          <w:highlight w:val="none"/>
        </w:rPr>
        <w:fldChar w:fldCharType="end"/>
      </w:r>
      <w:r>
        <w:rPr>
          <w:highlight w:val="none"/>
        </w:rPr>
        <w:fldChar w:fldCharType="end"/>
      </w:r>
    </w:p>
    <w:p>
      <w:pPr>
        <w:pStyle w:val="21"/>
        <w:tabs>
          <w:tab w:val="left" w:pos="420"/>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"_Toc115199039" </w:instrText>
      </w:r>
      <w:r>
        <w:rPr>
          <w:highlight w:val="none"/>
        </w:rPr>
        <w:fldChar w:fldCharType="separate"/>
      </w:r>
      <w:r>
        <w:rPr>
          <w:rStyle w:val="27"/>
          <w:rFonts w:hint="eastAsia" w:ascii="Times New Roman" w:hAnsi="Times New Roman"/>
          <w:highlight w:val="none"/>
          <w:lang w:val="en-US" w:eastAsia="zh-CN"/>
        </w:rPr>
        <w:t>6</w:t>
      </w:r>
      <w:r>
        <w:rPr>
          <w:rFonts w:asciiTheme="minorHAnsi" w:hAnsiTheme="minorHAnsi" w:eastAsiaTheme="minorEastAsia" w:cstheme="minorBidi"/>
          <w:sz w:val="21"/>
          <w:szCs w:val="22"/>
          <w:highlight w:val="none"/>
        </w:rPr>
        <w:tab/>
      </w:r>
      <w:r>
        <w:rPr>
          <w:rStyle w:val="27"/>
          <w:rFonts w:ascii="Times New Roman" w:hAnsi="Times New Roman"/>
          <w:highlight w:val="none"/>
        </w:rPr>
        <w:t>技术文件要求</w:t>
      </w:r>
      <w:r>
        <w:rPr>
          <w:highlight w:val="none"/>
        </w:rPr>
        <w:tab/>
      </w:r>
      <w:r>
        <w:rPr>
          <w:highlight w:val="none"/>
        </w:rPr>
        <w:fldChar w:fldCharType="begin"/>
      </w:r>
      <w:r>
        <w:rPr>
          <w:highlight w:val="none"/>
        </w:rPr>
        <w:instrText xml:space="preserve"> PAGEREF _Toc115199039 \h </w:instrText>
      </w:r>
      <w:r>
        <w:rPr>
          <w:highlight w:val="none"/>
        </w:rPr>
        <w:fldChar w:fldCharType="separate"/>
      </w:r>
      <w:r>
        <w:rPr>
          <w:highlight w:val="none"/>
        </w:rPr>
        <w:t>10</w:t>
      </w:r>
      <w:r>
        <w:rPr>
          <w:highlight w:val="none"/>
        </w:rPr>
        <w:fldChar w:fldCharType="end"/>
      </w:r>
      <w:r>
        <w:rPr>
          <w:highlight w:val="none"/>
        </w:rPr>
        <w:fldChar w:fldCharType="end"/>
      </w:r>
    </w:p>
    <w:p>
      <w:pPr>
        <w:pStyle w:val="21"/>
        <w:tabs>
          <w:tab w:val="left" w:pos="420"/>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"_Toc115199040" </w:instrText>
      </w:r>
      <w:r>
        <w:rPr>
          <w:highlight w:val="none"/>
        </w:rPr>
        <w:fldChar w:fldCharType="separate"/>
      </w:r>
      <w:r>
        <w:rPr>
          <w:rStyle w:val="27"/>
          <w:rFonts w:hint="eastAsia" w:ascii="Times New Roman" w:hAnsi="Times New Roman"/>
          <w:highlight w:val="none"/>
          <w:lang w:val="en-US" w:eastAsia="zh-CN"/>
        </w:rPr>
        <w:t>7</w:t>
      </w:r>
      <w:r>
        <w:rPr>
          <w:rFonts w:asciiTheme="minorHAnsi" w:hAnsiTheme="minorHAnsi" w:eastAsiaTheme="minorEastAsia" w:cstheme="minorBidi"/>
          <w:sz w:val="21"/>
          <w:szCs w:val="22"/>
          <w:highlight w:val="none"/>
        </w:rPr>
        <w:tab/>
      </w:r>
      <w:r>
        <w:rPr>
          <w:rStyle w:val="27"/>
          <w:rFonts w:ascii="Times New Roman" w:hAnsi="Times New Roman"/>
          <w:highlight w:val="none"/>
        </w:rPr>
        <w:t>质量保证</w:t>
      </w:r>
      <w:r>
        <w:rPr>
          <w:highlight w:val="none"/>
        </w:rPr>
        <w:tab/>
      </w:r>
      <w:r>
        <w:rPr>
          <w:highlight w:val="none"/>
        </w:rPr>
        <w:fldChar w:fldCharType="begin"/>
      </w:r>
      <w:r>
        <w:rPr>
          <w:highlight w:val="none"/>
        </w:rPr>
        <w:instrText xml:space="preserve"> PAGEREF _Toc115199040 \h </w:instrText>
      </w:r>
      <w:r>
        <w:rPr>
          <w:highlight w:val="none"/>
        </w:rPr>
        <w:fldChar w:fldCharType="separate"/>
      </w:r>
      <w:r>
        <w:rPr>
          <w:highlight w:val="none"/>
        </w:rPr>
        <w:t>11</w:t>
      </w:r>
      <w:r>
        <w:rPr>
          <w:highlight w:val="none"/>
        </w:rPr>
        <w:fldChar w:fldCharType="end"/>
      </w:r>
      <w:r>
        <w:rPr>
          <w:highlight w:val="none"/>
        </w:rPr>
        <w:fldChar w:fldCharType="end"/>
      </w:r>
    </w:p>
    <w:p>
      <w:pPr>
        <w:rPr>
          <w:rFonts w:ascii="Times New Roman" w:hAnsi="Times New Roman"/>
          <w:highlight w:val="none"/>
        </w:rPr>
        <w:sectPr>
          <w:footerReference r:id="rId5" w:type="default"/>
          <w:footerReference r:id="rId6" w:type="even"/>
          <w:pgSz w:w="11906" w:h="16838"/>
          <w:pgMar w:top="1440" w:right="1800" w:bottom="1440" w:left="1800" w:header="851" w:footer="992" w:gutter="0"/>
          <w:pgNumType w:start="1"/>
          <w:cols w:space="720" w:num="1"/>
          <w:docGrid w:type="lines" w:linePitch="326" w:charSpace="0"/>
        </w:sectPr>
      </w:pPr>
      <w:r>
        <w:rPr>
          <w:rFonts w:ascii="Times New Roman" w:hAnsi="Times New Roman"/>
          <w:highlight w:val="none"/>
        </w:rPr>
        <w:fldChar w:fldCharType="end"/>
      </w:r>
      <w:bookmarkStart w:id="21" w:name="_GoBack"/>
      <w:bookmarkEnd w:id="21"/>
    </w:p>
    <w:p>
      <w:pPr>
        <w:pStyle w:val="4"/>
        <w:keepNext w:val="0"/>
        <w:keepLines w:val="0"/>
        <w:snapToGrid w:val="0"/>
        <w:spacing w:line="324" w:lineRule="auto"/>
        <w:ind w:left="119"/>
        <w:rPr>
          <w:rFonts w:ascii="Times New Roman" w:hAnsi="Times New Roman"/>
          <w:sz w:val="32"/>
          <w:szCs w:val="32"/>
          <w:highlight w:val="none"/>
        </w:rPr>
      </w:pPr>
      <w:bookmarkStart w:id="0" w:name="_Toc115199033"/>
      <w:r>
        <w:rPr>
          <w:rFonts w:ascii="Times New Roman" w:hAnsi="Times New Roman"/>
          <w:sz w:val="32"/>
          <w:szCs w:val="32"/>
          <w:highlight w:val="none"/>
        </w:rPr>
        <w:t>总则</w:t>
      </w:r>
      <w:bookmarkEnd w:id="0"/>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本技术规范书中提出的仅为最低限度的技术要求，并未对一切技术细节做出规定，也未充分引述有关标准和规范的条文，投标方应提供符合相关标准和本技术规范的产品。本技术规范所使用的标准如与国家、行业、电网公司以及投标方所执行的标准不一致时，按要求较高的标准执行；</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投标方应仔细阅读包括本技术规范书在内的招标文件的所有条款，并根据技术规范书中的要求和范围进行技术方案的设计，其提供的系统的技术方案应满足招标文件所规定的所有要求。投标方也可推荐能满足招标文件要求的类似的或更优的产品和方案，但投标方必须详细标明技术差异。未在技术差异表中说明的条款意味着投标方认可其所提供的设备、产品及服务等的相应部分完全符合或高于本技术规范相应的要求，投标方中标后除非经过买方书面同意，否则不得以任何理由提供低于本技术规范要求的相应的设备、产品及服务等；</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对于本技术规范书未提出但应标系统已具有的功能及技术性能指标，投标方可在其技术建议书中加以补充说明，并提供相关技术资料。如果投标方认为本技术规范书所描述的功能、接口、性能等要求与目标系统要求有所不一致或部分要求不合理，可在响应原要求后给出建议方案；</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对于应标系统中尚不具备或未达到相关要求的功能或性能，投标方在应答时须针对该项如实说明。投标方认为相关要求不合理的，应给出充分理由及合理的建议；投标方认为相关要求需要在现有产品基础上进一步实现或完善的，应给出实现相关技术要求的方案和进度计划；</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投标方提供的技术应答内容至少应包括技术方案(包括功能实现方案、性能指标等)、工程计划(包括工程进度计划、设计联络会、技术培训计划)等；</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投标方应在技术建议书中具体说明所建议的技术方案符合的有关标准(包括国际、国内标准和专用标准)，并附上相应的说明和技术资料。对每个单项产品，卖方必须提供原厂商的正式技术指标说明材料。卖方认为需特殊说明的部分应附有详细的技术资料，否则由于评标理解的不同，产生的后果由卖方负责；</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投标方提供的设备(包括硬件和软件)必须是标准的，技术上是成熟的；所有设备应是全新的，具有先进结构和一流工艺水平，并能在中国境内安全使用(包括软件产品必须具有在中国境内的合法使用权)，符合环保要求；</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投标方应依据本技术规范的要求及推荐的技术方案提出详细的设备配置和报价清单，硬件设备和软件分别报价；</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投标方的报价清单内容应该包括本次招标范围内所要求的全部软件功能开发及服务等。除已经明确说明由买方另行采购和在报价清单中明确采购的设备、材料及服务外，其它在本项目建设中必须的但被遗漏的设备、材料及服务，投标方应予以补充，在清单中详细列出并报价，以保证招标系统的正常运行。否则，相关设备、材料及服务等的费用被视为已包含在报价中或由卖方免费提供；</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投标方的投标文件应以中文简体编写(原厂商的资料可为英文)，所有的计算、说明和图纸等均应采用国际单位。投标方应保证对本次招标的所有技术说明文件保密，在招标前和招标后不得向其他单位公布招标项目单位的有关材料；</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本技术规范书的解释权属于买方。未经买方同意，任何个人和单位对技术规范书所作的任何修改均无效。在未经双方商定作为订货合同技术附件之前，买方保留对技术规范书进行修改的权利，卖方可以提出变更的意见和建议；买卖双方签订合同之后，买方有权提出和卖方有责任接受因国家、行业、上级主管单位等的规范、标准和规程等发生变化及与相关系统接口要求改变所产生的一些补充要求。具体事项由买卖双方共同商定；</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本技术规范书在内容或技术指标上如果存在错误(包括拼写、印刷错误)，投标方应及时提出要求招标方澄清，经招标方确认后对错误内容进行修正；</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针对本次招标的一切有效的书面通知、修改及补充，都是招标文件不可分割的部分，与招标文件具有同等法律效力；</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技术规范书经买卖双方确认后作为合同的附件，与合同正文具有同等的法律效力。本技术规范书的未尽事宜，由买卖双方在合同技术谈判时协商确定，或以其它形式补充。</w:t>
      </w:r>
    </w:p>
    <w:p>
      <w:pPr>
        <w:pStyle w:val="4"/>
        <w:keepNext w:val="0"/>
        <w:keepLines w:val="0"/>
        <w:snapToGrid w:val="0"/>
        <w:spacing w:line="324" w:lineRule="auto"/>
        <w:ind w:left="119"/>
        <w:rPr>
          <w:rFonts w:ascii="Times New Roman" w:hAnsi="Times New Roman"/>
          <w:sz w:val="32"/>
          <w:szCs w:val="32"/>
          <w:highlight w:val="none"/>
        </w:rPr>
      </w:pPr>
      <w:bookmarkStart w:id="1" w:name="_Toc115199034"/>
      <w:r>
        <w:rPr>
          <w:rFonts w:ascii="Times New Roman" w:hAnsi="Times New Roman"/>
          <w:sz w:val="32"/>
          <w:szCs w:val="32"/>
          <w:highlight w:val="none"/>
        </w:rPr>
        <w:t>工作范围</w:t>
      </w:r>
      <w:bookmarkEnd w:id="1"/>
    </w:p>
    <w:p>
      <w:pPr>
        <w:snapToGrid w:val="0"/>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边缘计算是一种将计算资源和数据处理能力推向网络边缘的计算模式，其在更靠近数据源和用户的地方进行数据处理和计算，适用于新能源发电的分布式特点。新能源负荷侧边缘计算装置可通过获取分布式新能源负荷的负荷特征，并利用边缘计算，优化新能源负荷的有功无功控制，提高电网对清洁能源的接纳、配置和调控能力。</w:t>
      </w:r>
    </w:p>
    <w:p>
      <w:pPr>
        <w:pStyle w:val="4"/>
        <w:keepNext w:val="0"/>
        <w:keepLines w:val="0"/>
        <w:snapToGrid w:val="0"/>
        <w:spacing w:line="324" w:lineRule="auto"/>
        <w:ind w:left="119"/>
        <w:rPr>
          <w:rFonts w:ascii="Times New Roman" w:hAnsi="Times New Roman"/>
          <w:sz w:val="32"/>
          <w:szCs w:val="32"/>
          <w:highlight w:val="none"/>
        </w:rPr>
      </w:pPr>
      <w:bookmarkStart w:id="2" w:name="_Toc115199035"/>
      <w:r>
        <w:rPr>
          <w:rFonts w:ascii="Times New Roman" w:hAnsi="Times New Roman"/>
          <w:sz w:val="32"/>
          <w:szCs w:val="32"/>
          <w:highlight w:val="none"/>
        </w:rPr>
        <w:t>应遵循的主要标准</w:t>
      </w:r>
      <w:bookmarkEnd w:id="2"/>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文件中所有设备、备品备件，包括投标人自其他单位获得的所有附件和设备，除本技术招标文件中规定的技术参数和要求外，其余均应遵照下列最新版本的国家标准（GB）、电力行业标准（DL）及国际单位制（SI）等标准，这是本技术招标文件的最低要求。投标人如果采用自己的标准或规范，必须向招标人提供中文复印件并经招标人同意后方可采用，但不能低于GB、DL、团标有关规定。</w:t>
      </w:r>
    </w:p>
    <w:p>
      <w:pPr>
        <w:pStyle w:val="34"/>
        <w:spacing w:line="27" w:lineRule="atLeast"/>
        <w:ind w:firstLine="420"/>
        <w:rPr>
          <w:rFonts w:asciiTheme="minorEastAsia" w:hAnsiTheme="minorEastAsia" w:eastAsiaTheme="minorEastAsia" w:cstheme="minorEastAsia"/>
          <w:kern w:val="2"/>
          <w:szCs w:val="21"/>
          <w:highlight w:val="none"/>
        </w:rPr>
      </w:pPr>
      <w:r>
        <w:rPr>
          <w:rFonts w:hint="eastAsia" w:asciiTheme="minorEastAsia" w:hAnsiTheme="minorEastAsia" w:eastAsiaTheme="minorEastAsia" w:cstheme="minorEastAsia"/>
          <w:kern w:val="2"/>
          <w:szCs w:val="21"/>
          <w:highlight w:val="none"/>
        </w:rPr>
        <w:t>适用标准如下：</w:t>
      </w:r>
    </w:p>
    <w:p>
      <w:pPr>
        <w:ind w:firstLine="420"/>
        <w:rPr>
          <w:sz w:val="21"/>
          <w:szCs w:val="21"/>
        </w:rPr>
      </w:pPr>
      <w:bookmarkStart w:id="3" w:name="_Toc115199036"/>
      <w:r>
        <w:rPr>
          <w:sz w:val="21"/>
          <w:szCs w:val="21"/>
        </w:rPr>
        <w:t>GB/T 191 包装储运图示标志</w:t>
      </w:r>
    </w:p>
    <w:p>
      <w:pPr>
        <w:ind w:firstLine="420"/>
        <w:rPr>
          <w:sz w:val="21"/>
          <w:szCs w:val="21"/>
        </w:rPr>
      </w:pPr>
      <w:r>
        <w:rPr>
          <w:sz w:val="21"/>
          <w:szCs w:val="21"/>
        </w:rPr>
        <w:t>GB/T 2423.1 电工电子产品环境试验 第2部分：试验方法 试验A：低温</w:t>
      </w:r>
    </w:p>
    <w:p>
      <w:pPr>
        <w:ind w:firstLine="420"/>
        <w:rPr>
          <w:sz w:val="21"/>
          <w:szCs w:val="21"/>
        </w:rPr>
      </w:pPr>
      <w:r>
        <w:rPr>
          <w:sz w:val="21"/>
          <w:szCs w:val="21"/>
        </w:rPr>
        <w:t>GB/T 2423.2 电工电子产品环境试验 第2部分：试验方法 试验B：高温</w:t>
      </w:r>
    </w:p>
    <w:p>
      <w:pPr>
        <w:ind w:firstLine="420"/>
        <w:rPr>
          <w:sz w:val="21"/>
          <w:szCs w:val="21"/>
        </w:rPr>
      </w:pPr>
      <w:r>
        <w:rPr>
          <w:sz w:val="21"/>
          <w:szCs w:val="21"/>
        </w:rPr>
        <w:t xml:space="preserve">GB/T 2423.4 电工电子产品基本环境试验规程 试验Db：交变湿热试验方法 </w:t>
      </w:r>
    </w:p>
    <w:p>
      <w:pPr>
        <w:ind w:firstLine="420"/>
        <w:rPr>
          <w:sz w:val="21"/>
          <w:szCs w:val="21"/>
        </w:rPr>
      </w:pPr>
      <w:r>
        <w:rPr>
          <w:sz w:val="21"/>
          <w:szCs w:val="21"/>
        </w:rPr>
        <w:t>GB/T 2423.8 电工电子产品环境试验 第2部分：试验方法 试验Ed：自由跌落</w:t>
      </w:r>
    </w:p>
    <w:p>
      <w:pPr>
        <w:ind w:firstLine="420"/>
        <w:rPr>
          <w:sz w:val="21"/>
          <w:szCs w:val="21"/>
        </w:rPr>
      </w:pPr>
      <w:r>
        <w:rPr>
          <w:sz w:val="21"/>
          <w:szCs w:val="21"/>
        </w:rPr>
        <w:t>GB/T 2423.9 电工电子产品环境试验 第2部分：试验方法 试验Cb：设备用恒定湿热</w:t>
      </w:r>
    </w:p>
    <w:p>
      <w:pPr>
        <w:ind w:firstLine="420"/>
        <w:rPr>
          <w:sz w:val="21"/>
          <w:szCs w:val="21"/>
        </w:rPr>
      </w:pPr>
      <w:r>
        <w:rPr>
          <w:sz w:val="21"/>
          <w:szCs w:val="21"/>
        </w:rPr>
        <w:t>GB/T 2423.10 电工电子产品环境试验 第2部分</w:t>
      </w:r>
      <w:r>
        <w:rPr>
          <w:rFonts w:hint="eastAsia"/>
          <w:sz w:val="21"/>
          <w:szCs w:val="21"/>
        </w:rPr>
        <w:t>：</w:t>
      </w:r>
      <w:r>
        <w:rPr>
          <w:sz w:val="21"/>
          <w:szCs w:val="21"/>
        </w:rPr>
        <w:t>试验方法 试验Fc和导则：振动</w:t>
      </w:r>
      <w:r>
        <w:rPr>
          <w:rFonts w:hint="eastAsia"/>
          <w:sz w:val="21"/>
          <w:szCs w:val="21"/>
        </w:rPr>
        <w:t>（</w:t>
      </w:r>
      <w:r>
        <w:rPr>
          <w:sz w:val="21"/>
          <w:szCs w:val="21"/>
        </w:rPr>
        <w:t>正弦</w:t>
      </w:r>
      <w:r>
        <w:rPr>
          <w:rFonts w:hint="eastAsia"/>
          <w:sz w:val="21"/>
          <w:szCs w:val="21"/>
        </w:rPr>
        <w:t>）</w:t>
      </w:r>
    </w:p>
    <w:p>
      <w:pPr>
        <w:ind w:firstLine="420"/>
        <w:rPr>
          <w:sz w:val="21"/>
          <w:szCs w:val="21"/>
        </w:rPr>
      </w:pPr>
      <w:r>
        <w:rPr>
          <w:sz w:val="21"/>
          <w:szCs w:val="21"/>
        </w:rPr>
        <w:t>GB 4208</w:t>
      </w:r>
      <w:r>
        <w:rPr>
          <w:rFonts w:hint="eastAsia"/>
          <w:sz w:val="21"/>
          <w:szCs w:val="21"/>
        </w:rPr>
        <w:t xml:space="preserve"> </w:t>
      </w:r>
      <w:r>
        <w:rPr>
          <w:sz w:val="21"/>
          <w:szCs w:val="21"/>
        </w:rPr>
        <w:t>外壳防护等级（IP代码）</w:t>
      </w:r>
    </w:p>
    <w:p>
      <w:pPr>
        <w:ind w:firstLine="420"/>
        <w:rPr>
          <w:sz w:val="21"/>
          <w:szCs w:val="21"/>
        </w:rPr>
      </w:pPr>
      <w:r>
        <w:rPr>
          <w:sz w:val="21"/>
          <w:szCs w:val="21"/>
        </w:rPr>
        <w:t>GB/T 9969 工业产品使用说明书 总则</w:t>
      </w:r>
    </w:p>
    <w:p>
      <w:pPr>
        <w:ind w:firstLine="420"/>
        <w:rPr>
          <w:sz w:val="21"/>
          <w:szCs w:val="21"/>
        </w:rPr>
      </w:pPr>
      <w:r>
        <w:rPr>
          <w:sz w:val="21"/>
          <w:szCs w:val="21"/>
        </w:rPr>
        <w:t>GB/T 10125 人造气氛腐蚀试验 盐雾试验</w:t>
      </w:r>
    </w:p>
    <w:p>
      <w:pPr>
        <w:ind w:firstLine="420"/>
        <w:rPr>
          <w:sz w:val="21"/>
          <w:szCs w:val="21"/>
        </w:rPr>
      </w:pPr>
      <w:r>
        <w:rPr>
          <w:sz w:val="21"/>
          <w:szCs w:val="21"/>
        </w:rPr>
        <w:t>GB/T 11287 电气继电器 第21部分 量度继电器和保护装置的振动、冲击、碰撞和地震试验 第1篇：振动试验</w:t>
      </w:r>
      <w:r>
        <w:rPr>
          <w:rFonts w:hint="eastAsia"/>
          <w:sz w:val="21"/>
          <w:szCs w:val="21"/>
        </w:rPr>
        <w:t>（</w:t>
      </w:r>
      <w:r>
        <w:rPr>
          <w:sz w:val="21"/>
          <w:szCs w:val="21"/>
        </w:rPr>
        <w:t>正弦</w:t>
      </w:r>
      <w:r>
        <w:rPr>
          <w:rFonts w:hint="eastAsia"/>
          <w:sz w:val="21"/>
          <w:szCs w:val="21"/>
        </w:rPr>
        <w:t>）</w:t>
      </w:r>
    </w:p>
    <w:p>
      <w:pPr>
        <w:ind w:firstLine="420"/>
        <w:rPr>
          <w:sz w:val="21"/>
          <w:szCs w:val="21"/>
        </w:rPr>
      </w:pPr>
      <w:r>
        <w:rPr>
          <w:sz w:val="21"/>
          <w:szCs w:val="21"/>
        </w:rPr>
        <w:t>GB/T 13729 远动终端设备</w:t>
      </w:r>
    </w:p>
    <w:p>
      <w:pPr>
        <w:ind w:firstLine="420"/>
        <w:rPr>
          <w:sz w:val="21"/>
          <w:szCs w:val="21"/>
        </w:rPr>
      </w:pPr>
      <w:r>
        <w:rPr>
          <w:sz w:val="21"/>
          <w:szCs w:val="21"/>
        </w:rPr>
        <w:t>GB/T 14436 工业产品保证文件 总则</w:t>
      </w:r>
    </w:p>
    <w:p>
      <w:pPr>
        <w:ind w:firstLine="420"/>
        <w:rPr>
          <w:sz w:val="21"/>
          <w:szCs w:val="21"/>
        </w:rPr>
      </w:pPr>
      <w:r>
        <w:rPr>
          <w:sz w:val="21"/>
          <w:szCs w:val="21"/>
        </w:rPr>
        <w:t>GB/T 14598.3</w:t>
      </w:r>
      <w:r>
        <w:rPr>
          <w:rFonts w:hint="eastAsia"/>
          <w:sz w:val="21"/>
          <w:szCs w:val="21"/>
        </w:rPr>
        <w:t xml:space="preserve"> </w:t>
      </w:r>
      <w:r>
        <w:rPr>
          <w:sz w:val="21"/>
          <w:szCs w:val="21"/>
        </w:rPr>
        <w:t>电气继电器 第5部分：量度继电器和保护装置的绝缘配合要求和试验</w:t>
      </w:r>
    </w:p>
    <w:p>
      <w:pPr>
        <w:ind w:firstLine="420"/>
        <w:rPr>
          <w:sz w:val="21"/>
          <w:szCs w:val="21"/>
        </w:rPr>
      </w:pPr>
      <w:r>
        <w:rPr>
          <w:sz w:val="21"/>
          <w:szCs w:val="21"/>
        </w:rPr>
        <w:t>GB/T 14598.8 电气继电器 第20部分</w:t>
      </w:r>
      <w:r>
        <w:rPr>
          <w:rFonts w:hint="eastAsia"/>
          <w:sz w:val="21"/>
          <w:szCs w:val="21"/>
        </w:rPr>
        <w:t>：</w:t>
      </w:r>
      <w:r>
        <w:rPr>
          <w:sz w:val="21"/>
          <w:szCs w:val="21"/>
        </w:rPr>
        <w:t>保护系统</w:t>
      </w:r>
    </w:p>
    <w:p>
      <w:pPr>
        <w:ind w:firstLine="420"/>
        <w:rPr>
          <w:sz w:val="21"/>
          <w:szCs w:val="21"/>
        </w:rPr>
      </w:pPr>
      <w:r>
        <w:rPr>
          <w:sz w:val="21"/>
          <w:szCs w:val="21"/>
        </w:rPr>
        <w:t>GB/T 14598.9</w:t>
      </w:r>
      <w:r>
        <w:rPr>
          <w:rFonts w:hint="eastAsia"/>
          <w:sz w:val="21"/>
          <w:szCs w:val="21"/>
        </w:rPr>
        <w:t xml:space="preserve"> </w:t>
      </w:r>
      <w:r>
        <w:rPr>
          <w:sz w:val="21"/>
          <w:szCs w:val="21"/>
        </w:rPr>
        <w:t>电气继电器第22-3部分：量度继电器和保护装置的电气骚扰试验辐射电磁场骚扰试验</w:t>
      </w:r>
    </w:p>
    <w:p>
      <w:pPr>
        <w:ind w:firstLine="420"/>
        <w:rPr>
          <w:sz w:val="21"/>
          <w:szCs w:val="21"/>
        </w:rPr>
      </w:pPr>
      <w:r>
        <w:rPr>
          <w:sz w:val="21"/>
          <w:szCs w:val="21"/>
        </w:rPr>
        <w:t>GB/T 14598.10 电气继电器第22-4部分：量度继电器和保护装置的电气骚扰试验电快速瞬变/脉冲群抗扰度试验</w:t>
      </w:r>
    </w:p>
    <w:p>
      <w:pPr>
        <w:ind w:firstLine="420"/>
        <w:rPr>
          <w:sz w:val="21"/>
          <w:szCs w:val="21"/>
        </w:rPr>
      </w:pPr>
      <w:r>
        <w:rPr>
          <w:sz w:val="21"/>
          <w:szCs w:val="21"/>
        </w:rPr>
        <w:t>GB/T 14598.13 电气继电器第22-1部分：量度继电器和保护装置的电气骚扰试验1MHz脉冲群抗扰度试验</w:t>
      </w:r>
    </w:p>
    <w:p>
      <w:pPr>
        <w:ind w:firstLine="420"/>
        <w:rPr>
          <w:sz w:val="21"/>
          <w:szCs w:val="21"/>
        </w:rPr>
      </w:pPr>
      <w:r>
        <w:rPr>
          <w:sz w:val="21"/>
          <w:szCs w:val="21"/>
        </w:rPr>
        <w:t>GB/T 14598.14 量度继电器和保护装置的电气干扰试验</w:t>
      </w:r>
      <w:r>
        <w:rPr>
          <w:rFonts w:hint="eastAsia"/>
          <w:sz w:val="21"/>
          <w:szCs w:val="21"/>
        </w:rPr>
        <w:t xml:space="preserve"> </w:t>
      </w:r>
      <w:r>
        <w:rPr>
          <w:sz w:val="21"/>
          <w:szCs w:val="21"/>
        </w:rPr>
        <w:t>第2部分：静电放电试验</w:t>
      </w:r>
    </w:p>
    <w:p>
      <w:pPr>
        <w:ind w:firstLine="420"/>
        <w:rPr>
          <w:sz w:val="21"/>
          <w:szCs w:val="21"/>
        </w:rPr>
      </w:pPr>
      <w:r>
        <w:rPr>
          <w:sz w:val="21"/>
          <w:szCs w:val="21"/>
        </w:rPr>
        <w:t>GB/T 14598.16 电气继电器 第25部分</w:t>
      </w:r>
      <w:r>
        <w:rPr>
          <w:rFonts w:hint="eastAsia"/>
          <w:sz w:val="21"/>
          <w:szCs w:val="21"/>
        </w:rPr>
        <w:t>：</w:t>
      </w:r>
      <w:r>
        <w:rPr>
          <w:sz w:val="21"/>
          <w:szCs w:val="21"/>
        </w:rPr>
        <w:t>量度继电器和保护装置的电磁发射试验</w:t>
      </w:r>
    </w:p>
    <w:p>
      <w:pPr>
        <w:ind w:firstLine="420"/>
        <w:rPr>
          <w:sz w:val="21"/>
          <w:szCs w:val="21"/>
        </w:rPr>
      </w:pPr>
      <w:r>
        <w:rPr>
          <w:sz w:val="21"/>
          <w:szCs w:val="21"/>
        </w:rPr>
        <w:t>GB/T 14598.17 电气继电器 第22-6部分：量度继电器和保护装置的电气骚扰试验</w:t>
      </w:r>
      <w:r>
        <w:rPr>
          <w:rFonts w:hint="eastAsia"/>
          <w:sz w:val="21"/>
          <w:szCs w:val="21"/>
        </w:rPr>
        <w:t>—</w:t>
      </w:r>
      <w:r>
        <w:rPr>
          <w:sz w:val="21"/>
          <w:szCs w:val="21"/>
        </w:rPr>
        <w:t>射频场感应的传导骚扰的抗扰度</w:t>
      </w:r>
    </w:p>
    <w:p>
      <w:pPr>
        <w:ind w:firstLine="420"/>
        <w:rPr>
          <w:sz w:val="21"/>
          <w:szCs w:val="21"/>
        </w:rPr>
      </w:pPr>
      <w:r>
        <w:rPr>
          <w:sz w:val="21"/>
          <w:szCs w:val="21"/>
        </w:rPr>
        <w:t>GB/T 14598.18 电气继电器 第22-5部分：量度继电器和保护装置的电气骚扰试验</w:t>
      </w:r>
      <w:r>
        <w:rPr>
          <w:rFonts w:hint="eastAsia"/>
          <w:sz w:val="21"/>
          <w:szCs w:val="21"/>
        </w:rPr>
        <w:t>—</w:t>
      </w:r>
      <w:r>
        <w:rPr>
          <w:sz w:val="21"/>
          <w:szCs w:val="21"/>
        </w:rPr>
        <w:t>浪涌抗扰度试验</w:t>
      </w:r>
    </w:p>
    <w:p>
      <w:pPr>
        <w:ind w:firstLine="420"/>
        <w:rPr>
          <w:sz w:val="21"/>
          <w:szCs w:val="21"/>
        </w:rPr>
      </w:pPr>
      <w:r>
        <w:rPr>
          <w:sz w:val="21"/>
          <w:szCs w:val="21"/>
        </w:rPr>
        <w:t>GB/T 14598.274 量度继电器和保护装置 第27部分：产品安全要求</w:t>
      </w:r>
    </w:p>
    <w:p>
      <w:pPr>
        <w:ind w:firstLine="420"/>
        <w:rPr>
          <w:sz w:val="21"/>
          <w:szCs w:val="21"/>
        </w:rPr>
      </w:pPr>
      <w:r>
        <w:rPr>
          <w:sz w:val="21"/>
          <w:szCs w:val="21"/>
        </w:rPr>
        <w:t>GB/T 15153.1 远动设备及系统 第2部分</w:t>
      </w:r>
      <w:r>
        <w:rPr>
          <w:rFonts w:hint="eastAsia"/>
          <w:sz w:val="21"/>
          <w:szCs w:val="21"/>
        </w:rPr>
        <w:t>：</w:t>
      </w:r>
      <w:r>
        <w:rPr>
          <w:sz w:val="21"/>
          <w:szCs w:val="21"/>
        </w:rPr>
        <w:t>工作条件 第1篇: 电源和电磁兼容性</w:t>
      </w:r>
    </w:p>
    <w:p>
      <w:pPr>
        <w:ind w:firstLine="420"/>
        <w:rPr>
          <w:sz w:val="21"/>
          <w:szCs w:val="21"/>
        </w:rPr>
      </w:pPr>
      <w:r>
        <w:rPr>
          <w:sz w:val="21"/>
          <w:szCs w:val="21"/>
        </w:rPr>
        <w:t>GB/T 15153.2</w:t>
      </w:r>
      <w:r>
        <w:rPr>
          <w:rFonts w:hint="eastAsia"/>
          <w:sz w:val="21"/>
          <w:szCs w:val="21"/>
        </w:rPr>
        <w:t xml:space="preserve"> </w:t>
      </w:r>
      <w:r>
        <w:rPr>
          <w:sz w:val="21"/>
          <w:szCs w:val="21"/>
        </w:rPr>
        <w:t>远动设备及系统 第2部分</w:t>
      </w:r>
      <w:r>
        <w:rPr>
          <w:rFonts w:hint="eastAsia"/>
          <w:sz w:val="21"/>
          <w:szCs w:val="21"/>
        </w:rPr>
        <w:t>：</w:t>
      </w:r>
      <w:r>
        <w:rPr>
          <w:sz w:val="21"/>
          <w:szCs w:val="21"/>
        </w:rPr>
        <w:t>工作条件 第2篇：环境条件</w:t>
      </w:r>
      <w:r>
        <w:rPr>
          <w:rFonts w:hint="eastAsia"/>
          <w:sz w:val="21"/>
          <w:szCs w:val="21"/>
        </w:rPr>
        <w:t>（</w:t>
      </w:r>
      <w:r>
        <w:rPr>
          <w:sz w:val="21"/>
          <w:szCs w:val="21"/>
        </w:rPr>
        <w:t>气候、机械和其它非电影响因素</w:t>
      </w:r>
      <w:r>
        <w:rPr>
          <w:rFonts w:hint="eastAsia"/>
          <w:sz w:val="21"/>
          <w:szCs w:val="21"/>
        </w:rPr>
        <w:t>）</w:t>
      </w:r>
    </w:p>
    <w:p>
      <w:pPr>
        <w:ind w:firstLine="420"/>
        <w:rPr>
          <w:sz w:val="21"/>
          <w:szCs w:val="21"/>
        </w:rPr>
      </w:pPr>
      <w:r>
        <w:rPr>
          <w:sz w:val="21"/>
          <w:szCs w:val="21"/>
        </w:rPr>
        <w:t>GB/T 17626.2 电磁兼容 试验和测量技术 静电放电抗扰度试验</w:t>
      </w:r>
    </w:p>
    <w:p>
      <w:pPr>
        <w:ind w:firstLine="420"/>
        <w:rPr>
          <w:sz w:val="21"/>
          <w:szCs w:val="21"/>
        </w:rPr>
      </w:pPr>
      <w:r>
        <w:rPr>
          <w:sz w:val="21"/>
          <w:szCs w:val="21"/>
        </w:rPr>
        <w:t>GB/T 17626.3 电磁兼容 试验和测量技术 射频电磁场辐射抗扰度试验</w:t>
      </w:r>
    </w:p>
    <w:p>
      <w:pPr>
        <w:ind w:firstLine="420"/>
        <w:rPr>
          <w:sz w:val="21"/>
          <w:szCs w:val="21"/>
        </w:rPr>
      </w:pPr>
      <w:r>
        <w:rPr>
          <w:sz w:val="21"/>
          <w:szCs w:val="21"/>
        </w:rPr>
        <w:t>GB/T 17626.4 电磁兼容 试验和测量技术 快速脉冲群抗扰度试验</w:t>
      </w:r>
    </w:p>
    <w:p>
      <w:pPr>
        <w:ind w:firstLine="420"/>
        <w:rPr>
          <w:sz w:val="21"/>
          <w:szCs w:val="21"/>
        </w:rPr>
      </w:pPr>
      <w:r>
        <w:rPr>
          <w:sz w:val="21"/>
          <w:szCs w:val="21"/>
        </w:rPr>
        <w:t>GB/T 17626.5 电磁兼容 试验和测量技术 浪涌抗扰度试验</w:t>
      </w:r>
    </w:p>
    <w:p>
      <w:pPr>
        <w:ind w:firstLine="420"/>
        <w:rPr>
          <w:sz w:val="21"/>
          <w:szCs w:val="21"/>
        </w:rPr>
      </w:pPr>
      <w:r>
        <w:rPr>
          <w:sz w:val="21"/>
          <w:szCs w:val="21"/>
        </w:rPr>
        <w:t>GB/T 17626.8 电磁兼容 试验和测量技术 工频磁场抗扰度试验</w:t>
      </w:r>
    </w:p>
    <w:p>
      <w:pPr>
        <w:ind w:firstLine="420"/>
        <w:rPr>
          <w:sz w:val="21"/>
          <w:szCs w:val="21"/>
        </w:rPr>
      </w:pPr>
      <w:r>
        <w:rPr>
          <w:sz w:val="21"/>
          <w:szCs w:val="21"/>
        </w:rPr>
        <w:t>GB/T17626.12 电磁兼容 试验和测量技术 阻尼振荡波抗扰度试验</w:t>
      </w:r>
    </w:p>
    <w:p>
      <w:pPr>
        <w:ind w:firstLine="420"/>
        <w:rPr>
          <w:sz w:val="21"/>
          <w:szCs w:val="21"/>
        </w:rPr>
      </w:pPr>
      <w:r>
        <w:rPr>
          <w:sz w:val="21"/>
          <w:szCs w:val="21"/>
        </w:rPr>
        <w:t>GB/T 36276 电力储能用锂离子电池</w:t>
      </w:r>
    </w:p>
    <w:p>
      <w:pPr>
        <w:ind w:firstLine="420"/>
        <w:rPr>
          <w:sz w:val="21"/>
          <w:szCs w:val="21"/>
        </w:rPr>
      </w:pPr>
      <w:r>
        <w:rPr>
          <w:sz w:val="21"/>
          <w:szCs w:val="21"/>
        </w:rPr>
        <w:t>GB/T 22239-2019 信息安全技术 网络安全等级保护基本要求</w:t>
      </w:r>
    </w:p>
    <w:p>
      <w:pPr>
        <w:ind w:firstLine="420"/>
        <w:rPr>
          <w:sz w:val="21"/>
          <w:szCs w:val="21"/>
        </w:rPr>
      </w:pPr>
      <w:r>
        <w:rPr>
          <w:sz w:val="21"/>
          <w:szCs w:val="21"/>
        </w:rPr>
        <w:t>DL/T 630 交流采样远动终端技术条件</w:t>
      </w:r>
    </w:p>
    <w:p>
      <w:pPr>
        <w:ind w:firstLine="420"/>
        <w:rPr>
          <w:sz w:val="21"/>
          <w:szCs w:val="21"/>
        </w:rPr>
      </w:pPr>
      <w:r>
        <w:rPr>
          <w:sz w:val="21"/>
          <w:szCs w:val="21"/>
        </w:rPr>
        <w:t>DL/T 721 配电自动化远方终端</w:t>
      </w:r>
    </w:p>
    <w:p>
      <w:pPr>
        <w:ind w:firstLine="420"/>
        <w:rPr>
          <w:sz w:val="21"/>
          <w:szCs w:val="21"/>
        </w:rPr>
      </w:pPr>
      <w:r>
        <w:rPr>
          <w:sz w:val="21"/>
          <w:szCs w:val="21"/>
        </w:rPr>
        <w:t>DL/T 814</w:t>
      </w:r>
      <w:r>
        <w:rPr>
          <w:rFonts w:hint="eastAsia"/>
          <w:sz w:val="21"/>
          <w:szCs w:val="21"/>
        </w:rPr>
        <w:t xml:space="preserve"> </w:t>
      </w:r>
      <w:r>
        <w:rPr>
          <w:sz w:val="21"/>
          <w:szCs w:val="21"/>
        </w:rPr>
        <w:t>配电自动化系统技术规范</w:t>
      </w:r>
    </w:p>
    <w:p>
      <w:pPr>
        <w:ind w:firstLine="420"/>
        <w:rPr>
          <w:sz w:val="21"/>
          <w:szCs w:val="21"/>
        </w:rPr>
      </w:pPr>
      <w:r>
        <w:rPr>
          <w:sz w:val="21"/>
          <w:szCs w:val="21"/>
        </w:rPr>
        <w:t>DL/T 1461-2015 配电自动化系统技术导则</w:t>
      </w:r>
    </w:p>
    <w:p>
      <w:pPr>
        <w:ind w:firstLine="420"/>
        <w:rPr>
          <w:sz w:val="21"/>
          <w:szCs w:val="21"/>
        </w:rPr>
      </w:pPr>
      <w:r>
        <w:rPr>
          <w:sz w:val="21"/>
          <w:szCs w:val="21"/>
        </w:rPr>
        <w:t>DL/T 1936-2018 配电自动化系统安全防护技术导则</w:t>
      </w:r>
    </w:p>
    <w:p>
      <w:pPr>
        <w:ind w:firstLine="420"/>
        <w:rPr>
          <w:sz w:val="21"/>
          <w:szCs w:val="21"/>
        </w:rPr>
      </w:pPr>
      <w:r>
        <w:rPr>
          <w:sz w:val="21"/>
          <w:szCs w:val="21"/>
        </w:rPr>
        <w:t>Q/CSG 1204036 南方电网配电自动化DL/T634.5104-2009规约实施细则</w:t>
      </w:r>
    </w:p>
    <w:p>
      <w:pPr>
        <w:ind w:firstLine="420"/>
        <w:rPr>
          <w:sz w:val="21"/>
          <w:szCs w:val="21"/>
        </w:rPr>
      </w:pPr>
      <w:r>
        <w:rPr>
          <w:sz w:val="21"/>
          <w:szCs w:val="21"/>
        </w:rPr>
        <w:t>Q/CSG 1204035 南方电网配电自动化DL/T634.5101-2002规约实施细则</w:t>
      </w:r>
    </w:p>
    <w:p>
      <w:pPr>
        <w:ind w:firstLine="420"/>
        <w:rPr>
          <w:sz w:val="21"/>
          <w:szCs w:val="21"/>
        </w:rPr>
      </w:pPr>
      <w:r>
        <w:rPr>
          <w:sz w:val="21"/>
          <w:szCs w:val="21"/>
        </w:rPr>
        <w:t>Q/CSG 1204099 中国南方电网电力监控系统网络安全技术规范</w:t>
      </w:r>
    </w:p>
    <w:p>
      <w:pPr>
        <w:ind w:firstLine="420"/>
        <w:rPr>
          <w:sz w:val="21"/>
          <w:szCs w:val="21"/>
        </w:rPr>
      </w:pPr>
      <w:r>
        <w:rPr>
          <w:sz w:val="21"/>
          <w:szCs w:val="21"/>
        </w:rPr>
        <w:t>Q/CSG 1204051</w:t>
      </w:r>
      <w:r>
        <w:rPr>
          <w:rFonts w:hint="eastAsia"/>
          <w:sz w:val="21"/>
          <w:szCs w:val="21"/>
        </w:rPr>
        <w:t xml:space="preserve"> </w:t>
      </w:r>
      <w:r>
        <w:rPr>
          <w:sz w:val="21"/>
          <w:szCs w:val="21"/>
        </w:rPr>
        <w:t>配电自动化系统安全防护技术规范（试行）</w:t>
      </w:r>
    </w:p>
    <w:p>
      <w:pPr>
        <w:ind w:firstLine="420"/>
        <w:rPr>
          <w:sz w:val="21"/>
          <w:szCs w:val="21"/>
        </w:rPr>
      </w:pPr>
      <w:r>
        <w:rPr>
          <w:sz w:val="21"/>
          <w:szCs w:val="21"/>
        </w:rPr>
        <w:t>发改委〔2014〕14号令 电力监控系统安全防护规定</w:t>
      </w:r>
    </w:p>
    <w:p>
      <w:pPr>
        <w:pStyle w:val="4"/>
        <w:keepNext w:val="0"/>
        <w:keepLines w:val="0"/>
        <w:snapToGrid w:val="0"/>
        <w:spacing w:line="324" w:lineRule="auto"/>
        <w:ind w:left="119"/>
        <w:rPr>
          <w:rFonts w:ascii="Times New Roman" w:hAnsi="Times New Roman"/>
          <w:sz w:val="32"/>
          <w:szCs w:val="32"/>
          <w:highlight w:val="none"/>
        </w:rPr>
      </w:pPr>
      <w:r>
        <w:rPr>
          <w:rFonts w:ascii="Times New Roman" w:hAnsi="Times New Roman"/>
          <w:sz w:val="32"/>
          <w:szCs w:val="32"/>
          <w:highlight w:val="none"/>
        </w:rPr>
        <w:t>技术基本情况</w:t>
      </w:r>
      <w:bookmarkEnd w:id="3"/>
    </w:p>
    <w:p>
      <w:pPr>
        <w:pStyle w:val="31"/>
        <w:keepNext/>
        <w:keepLines/>
        <w:numPr>
          <w:ilvl w:val="0"/>
          <w:numId w:val="0"/>
        </w:numPr>
        <w:spacing w:line="360" w:lineRule="auto"/>
        <w:ind w:leftChars="0"/>
        <w:outlineLvl w:val="2"/>
        <w:rPr>
          <w:rFonts w:hint="eastAsia" w:ascii="宋体" w:hAnsi="宋体" w:cs="宋体"/>
          <w:b/>
          <w:bCs/>
          <w:vanish/>
          <w:kern w:val="0"/>
          <w:sz w:val="24"/>
          <w:szCs w:val="28"/>
        </w:rPr>
      </w:pPr>
      <w:bookmarkStart w:id="4" w:name="_Toc293002860"/>
      <w:bookmarkStart w:id="5" w:name="_Toc19968"/>
    </w:p>
    <w:p>
      <w:pPr>
        <w:pStyle w:val="31"/>
        <w:keepNext/>
        <w:keepLines/>
        <w:numPr>
          <w:ilvl w:val="0"/>
          <w:numId w:val="6"/>
        </w:numPr>
        <w:spacing w:line="360" w:lineRule="auto"/>
        <w:ind w:firstLineChars="0"/>
        <w:outlineLvl w:val="2"/>
        <w:rPr>
          <w:rFonts w:hint="eastAsia" w:ascii="宋体" w:hAnsi="宋体" w:cs="宋体"/>
          <w:b/>
          <w:bCs/>
          <w:vanish/>
          <w:kern w:val="0"/>
          <w:sz w:val="24"/>
          <w:szCs w:val="28"/>
        </w:rPr>
      </w:pPr>
    </w:p>
    <w:p>
      <w:pPr>
        <w:pStyle w:val="31"/>
        <w:keepNext/>
        <w:keepLines/>
        <w:numPr>
          <w:ilvl w:val="0"/>
          <w:numId w:val="6"/>
        </w:numPr>
        <w:spacing w:line="360" w:lineRule="auto"/>
        <w:ind w:firstLineChars="0"/>
        <w:outlineLvl w:val="2"/>
        <w:rPr>
          <w:rFonts w:hint="eastAsia" w:ascii="宋体" w:hAnsi="宋体" w:cs="宋体"/>
          <w:b/>
          <w:bCs/>
          <w:vanish/>
          <w:kern w:val="0"/>
          <w:sz w:val="24"/>
          <w:szCs w:val="28"/>
        </w:rPr>
      </w:pPr>
    </w:p>
    <w:p>
      <w:pPr>
        <w:pStyle w:val="31"/>
        <w:keepNext/>
        <w:keepLines/>
        <w:numPr>
          <w:ilvl w:val="0"/>
          <w:numId w:val="6"/>
        </w:numPr>
        <w:spacing w:line="360" w:lineRule="auto"/>
        <w:ind w:firstLineChars="0"/>
        <w:outlineLvl w:val="2"/>
        <w:rPr>
          <w:rFonts w:hint="eastAsia" w:ascii="宋体" w:hAnsi="宋体" w:cs="宋体"/>
          <w:b/>
          <w:bCs/>
          <w:vanish/>
          <w:kern w:val="0"/>
          <w:sz w:val="24"/>
          <w:szCs w:val="28"/>
        </w:rPr>
      </w:pPr>
    </w:p>
    <w:p>
      <w:pPr>
        <w:pStyle w:val="31"/>
        <w:keepNext/>
        <w:keepLines/>
        <w:numPr>
          <w:ilvl w:val="1"/>
          <w:numId w:val="6"/>
        </w:numPr>
        <w:spacing w:line="360" w:lineRule="auto"/>
        <w:ind w:firstLineChars="0"/>
        <w:outlineLvl w:val="2"/>
        <w:rPr>
          <w:rFonts w:hint="eastAsia" w:ascii="宋体" w:hAnsi="宋体" w:cs="宋体"/>
          <w:b/>
          <w:bCs/>
          <w:vanish/>
          <w:kern w:val="0"/>
          <w:sz w:val="24"/>
          <w:szCs w:val="28"/>
        </w:rPr>
      </w:pPr>
    </w:p>
    <w:p>
      <w:pPr>
        <w:pStyle w:val="31"/>
        <w:keepNext/>
        <w:keepLines/>
        <w:numPr>
          <w:ilvl w:val="1"/>
          <w:numId w:val="6"/>
        </w:numPr>
        <w:spacing w:line="360" w:lineRule="auto"/>
        <w:ind w:firstLineChars="0"/>
        <w:outlineLvl w:val="2"/>
        <w:rPr>
          <w:rFonts w:hint="eastAsia" w:ascii="宋体" w:hAnsi="宋体" w:cs="宋体"/>
          <w:b/>
          <w:bCs/>
          <w:vanish/>
          <w:kern w:val="0"/>
          <w:sz w:val="24"/>
          <w:szCs w:val="28"/>
        </w:rPr>
      </w:pPr>
    </w:p>
    <w:bookmarkEnd w:id="4"/>
    <w:bookmarkEnd w:id="5"/>
    <w:p>
      <w:pPr>
        <w:pStyle w:val="6"/>
        <w:numPr>
          <w:ilvl w:val="2"/>
          <w:numId w:val="0"/>
        </w:numPr>
        <w:bidi w:val="0"/>
        <w:ind w:leftChars="0"/>
        <w:rPr>
          <w:rFonts w:hint="eastAsia"/>
        </w:rPr>
      </w:pPr>
      <w:r>
        <w:rPr>
          <w:rFonts w:hint="eastAsia"/>
          <w:lang w:val="en-US" w:eastAsia="zh-CN"/>
        </w:rPr>
        <w:t>4.1电气量采集功能</w:t>
      </w:r>
    </w:p>
    <w:p>
      <w:pPr>
        <w:spacing w:line="360" w:lineRule="auto"/>
        <w:ind w:firstLine="424" w:firstLineChars="202"/>
        <w:rPr>
          <w:rFonts w:hint="eastAsia" w:ascii="宋体" w:hAnsi="宋体" w:eastAsia="宋体" w:cs="宋体"/>
          <w:sz w:val="21"/>
          <w:szCs w:val="21"/>
        </w:rPr>
      </w:pPr>
      <w:r>
        <w:rPr>
          <w:rFonts w:hint="eastAsia" w:ascii="宋体" w:hAnsi="宋体" w:eastAsia="宋体" w:cs="宋体"/>
          <w:sz w:val="21"/>
          <w:szCs w:val="21"/>
          <w:lang w:val="en-US" w:eastAsia="zh-CN"/>
        </w:rPr>
        <w:t>（1）交流量采集功能：支持</w:t>
      </w:r>
      <w:r>
        <w:rPr>
          <w:rFonts w:hint="default" w:ascii="宋体" w:hAnsi="宋体" w:eastAsia="宋体" w:cs="宋体"/>
          <w:sz w:val="21"/>
          <w:szCs w:val="21"/>
          <w:lang w:val="en-US" w:eastAsia="zh-CN"/>
        </w:rPr>
        <w:t>1</w:t>
      </w:r>
      <w:r>
        <w:rPr>
          <w:rFonts w:hint="eastAsia" w:ascii="宋体" w:hAnsi="宋体" w:eastAsia="宋体" w:cs="宋体"/>
          <w:sz w:val="21"/>
          <w:szCs w:val="21"/>
          <w:lang w:val="en-US" w:eastAsia="zh-CN"/>
        </w:rPr>
        <w:t xml:space="preserve">组三相电压、三相电流、零序电流的采集，以及有功功率、无功功率和功率因数的采集或计算。 </w:t>
      </w:r>
    </w:p>
    <w:p>
      <w:pPr>
        <w:spacing w:line="360" w:lineRule="auto"/>
        <w:ind w:firstLine="424" w:firstLineChars="20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（2）直流量采集功能：支持超过4组直流量采集，采集4-20mA小电流信号。</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（3）采集协议：支持ModbusTCP、</w:t>
      </w:r>
      <w:r>
        <w:rPr>
          <w:rFonts w:hint="default" w:ascii="宋体" w:hAnsi="宋体" w:eastAsia="宋体" w:cs="宋体"/>
          <w:sz w:val="21"/>
          <w:szCs w:val="21"/>
          <w:lang w:val="en-US" w:eastAsia="zh-CN"/>
        </w:rPr>
        <w:t>ModbusRTU</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IEC101/103/104</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DNP3.0</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CDT</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DL/T645</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CJ/T188</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DLT698</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OPC UA</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BACnet IP</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S7</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Anypolling</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IEC61850</w:t>
      </w:r>
      <w:r>
        <w:rPr>
          <w:rFonts w:hint="eastAsia" w:ascii="宋体" w:hAnsi="宋体" w:eastAsia="宋体" w:cs="宋体"/>
          <w:sz w:val="21"/>
          <w:szCs w:val="21"/>
          <w:lang w:val="en-US" w:eastAsia="zh-CN"/>
        </w:rPr>
        <w:t>，也可以扩展其他类型采集协议；</w:t>
      </w:r>
    </w:p>
    <w:p>
      <w:pPr>
        <w:pStyle w:val="6"/>
        <w:numPr>
          <w:ilvl w:val="2"/>
          <w:numId w:val="0"/>
        </w:numPr>
        <w:bidi w:val="0"/>
        <w:ind w:leftChars="0"/>
        <w:rPr>
          <w:rFonts w:hint="eastAsia" w:ascii="宋体" w:hAnsi="Calibri" w:eastAsia="宋体" w:cs="Times New Roman"/>
          <w:b/>
          <w:bCs/>
          <w:kern w:val="2"/>
          <w:sz w:val="21"/>
          <w:szCs w:val="21"/>
          <w:lang w:val="en-US" w:eastAsia="zh-CN" w:bidi="ar-SA"/>
        </w:rPr>
      </w:pPr>
      <w:r>
        <w:rPr>
          <w:rFonts w:hint="eastAsia" w:ascii="宋体" w:hAnsi="Calibri" w:eastAsia="宋体" w:cs="Times New Roman"/>
          <w:b/>
          <w:bCs/>
          <w:kern w:val="2"/>
          <w:sz w:val="21"/>
          <w:szCs w:val="21"/>
          <w:lang w:val="en-US" w:eastAsia="zh-CN" w:bidi="ar-SA"/>
        </w:rPr>
        <w:t>4.2开关量输入</w:t>
      </w:r>
      <w:r>
        <w:rPr>
          <w:rFonts w:hint="eastAsia" w:ascii="宋体" w:eastAsia="宋体" w:cs="Times New Roman"/>
          <w:b/>
          <w:bCs/>
          <w:kern w:val="2"/>
          <w:sz w:val="21"/>
          <w:szCs w:val="21"/>
          <w:lang w:val="en-US" w:eastAsia="zh-CN" w:bidi="ar-SA"/>
        </w:rPr>
        <w:t>/</w:t>
      </w:r>
      <w:r>
        <w:rPr>
          <w:rFonts w:hint="eastAsia" w:ascii="宋体" w:hAnsi="Calibri" w:eastAsia="宋体" w:cs="Times New Roman"/>
          <w:b/>
          <w:bCs/>
          <w:kern w:val="2"/>
          <w:sz w:val="21"/>
          <w:szCs w:val="21"/>
          <w:lang w:val="en-US" w:eastAsia="zh-CN" w:bidi="ar-SA"/>
        </w:rPr>
        <w:t>输出</w:t>
      </w:r>
      <w:r>
        <w:rPr>
          <w:rFonts w:hint="eastAsia"/>
          <w:sz w:val="21"/>
          <w:szCs w:val="21"/>
          <w:lang w:val="en-US" w:eastAsia="zh-CN"/>
        </w:rPr>
        <w:t>功能</w:t>
      </w:r>
    </w:p>
    <w:p>
      <w:pPr>
        <w:spacing w:line="360" w:lineRule="auto"/>
        <w:ind w:firstLine="424" w:firstLineChars="20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（1）开关量输入：支持20个开入信号，硬接点信号输入回路的额定电压为直流220V，并符合额定电压55%以下可靠不动作、额定电压 70%以上可靠动作的要求，开入输入的防抖时间为 10ms~1000ms。 </w:t>
      </w:r>
    </w:p>
    <w:p>
      <w:pPr>
        <w:spacing w:line="360" w:lineRule="auto"/>
        <w:ind w:firstLine="424" w:firstLineChars="20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（2）开关量输出：支持6路开出接口，继电器最大触点电流6A，触点电压 250VAC/24VDC。支持远方遥控。</w:t>
      </w:r>
    </w:p>
    <w:p>
      <w:pPr>
        <w:pStyle w:val="6"/>
        <w:numPr>
          <w:ilvl w:val="2"/>
          <w:numId w:val="0"/>
        </w:numPr>
        <w:bidi w:val="0"/>
        <w:ind w:leftChars="0"/>
        <w:rPr>
          <w:rFonts w:hint="eastAsia" w:ascii="宋体" w:hAnsi="Calibri" w:eastAsia="宋体" w:cs="Times New Roman"/>
          <w:b/>
          <w:bCs/>
          <w:kern w:val="2"/>
          <w:sz w:val="21"/>
          <w:szCs w:val="21"/>
          <w:lang w:val="en-US" w:eastAsia="zh-CN" w:bidi="ar-SA"/>
        </w:rPr>
      </w:pPr>
      <w:r>
        <w:rPr>
          <w:rFonts w:hint="eastAsia" w:ascii="宋体" w:hAnsi="Calibri" w:eastAsia="宋体" w:cs="Times New Roman"/>
          <w:b/>
          <w:bCs/>
          <w:kern w:val="2"/>
          <w:sz w:val="21"/>
          <w:szCs w:val="21"/>
          <w:lang w:val="en-US" w:eastAsia="zh-CN" w:bidi="ar-SA"/>
        </w:rPr>
        <w:t>4.</w:t>
      </w:r>
      <w:r>
        <w:rPr>
          <w:rFonts w:hint="eastAsia" w:ascii="宋体" w:eastAsia="宋体" w:cs="Times New Roman"/>
          <w:b/>
          <w:bCs/>
          <w:kern w:val="2"/>
          <w:sz w:val="21"/>
          <w:szCs w:val="21"/>
          <w:lang w:val="en-US" w:eastAsia="zh-CN" w:bidi="ar-SA"/>
        </w:rPr>
        <w:t>3边缘计算</w:t>
      </w:r>
      <w:r>
        <w:rPr>
          <w:rFonts w:hint="eastAsia"/>
          <w:sz w:val="21"/>
          <w:szCs w:val="21"/>
          <w:lang w:val="en-US" w:eastAsia="zh-CN"/>
        </w:rPr>
        <w:t>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（1）支持开放性的边缘计算框架，支持海量的终端设备接入、数据计算、数据存储及安全传输；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（2）支持 Python语言的二次开发，实现对本地采集数据的分析运算功能；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（3）支持信息融合，减少对主站</w:t>
      </w:r>
      <w:r>
        <w:rPr>
          <w:rFonts w:hint="default" w:ascii="宋体" w:hAnsi="宋体" w:eastAsia="宋体" w:cs="宋体"/>
          <w:sz w:val="21"/>
          <w:szCs w:val="21"/>
          <w:lang w:val="en-US" w:eastAsia="zh-CN"/>
        </w:rPr>
        <w:t>/</w:t>
      </w:r>
      <w:r>
        <w:rPr>
          <w:rFonts w:hint="eastAsia" w:ascii="宋体" w:hAnsi="宋体" w:eastAsia="宋体" w:cs="宋体"/>
          <w:sz w:val="21"/>
          <w:szCs w:val="21"/>
          <w:lang w:val="en-US" w:eastAsia="zh-CN"/>
        </w:rPr>
        <w:t>云端的信息传输量，减少监控数据对主站</w:t>
      </w:r>
      <w:r>
        <w:rPr>
          <w:rFonts w:hint="default" w:ascii="宋体" w:hAnsi="宋体" w:eastAsia="宋体" w:cs="宋体"/>
          <w:sz w:val="21"/>
          <w:szCs w:val="21"/>
          <w:lang w:val="en-US" w:eastAsia="zh-CN"/>
        </w:rPr>
        <w:t>/</w:t>
      </w:r>
      <w:r>
        <w:rPr>
          <w:rFonts w:hint="eastAsia" w:ascii="宋体" w:hAnsi="宋体" w:eastAsia="宋体" w:cs="宋体"/>
          <w:sz w:val="21"/>
          <w:szCs w:val="21"/>
          <w:lang w:val="en-US" w:eastAsia="zh-CN"/>
        </w:rPr>
        <w:t xml:space="preserve">云端的压力。基于电网模型和业务模型，支持本地应用分析和云边协同交互功能。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ascii="宋体" w:hAnsi="宋体" w:eastAsia="宋体" w:cs="宋体"/>
          <w:sz w:val="21"/>
          <w:szCs w:val="21"/>
          <w:lang w:val="en-US" w:eastAsia="zh-CN"/>
        </w:rPr>
        <w:t>（4）支持遥测、遥信、电能数据的算术运算与逻辑运算，可将计算结果上传主站，还可根据运算结果遥控出口，并记录自定义事件。</w:t>
      </w:r>
    </w:p>
    <w:p>
      <w:pPr>
        <w:pStyle w:val="6"/>
        <w:numPr>
          <w:ilvl w:val="2"/>
          <w:numId w:val="0"/>
        </w:numPr>
        <w:bidi w:val="0"/>
        <w:ind w:leftChars="0"/>
        <w:rPr>
          <w:rFonts w:hint="eastAsia"/>
          <w:sz w:val="21"/>
          <w:szCs w:val="21"/>
          <w:lang w:val="en-US" w:eastAsia="zh-CN"/>
        </w:rPr>
      </w:pPr>
      <w:r>
        <w:rPr>
          <w:rFonts w:hint="eastAsia" w:ascii="宋体" w:hAnsi="Calibri" w:eastAsia="宋体" w:cs="Times New Roman"/>
          <w:b/>
          <w:bCs/>
          <w:kern w:val="2"/>
          <w:sz w:val="21"/>
          <w:szCs w:val="21"/>
          <w:lang w:val="en-US" w:eastAsia="zh-CN" w:bidi="ar-SA"/>
        </w:rPr>
        <w:t>4.</w:t>
      </w:r>
      <w:r>
        <w:rPr>
          <w:rFonts w:hint="eastAsia" w:ascii="宋体" w:eastAsia="宋体" w:cs="Times New Roman"/>
          <w:b/>
          <w:bCs/>
          <w:kern w:val="2"/>
          <w:sz w:val="21"/>
          <w:szCs w:val="21"/>
          <w:lang w:val="en-US" w:eastAsia="zh-CN" w:bidi="ar-SA"/>
        </w:rPr>
        <w:t>4 AGC/AVC控制</w:t>
      </w:r>
      <w:r>
        <w:rPr>
          <w:rFonts w:hint="eastAsia"/>
          <w:sz w:val="21"/>
          <w:szCs w:val="21"/>
          <w:lang w:val="en-US" w:eastAsia="zh-CN"/>
        </w:rPr>
        <w:t>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（1）支持无限制、百分比、有功功率和限功率并网等四种有功控制模式。 </w:t>
      </w:r>
    </w:p>
    <w:p>
      <w:pPr>
        <w:pStyle w:val="2"/>
        <w:ind w:firstLine="420" w:firstLineChars="200"/>
        <w:rPr>
          <w:rFonts w:hint="eastAsia" w:ascii="宋体" w:hAnsi="宋体" w:eastAsia="宋体" w:cs="宋体"/>
          <w:sz w:val="21"/>
          <w:szCs w:val="21"/>
          <w:lang w:val="en-US" w:eastAsia="zh-CN"/>
        </w:rPr>
      </w:pPr>
      <w:r>
        <w:rPr>
          <w:rFonts w:hint="eastAsia" w:ascii="宋体" w:hAnsi="宋体" w:eastAsia="宋体" w:cs="宋体"/>
          <w:kern w:val="2"/>
          <w:sz w:val="21"/>
          <w:szCs w:val="21"/>
          <w:lang w:val="en-US" w:eastAsia="zh-CN" w:bidi="ar-SA"/>
        </w:rPr>
        <w:t>（2）</w:t>
      </w:r>
      <w:r>
        <w:rPr>
          <w:rFonts w:hint="eastAsia" w:ascii="宋体" w:hAnsi="宋体" w:eastAsia="宋体" w:cs="宋体"/>
          <w:color w:val="000000"/>
          <w:kern w:val="0"/>
          <w:sz w:val="21"/>
          <w:szCs w:val="21"/>
          <w:lang w:val="en-US" w:eastAsia="zh-CN" w:bidi="ar"/>
        </w:rPr>
        <w:t>支持无输出、无功功率、功率因数、电压等四种无功控制模式。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（3）支持调节精度控制，功率控制可通过死区设置，对目标指令进行调节，对目标值和当前实际值进行实时比对，控制两者差值在死区范围内，以达到</w:t>
      </w:r>
      <w:r>
        <w:rPr>
          <w:rFonts w:hint="default" w:ascii="宋体" w:hAnsi="宋体" w:eastAsia="宋体" w:cs="宋体"/>
          <w:sz w:val="21"/>
          <w:szCs w:val="21"/>
          <w:lang w:val="en-US" w:eastAsia="zh-CN"/>
        </w:rPr>
        <w:t>AGC/AVC</w:t>
      </w:r>
      <w:r>
        <w:rPr>
          <w:rFonts w:hint="eastAsia" w:ascii="宋体" w:hAnsi="宋体" w:eastAsia="宋体" w:cs="宋体"/>
          <w:sz w:val="21"/>
          <w:szCs w:val="21"/>
          <w:lang w:val="en-US" w:eastAsia="zh-CN"/>
        </w:rPr>
        <w:t>的调节精度要求。根据现场逆变器、</w:t>
      </w:r>
      <w:r>
        <w:rPr>
          <w:rFonts w:hint="default" w:ascii="宋体" w:hAnsi="宋体" w:eastAsia="宋体" w:cs="宋体"/>
          <w:sz w:val="21"/>
          <w:szCs w:val="21"/>
          <w:lang w:val="en-US" w:eastAsia="zh-CN"/>
        </w:rPr>
        <w:t>SVG</w:t>
      </w:r>
      <w:r>
        <w:rPr>
          <w:rFonts w:hint="eastAsia" w:ascii="宋体" w:hAnsi="宋体" w:eastAsia="宋体" w:cs="宋体"/>
          <w:sz w:val="21"/>
          <w:szCs w:val="21"/>
          <w:lang w:val="en-US" w:eastAsia="zh-CN"/>
        </w:rPr>
        <w:t xml:space="preserve">、储能等设备的反应速率，可调节死区和调节的步长。可通过设置调节周期，实时计算功率的变化率，保障功率调节的平滑性。 </w:t>
      </w:r>
    </w:p>
    <w:p>
      <w:pPr>
        <w:pStyle w:val="2"/>
        <w:ind w:firstLine="420" w:firstLineChars="200"/>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（4）支持远方或自治模式。</w:t>
      </w:r>
    </w:p>
    <w:p>
      <w:pPr>
        <w:pStyle w:val="6"/>
        <w:numPr>
          <w:ilvl w:val="2"/>
          <w:numId w:val="0"/>
        </w:numPr>
        <w:bidi w:val="0"/>
        <w:ind w:leftChars="0"/>
        <w:rPr>
          <w:rFonts w:hint="eastAsia" w:ascii="宋体" w:hAnsi="Calibri" w:eastAsia="宋体" w:cs="Times New Roman"/>
          <w:b/>
          <w:bCs/>
          <w:kern w:val="2"/>
          <w:sz w:val="21"/>
          <w:szCs w:val="21"/>
          <w:lang w:val="en-US" w:eastAsia="zh-CN" w:bidi="ar-SA"/>
        </w:rPr>
      </w:pPr>
      <w:r>
        <w:rPr>
          <w:rFonts w:hint="eastAsia" w:ascii="宋体" w:hAnsi="Calibri" w:eastAsia="宋体" w:cs="Times New Roman"/>
          <w:b/>
          <w:bCs/>
          <w:kern w:val="2"/>
          <w:sz w:val="21"/>
          <w:szCs w:val="21"/>
          <w:lang w:val="en-US" w:eastAsia="zh-CN" w:bidi="ar-SA"/>
        </w:rPr>
        <w:t xml:space="preserve">4.5数据存储功能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支持对重要数据的存储功能，存储的数据可配置，并支持主站或云端对历史数据的召唤，各类数据的保存周期满足相应规范要求。</w:t>
      </w:r>
    </w:p>
    <w:p>
      <w:pPr>
        <w:pStyle w:val="6"/>
        <w:numPr>
          <w:ilvl w:val="2"/>
          <w:numId w:val="0"/>
        </w:numPr>
        <w:bidi w:val="0"/>
        <w:ind w:leftChars="0"/>
        <w:rPr>
          <w:rFonts w:hint="default" w:ascii="宋体" w:hAnsi="Calibri" w:eastAsia="宋体" w:cs="Times New Roman"/>
          <w:b/>
          <w:bCs/>
          <w:kern w:val="2"/>
          <w:sz w:val="21"/>
          <w:szCs w:val="21"/>
          <w:lang w:val="en-US" w:eastAsia="zh-CN" w:bidi="ar-SA"/>
        </w:rPr>
      </w:pPr>
      <w:r>
        <w:rPr>
          <w:rFonts w:hint="eastAsia" w:ascii="宋体" w:hAnsi="Calibri" w:eastAsia="宋体" w:cs="Times New Roman"/>
          <w:b/>
          <w:bCs/>
          <w:kern w:val="2"/>
          <w:sz w:val="21"/>
          <w:szCs w:val="21"/>
          <w:lang w:val="en-US" w:eastAsia="zh-CN" w:bidi="ar-SA"/>
        </w:rPr>
        <w:t>4.6安全防护功能</w:t>
      </w:r>
    </w:p>
    <w:p>
      <w:pPr>
        <w:pStyle w:val="6"/>
        <w:numPr>
          <w:ilvl w:val="2"/>
          <w:numId w:val="0"/>
        </w:numPr>
        <w:bidi w:val="0"/>
        <w:ind w:leftChars="0"/>
        <w:rPr>
          <w:rFonts w:hint="eastAsia" w:ascii="宋体" w:hAnsi="Calibri" w:eastAsia="宋体" w:cs="Times New Roman"/>
          <w:b/>
          <w:bCs/>
          <w:kern w:val="2"/>
          <w:sz w:val="21"/>
          <w:szCs w:val="21"/>
          <w:lang w:val="en-US" w:eastAsia="zh-CN" w:bidi="ar-SA"/>
        </w:rPr>
      </w:pPr>
      <w:r>
        <w:rPr>
          <w:rFonts w:hint="eastAsia" w:ascii="宋体" w:hAnsi="Calibri" w:eastAsia="宋体" w:cs="Times New Roman"/>
          <w:b/>
          <w:bCs/>
          <w:kern w:val="2"/>
          <w:sz w:val="21"/>
          <w:szCs w:val="21"/>
          <w:lang w:val="en-US" w:eastAsia="zh-CN" w:bidi="ar-SA"/>
        </w:rPr>
        <w:t xml:space="preserve">4.6.1 系统安全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（1）核心部件国产化，软硬件平台完全自主可控；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（2）系统根文件系统只读，不允许写权限；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（3）主机口令满足复杂度的要求；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（3）主机口令周期不超过</w:t>
      </w:r>
      <w:r>
        <w:rPr>
          <w:rFonts w:hint="default" w:ascii="宋体" w:hAnsi="宋体" w:eastAsia="宋体" w:cs="宋体"/>
          <w:sz w:val="21"/>
          <w:szCs w:val="21"/>
          <w:lang w:val="en-US" w:eastAsia="zh-CN"/>
        </w:rPr>
        <w:t>90</w:t>
      </w:r>
      <w:r>
        <w:rPr>
          <w:rFonts w:hint="eastAsia" w:ascii="宋体" w:hAnsi="宋体" w:eastAsia="宋体" w:cs="宋体"/>
          <w:sz w:val="21"/>
          <w:szCs w:val="21"/>
          <w:lang w:val="en-US" w:eastAsia="zh-CN"/>
        </w:rPr>
        <w:t xml:space="preserve">天；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（4）禁止</w:t>
      </w:r>
      <w:r>
        <w:rPr>
          <w:rFonts w:hint="default" w:ascii="宋体" w:hAnsi="宋体" w:eastAsia="宋体" w:cs="宋体"/>
          <w:sz w:val="21"/>
          <w:szCs w:val="21"/>
          <w:lang w:val="en-US" w:eastAsia="zh-CN"/>
        </w:rPr>
        <w:t>root</w:t>
      </w:r>
      <w:r>
        <w:rPr>
          <w:rFonts w:hint="eastAsia" w:ascii="宋体" w:hAnsi="宋体" w:eastAsia="宋体" w:cs="宋体"/>
          <w:sz w:val="21"/>
          <w:szCs w:val="21"/>
          <w:lang w:val="en-US" w:eastAsia="zh-CN"/>
        </w:rPr>
        <w:t xml:space="preserve">用户远程登录；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（5）关闭非必要的网络服务、高危端口； </w:t>
      </w:r>
    </w:p>
    <w:p>
      <w:pPr>
        <w:pStyle w:val="6"/>
        <w:numPr>
          <w:ilvl w:val="2"/>
          <w:numId w:val="0"/>
        </w:numPr>
        <w:bidi w:val="0"/>
        <w:ind w:leftChars="0"/>
        <w:rPr>
          <w:rFonts w:hint="eastAsia" w:ascii="宋体" w:hAnsi="Calibri" w:eastAsia="宋体" w:cs="Times New Roman"/>
          <w:b/>
          <w:bCs/>
          <w:kern w:val="2"/>
          <w:sz w:val="21"/>
          <w:szCs w:val="21"/>
          <w:lang w:val="en-US" w:eastAsia="zh-CN" w:bidi="ar-SA"/>
        </w:rPr>
      </w:pPr>
      <w:r>
        <w:rPr>
          <w:rFonts w:hint="default" w:ascii="宋体" w:hAnsi="Calibri" w:eastAsia="宋体" w:cs="Times New Roman"/>
          <w:b/>
          <w:bCs/>
          <w:kern w:val="2"/>
          <w:sz w:val="21"/>
          <w:szCs w:val="21"/>
          <w:lang w:val="en-US" w:eastAsia="zh-CN" w:bidi="ar-SA"/>
        </w:rPr>
        <w:t>4.</w:t>
      </w:r>
      <w:r>
        <w:rPr>
          <w:rFonts w:hint="eastAsia" w:ascii="宋体" w:eastAsia="宋体" w:cs="Times New Roman"/>
          <w:b/>
          <w:bCs/>
          <w:kern w:val="2"/>
          <w:sz w:val="21"/>
          <w:szCs w:val="21"/>
          <w:lang w:val="en-US" w:eastAsia="zh-CN" w:bidi="ar-SA"/>
        </w:rPr>
        <w:t>6.</w:t>
      </w:r>
      <w:r>
        <w:rPr>
          <w:rFonts w:hint="default" w:ascii="宋体" w:hAnsi="Calibri" w:eastAsia="宋体" w:cs="Times New Roman"/>
          <w:b/>
          <w:bCs/>
          <w:kern w:val="2"/>
          <w:sz w:val="21"/>
          <w:szCs w:val="21"/>
          <w:lang w:val="en-US" w:eastAsia="zh-CN" w:bidi="ar-SA"/>
        </w:rPr>
        <w:t xml:space="preserve">2 </w:t>
      </w:r>
      <w:r>
        <w:rPr>
          <w:rFonts w:hint="eastAsia" w:ascii="宋体" w:hAnsi="Calibri" w:eastAsia="宋体" w:cs="Times New Roman"/>
          <w:b/>
          <w:bCs/>
          <w:kern w:val="2"/>
          <w:sz w:val="21"/>
          <w:szCs w:val="21"/>
          <w:lang w:val="en-US" w:eastAsia="zh-CN" w:bidi="ar-SA"/>
        </w:rPr>
        <w:t xml:space="preserve">文件安全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（1）禁止</w:t>
      </w:r>
      <w:r>
        <w:rPr>
          <w:rFonts w:hint="default" w:ascii="宋体" w:hAnsi="宋体" w:eastAsia="宋体" w:cs="宋体"/>
          <w:sz w:val="21"/>
          <w:szCs w:val="21"/>
          <w:lang w:val="en-US" w:eastAsia="zh-CN"/>
        </w:rPr>
        <w:t>NFS</w:t>
      </w:r>
      <w:r>
        <w:rPr>
          <w:rFonts w:hint="eastAsia" w:ascii="宋体" w:hAnsi="宋体" w:eastAsia="宋体" w:cs="宋体"/>
          <w:sz w:val="21"/>
          <w:szCs w:val="21"/>
          <w:lang w:val="en-US" w:eastAsia="zh-CN"/>
        </w:rPr>
        <w:t xml:space="preserve">服务；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（2）控制创建文件或目录时的默认访问权限；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（3）监测关键文件与目录的权限变更情况；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（4）监测关键文件与目录，当被改写时报警； </w:t>
      </w:r>
    </w:p>
    <w:p>
      <w:pPr>
        <w:pStyle w:val="6"/>
        <w:numPr>
          <w:ilvl w:val="2"/>
          <w:numId w:val="0"/>
        </w:numPr>
        <w:bidi w:val="0"/>
        <w:ind w:leftChars="0"/>
        <w:rPr>
          <w:rFonts w:hint="default" w:ascii="宋体" w:hAnsi="Calibri" w:eastAsia="宋体" w:cs="Times New Roman"/>
          <w:b/>
          <w:bCs/>
          <w:kern w:val="2"/>
          <w:sz w:val="21"/>
          <w:szCs w:val="21"/>
          <w:lang w:val="en-US" w:eastAsia="zh-CN" w:bidi="ar-SA"/>
        </w:rPr>
      </w:pPr>
      <w:r>
        <w:rPr>
          <w:rFonts w:hint="default" w:ascii="宋体" w:hAnsi="Calibri" w:eastAsia="宋体" w:cs="Times New Roman"/>
          <w:b/>
          <w:bCs/>
          <w:kern w:val="2"/>
          <w:sz w:val="21"/>
          <w:szCs w:val="21"/>
          <w:lang w:val="en-US" w:eastAsia="zh-CN" w:bidi="ar-SA"/>
        </w:rPr>
        <w:t>4.</w:t>
      </w:r>
      <w:r>
        <w:rPr>
          <w:rFonts w:hint="eastAsia" w:ascii="宋体" w:eastAsia="宋体" w:cs="Times New Roman"/>
          <w:b/>
          <w:bCs/>
          <w:kern w:val="2"/>
          <w:sz w:val="21"/>
          <w:szCs w:val="21"/>
          <w:lang w:val="en-US" w:eastAsia="zh-CN" w:bidi="ar-SA"/>
        </w:rPr>
        <w:t>6.</w:t>
      </w:r>
      <w:r>
        <w:rPr>
          <w:rFonts w:hint="default" w:ascii="宋体" w:hAnsi="Calibri" w:eastAsia="宋体" w:cs="Times New Roman"/>
          <w:b/>
          <w:bCs/>
          <w:kern w:val="2"/>
          <w:sz w:val="21"/>
          <w:szCs w:val="21"/>
          <w:lang w:val="en-US" w:eastAsia="zh-CN" w:bidi="ar-SA"/>
        </w:rPr>
        <w:t xml:space="preserve">3 </w:t>
      </w:r>
      <w:r>
        <w:rPr>
          <w:rFonts w:hint="eastAsia" w:ascii="宋体" w:hAnsi="Calibri" w:eastAsia="宋体" w:cs="Times New Roman"/>
          <w:b/>
          <w:bCs/>
          <w:kern w:val="2"/>
          <w:sz w:val="21"/>
          <w:szCs w:val="21"/>
          <w:lang w:val="en-US" w:eastAsia="zh-CN" w:bidi="ar-SA"/>
        </w:rPr>
        <w:t xml:space="preserve">应用安全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（1）应用程序启动前进行完整性度量；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（2）可配置</w:t>
      </w:r>
      <w:r>
        <w:rPr>
          <w:rFonts w:hint="default" w:ascii="宋体" w:hAnsi="宋体" w:eastAsia="宋体" w:cs="宋体"/>
          <w:sz w:val="21"/>
          <w:szCs w:val="21"/>
          <w:lang w:val="en-US" w:eastAsia="zh-CN"/>
        </w:rPr>
        <w:t>IP</w:t>
      </w:r>
      <w:r>
        <w:rPr>
          <w:rFonts w:hint="eastAsia" w:ascii="宋体" w:hAnsi="宋体" w:eastAsia="宋体" w:cs="宋体"/>
          <w:sz w:val="21"/>
          <w:szCs w:val="21"/>
          <w:lang w:val="en-US" w:eastAsia="zh-CN"/>
        </w:rPr>
        <w:t xml:space="preserve">和端口白名单，控制外部访问； </w:t>
      </w:r>
    </w:p>
    <w:p>
      <w:pPr>
        <w:pStyle w:val="6"/>
        <w:numPr>
          <w:ilvl w:val="2"/>
          <w:numId w:val="0"/>
        </w:numPr>
        <w:bidi w:val="0"/>
        <w:ind w:leftChars="0"/>
        <w:rPr>
          <w:rFonts w:hint="default" w:ascii="宋体" w:hAnsi="Calibri" w:eastAsia="宋体" w:cs="Times New Roman"/>
          <w:b/>
          <w:bCs/>
          <w:kern w:val="2"/>
          <w:sz w:val="21"/>
          <w:szCs w:val="21"/>
          <w:lang w:val="en-US" w:eastAsia="zh-CN" w:bidi="ar-SA"/>
        </w:rPr>
      </w:pPr>
      <w:r>
        <w:rPr>
          <w:rFonts w:hint="default" w:ascii="宋体" w:hAnsi="Calibri" w:eastAsia="宋体" w:cs="Times New Roman"/>
          <w:b/>
          <w:bCs/>
          <w:kern w:val="2"/>
          <w:sz w:val="21"/>
          <w:szCs w:val="21"/>
          <w:lang w:val="en-US" w:eastAsia="zh-CN" w:bidi="ar-SA"/>
        </w:rPr>
        <w:t>4.</w:t>
      </w:r>
      <w:r>
        <w:rPr>
          <w:rFonts w:hint="eastAsia" w:ascii="宋体" w:hAnsi="Calibri" w:eastAsia="宋体" w:cs="Times New Roman"/>
          <w:b/>
          <w:bCs/>
          <w:kern w:val="2"/>
          <w:sz w:val="21"/>
          <w:szCs w:val="21"/>
          <w:lang w:val="en-US" w:eastAsia="zh-CN" w:bidi="ar-SA"/>
        </w:rPr>
        <w:t>6.</w:t>
      </w:r>
      <w:r>
        <w:rPr>
          <w:rFonts w:hint="default" w:ascii="宋体" w:hAnsi="Calibri" w:eastAsia="宋体" w:cs="Times New Roman"/>
          <w:b/>
          <w:bCs/>
          <w:kern w:val="2"/>
          <w:sz w:val="21"/>
          <w:szCs w:val="21"/>
          <w:lang w:val="en-US" w:eastAsia="zh-CN" w:bidi="ar-SA"/>
        </w:rPr>
        <w:t xml:space="preserve">4 </w:t>
      </w:r>
      <w:r>
        <w:rPr>
          <w:rFonts w:hint="eastAsia" w:ascii="宋体" w:hAnsi="Calibri" w:eastAsia="宋体" w:cs="Times New Roman"/>
          <w:b/>
          <w:bCs/>
          <w:kern w:val="2"/>
          <w:sz w:val="21"/>
          <w:szCs w:val="21"/>
          <w:lang w:val="en-US" w:eastAsia="zh-CN" w:bidi="ar-SA"/>
        </w:rPr>
        <w:t xml:space="preserve">通信安全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（1）支持</w:t>
      </w:r>
      <w:r>
        <w:rPr>
          <w:rFonts w:hint="default" w:ascii="宋体" w:hAnsi="宋体" w:eastAsia="宋体" w:cs="宋体"/>
          <w:sz w:val="21"/>
          <w:szCs w:val="21"/>
          <w:lang w:val="en-US" w:eastAsia="zh-CN"/>
        </w:rPr>
        <w:t>AES</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DES</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RSA</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SHA</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MD5</w:t>
      </w:r>
      <w:r>
        <w:rPr>
          <w:rFonts w:hint="eastAsia" w:ascii="宋体" w:hAnsi="宋体" w:eastAsia="宋体" w:cs="宋体"/>
          <w:sz w:val="21"/>
          <w:szCs w:val="21"/>
          <w:lang w:val="en-US" w:eastAsia="zh-CN"/>
        </w:rPr>
        <w:t xml:space="preserve">等通用加密和认证算法；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（2）支持通用</w:t>
      </w:r>
      <w:r>
        <w:rPr>
          <w:rFonts w:hint="default" w:ascii="宋体" w:hAnsi="宋体" w:eastAsia="宋体" w:cs="宋体"/>
          <w:sz w:val="21"/>
          <w:szCs w:val="21"/>
          <w:lang w:val="en-US" w:eastAsia="zh-CN"/>
        </w:rPr>
        <w:t>TLS</w:t>
      </w:r>
      <w:r>
        <w:rPr>
          <w:rFonts w:hint="eastAsia" w:ascii="宋体" w:hAnsi="宋体" w:eastAsia="宋体" w:cs="宋体"/>
          <w:sz w:val="21"/>
          <w:szCs w:val="21"/>
          <w:lang w:val="en-US" w:eastAsia="zh-CN"/>
        </w:rPr>
        <w:t xml:space="preserve">传输层安全协议和数字证书身份认证；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（3）支持国密</w:t>
      </w:r>
      <w:r>
        <w:rPr>
          <w:rFonts w:hint="default" w:ascii="宋体" w:hAnsi="宋体" w:eastAsia="宋体" w:cs="宋体"/>
          <w:sz w:val="21"/>
          <w:szCs w:val="21"/>
          <w:lang w:val="en-US" w:eastAsia="zh-CN"/>
        </w:rPr>
        <w:t>SM1</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SM2</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SM3</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SM4</w:t>
      </w:r>
      <w:r>
        <w:rPr>
          <w:rFonts w:hint="eastAsia" w:ascii="宋体" w:hAnsi="宋体" w:eastAsia="宋体" w:cs="宋体"/>
          <w:sz w:val="21"/>
          <w:szCs w:val="21"/>
          <w:lang w:val="en-US" w:eastAsia="zh-CN"/>
        </w:rPr>
        <w:t xml:space="preserve">密码算法，内嵌国密安全芯片；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（4）支持国密</w:t>
      </w:r>
      <w:r>
        <w:rPr>
          <w:rFonts w:hint="default" w:ascii="宋体" w:hAnsi="宋体" w:eastAsia="宋体" w:cs="宋体"/>
          <w:sz w:val="21"/>
          <w:szCs w:val="21"/>
          <w:lang w:val="en-US" w:eastAsia="zh-CN"/>
        </w:rPr>
        <w:t>IPSec</w:t>
      </w:r>
      <w:r>
        <w:rPr>
          <w:rFonts w:hint="eastAsia" w:ascii="宋体" w:hAnsi="宋体" w:eastAsia="宋体" w:cs="宋体"/>
          <w:sz w:val="21"/>
          <w:szCs w:val="21"/>
          <w:lang w:val="en-US" w:eastAsia="zh-CN"/>
        </w:rPr>
        <w:t>协议或国密</w:t>
      </w:r>
      <w:r>
        <w:rPr>
          <w:rFonts w:hint="default" w:ascii="宋体" w:hAnsi="宋体" w:eastAsia="宋体" w:cs="宋体"/>
          <w:sz w:val="21"/>
          <w:szCs w:val="21"/>
          <w:lang w:val="en-US" w:eastAsia="zh-CN"/>
        </w:rPr>
        <w:t>SSL/TLS</w:t>
      </w:r>
      <w:r>
        <w:rPr>
          <w:rFonts w:hint="eastAsia" w:ascii="宋体" w:hAnsi="宋体" w:eastAsia="宋体" w:cs="宋体"/>
          <w:sz w:val="21"/>
          <w:szCs w:val="21"/>
          <w:lang w:val="en-US" w:eastAsia="zh-CN"/>
        </w:rPr>
        <w:t>等国密</w:t>
      </w:r>
      <w:r>
        <w:rPr>
          <w:rFonts w:hint="default" w:ascii="宋体" w:hAnsi="宋体" w:eastAsia="宋体" w:cs="宋体"/>
          <w:sz w:val="21"/>
          <w:szCs w:val="21"/>
          <w:lang w:val="en-US" w:eastAsia="zh-CN"/>
        </w:rPr>
        <w:t>VPN</w:t>
      </w:r>
      <w:r>
        <w:rPr>
          <w:rFonts w:hint="eastAsia" w:ascii="宋体" w:hAnsi="宋体" w:eastAsia="宋体" w:cs="宋体"/>
          <w:sz w:val="21"/>
          <w:szCs w:val="21"/>
          <w:lang w:val="en-US" w:eastAsia="zh-CN"/>
        </w:rPr>
        <w:t xml:space="preserve">隧道，对业务数据进行加密通信； </w:t>
      </w:r>
    </w:p>
    <w:p>
      <w:pPr>
        <w:keepNext w:val="0"/>
        <w:keepLines w:val="0"/>
        <w:widowControl/>
        <w:suppressLineNumbers w:val="0"/>
        <w:jc w:val="left"/>
        <w:rPr>
          <w:rFonts w:hint="eastAsia" w:ascii="宋体" w:hAnsi="Calibri" w:eastAsia="宋体" w:cs="Times New Roman"/>
          <w:b/>
          <w:bCs/>
          <w:kern w:val="2"/>
          <w:sz w:val="21"/>
          <w:szCs w:val="21"/>
          <w:lang w:val="en-US" w:eastAsia="zh-CN" w:bidi="ar-SA"/>
        </w:rPr>
      </w:pPr>
      <w:r>
        <w:rPr>
          <w:rFonts w:hint="eastAsia" w:ascii="宋体" w:hAnsi="Calibri" w:eastAsia="宋体" w:cs="Times New Roman"/>
          <w:b/>
          <w:bCs/>
          <w:kern w:val="2"/>
          <w:sz w:val="21"/>
          <w:szCs w:val="21"/>
          <w:lang w:val="en-US" w:eastAsia="zh-CN" w:bidi="ar-SA"/>
        </w:rPr>
        <w:t>4.7电气绝缘性能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介质强度：能承受 GB/T14598.3-2006 规定的交流电压为 </w:t>
      </w:r>
      <w:r>
        <w:rPr>
          <w:rFonts w:hint="default" w:ascii="宋体" w:hAnsi="宋体" w:eastAsia="宋体" w:cs="宋体"/>
          <w:sz w:val="21"/>
          <w:szCs w:val="21"/>
          <w:lang w:val="en-US" w:eastAsia="zh-CN"/>
        </w:rPr>
        <w:t>2 kV</w:t>
      </w:r>
      <w:r>
        <w:rPr>
          <w:rFonts w:hint="eastAsia" w:ascii="宋体" w:hAnsi="宋体" w:eastAsia="宋体" w:cs="宋体"/>
          <w:sz w:val="21"/>
          <w:szCs w:val="21"/>
          <w:lang w:val="en-US" w:eastAsia="zh-CN"/>
        </w:rPr>
        <w:t xml:space="preserve">（弱电回路为 </w:t>
      </w:r>
      <w:r>
        <w:rPr>
          <w:rFonts w:hint="default" w:ascii="宋体" w:hAnsi="宋体" w:eastAsia="宋体" w:cs="宋体"/>
          <w:sz w:val="21"/>
          <w:szCs w:val="21"/>
          <w:lang w:val="en-US" w:eastAsia="zh-CN"/>
        </w:rPr>
        <w:t>500 V</w:t>
      </w:r>
      <w:r>
        <w:rPr>
          <w:rFonts w:hint="eastAsia" w:ascii="宋体" w:hAnsi="宋体" w:eastAsia="宋体" w:cs="宋体"/>
          <w:sz w:val="21"/>
          <w:szCs w:val="21"/>
          <w:lang w:val="en-US" w:eastAsia="zh-CN"/>
        </w:rPr>
        <w:t xml:space="preserve">）、频率为 </w:t>
      </w:r>
      <w:r>
        <w:rPr>
          <w:rFonts w:hint="default" w:ascii="宋体" w:hAnsi="宋体" w:eastAsia="宋体" w:cs="宋体"/>
          <w:sz w:val="21"/>
          <w:szCs w:val="21"/>
          <w:lang w:val="en-US" w:eastAsia="zh-CN"/>
        </w:rPr>
        <w:t>50 Hz</w:t>
      </w:r>
      <w:r>
        <w:rPr>
          <w:rFonts w:hint="eastAsia" w:ascii="宋体" w:hAnsi="宋体" w:eastAsia="宋体" w:cs="宋体"/>
          <w:sz w:val="21"/>
          <w:szCs w:val="21"/>
          <w:lang w:val="en-US" w:eastAsia="zh-CN"/>
        </w:rPr>
        <w:t>、历时 2</w:t>
      </w:r>
      <w:r>
        <w:rPr>
          <w:rFonts w:hint="default" w:ascii="宋体" w:hAnsi="宋体" w:eastAsia="宋体" w:cs="宋体"/>
          <w:sz w:val="21"/>
          <w:szCs w:val="21"/>
          <w:lang w:val="en-US" w:eastAsia="zh-CN"/>
        </w:rPr>
        <w:t xml:space="preserve">min </w:t>
      </w:r>
      <w:r>
        <w:rPr>
          <w:rFonts w:hint="eastAsia" w:ascii="宋体" w:hAnsi="宋体" w:eastAsia="宋体" w:cs="宋体"/>
          <w:sz w:val="21"/>
          <w:szCs w:val="21"/>
          <w:lang w:val="en-US" w:eastAsia="zh-CN"/>
        </w:rPr>
        <w:t xml:space="preserve">的介质强度试验，无击穿和闪络现象。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绝缘电阻：能满足</w:t>
      </w:r>
      <w:r>
        <w:rPr>
          <w:rFonts w:hint="default" w:ascii="宋体" w:hAnsi="宋体" w:eastAsia="宋体" w:cs="宋体"/>
          <w:sz w:val="21"/>
          <w:szCs w:val="21"/>
          <w:lang w:val="en-US" w:eastAsia="zh-CN"/>
        </w:rPr>
        <w:t>GB/T14598.3-2006</w:t>
      </w:r>
      <w:r>
        <w:rPr>
          <w:rFonts w:hint="eastAsia" w:ascii="宋体" w:hAnsi="宋体" w:eastAsia="宋体" w:cs="宋体"/>
          <w:sz w:val="21"/>
          <w:szCs w:val="21"/>
          <w:lang w:val="en-US" w:eastAsia="zh-CN"/>
        </w:rPr>
        <w:t>规定的开路电压为</w:t>
      </w:r>
      <w:r>
        <w:rPr>
          <w:rFonts w:hint="default" w:ascii="宋体" w:hAnsi="宋体" w:eastAsia="宋体" w:cs="宋体"/>
          <w:sz w:val="21"/>
          <w:szCs w:val="21"/>
          <w:lang w:val="en-US" w:eastAsia="zh-CN"/>
        </w:rPr>
        <w:t>500V</w:t>
      </w:r>
      <w:r>
        <w:rPr>
          <w:rFonts w:hint="eastAsia" w:ascii="宋体" w:hAnsi="宋体" w:eastAsia="宋体" w:cs="宋体"/>
          <w:sz w:val="21"/>
          <w:szCs w:val="21"/>
          <w:lang w:val="en-US" w:eastAsia="zh-CN"/>
        </w:rPr>
        <w:t xml:space="preserve">时绝缘电阻值不小于 </w:t>
      </w:r>
      <w:r>
        <w:rPr>
          <w:rFonts w:hint="default" w:ascii="宋体" w:hAnsi="宋体" w:eastAsia="宋体" w:cs="宋体"/>
          <w:sz w:val="21"/>
          <w:szCs w:val="21"/>
          <w:lang w:val="en-US" w:eastAsia="zh-CN"/>
        </w:rPr>
        <w:t>100 MΩ</w:t>
      </w:r>
      <w:r>
        <w:rPr>
          <w:rFonts w:hint="eastAsia" w:ascii="宋体" w:hAnsi="宋体" w:eastAsia="宋体" w:cs="宋体"/>
          <w:sz w:val="21"/>
          <w:szCs w:val="21"/>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冲击电压：能承受</w:t>
      </w:r>
      <w:r>
        <w:rPr>
          <w:rFonts w:hint="default" w:ascii="宋体" w:hAnsi="宋体" w:eastAsia="宋体" w:cs="宋体"/>
          <w:sz w:val="21"/>
          <w:szCs w:val="21"/>
          <w:lang w:val="en-US" w:eastAsia="zh-CN"/>
        </w:rPr>
        <w:t>GB/T14598.3-2006</w:t>
      </w:r>
      <w:r>
        <w:rPr>
          <w:rFonts w:hint="eastAsia" w:ascii="宋体" w:hAnsi="宋体" w:eastAsia="宋体" w:cs="宋体"/>
          <w:sz w:val="21"/>
          <w:szCs w:val="21"/>
          <w:lang w:val="en-US" w:eastAsia="zh-CN"/>
        </w:rPr>
        <w:t>规定的峰值为</w:t>
      </w:r>
      <w:r>
        <w:rPr>
          <w:rFonts w:hint="default" w:ascii="宋体" w:hAnsi="宋体" w:eastAsia="宋体" w:cs="宋体"/>
          <w:sz w:val="21"/>
          <w:szCs w:val="21"/>
          <w:lang w:val="en-US" w:eastAsia="zh-CN"/>
        </w:rPr>
        <w:t>5kV</w:t>
      </w:r>
      <w:r>
        <w:rPr>
          <w:rFonts w:hint="eastAsia" w:ascii="宋体" w:hAnsi="宋体" w:eastAsia="宋体" w:cs="宋体"/>
          <w:sz w:val="21"/>
          <w:szCs w:val="21"/>
          <w:lang w:val="en-US" w:eastAsia="zh-CN"/>
        </w:rPr>
        <w:t>（额定电压为</w:t>
      </w:r>
      <w:r>
        <w:rPr>
          <w:rFonts w:hint="default" w:ascii="宋体" w:hAnsi="宋体" w:eastAsia="宋体" w:cs="宋体"/>
          <w:sz w:val="21"/>
          <w:szCs w:val="21"/>
          <w:lang w:val="en-US" w:eastAsia="zh-CN"/>
        </w:rPr>
        <w:t>220V</w:t>
      </w:r>
      <w:r>
        <w:rPr>
          <w:rFonts w:hint="eastAsia" w:ascii="宋体" w:hAnsi="宋体" w:eastAsia="宋体" w:cs="宋体"/>
          <w:sz w:val="21"/>
          <w:szCs w:val="21"/>
          <w:lang w:val="en-US" w:eastAsia="zh-CN"/>
        </w:rPr>
        <w:t>）或</w:t>
      </w:r>
      <w:r>
        <w:rPr>
          <w:rFonts w:hint="default" w:ascii="宋体" w:hAnsi="宋体" w:eastAsia="宋体" w:cs="宋体"/>
          <w:sz w:val="21"/>
          <w:szCs w:val="21"/>
          <w:lang w:val="en-US" w:eastAsia="zh-CN"/>
        </w:rPr>
        <w:t>1kV</w:t>
      </w:r>
      <w:r>
        <w:rPr>
          <w:rFonts w:hint="eastAsia" w:ascii="宋体" w:hAnsi="宋体" w:eastAsia="宋体" w:cs="宋体"/>
          <w:sz w:val="21"/>
          <w:szCs w:val="21"/>
          <w:lang w:val="en-US" w:eastAsia="zh-CN"/>
        </w:rPr>
        <w:t>（额定电压</w:t>
      </w:r>
      <w:r>
        <w:rPr>
          <w:rFonts w:hint="default" w:ascii="宋体" w:hAnsi="宋体" w:eastAsia="宋体" w:cs="宋体"/>
          <w:sz w:val="21"/>
          <w:szCs w:val="21"/>
          <w:lang w:val="en-US" w:eastAsia="zh-CN"/>
        </w:rPr>
        <w:t>≤6</w:t>
      </w:r>
      <w:r>
        <w:rPr>
          <w:rFonts w:hint="eastAsia" w:ascii="宋体" w:hAnsi="宋体" w:eastAsia="宋体" w:cs="宋体"/>
          <w:sz w:val="21"/>
          <w:szCs w:val="21"/>
          <w:lang w:val="en-US" w:eastAsia="zh-CN"/>
        </w:rPr>
        <w:t xml:space="preserve">0V）的标准雷电波的冲击电压试验。 </w:t>
      </w:r>
    </w:p>
    <w:p>
      <w:pPr>
        <w:keepNext w:val="0"/>
        <w:keepLines w:val="0"/>
        <w:widowControl/>
        <w:suppressLineNumbers w:val="0"/>
        <w:jc w:val="left"/>
        <w:rPr>
          <w:rFonts w:hint="eastAsia" w:ascii="宋体" w:hAnsi="Calibri" w:eastAsia="宋体" w:cs="Times New Roman"/>
          <w:b/>
          <w:bCs/>
          <w:kern w:val="2"/>
          <w:sz w:val="21"/>
          <w:szCs w:val="21"/>
          <w:lang w:val="en-US" w:eastAsia="zh-CN" w:bidi="ar-SA"/>
        </w:rPr>
      </w:pPr>
      <w:r>
        <w:rPr>
          <w:rFonts w:hint="eastAsia" w:ascii="宋体" w:hAnsi="Calibri" w:eastAsia="宋体" w:cs="Times New Roman"/>
          <w:b/>
          <w:bCs/>
          <w:kern w:val="2"/>
          <w:sz w:val="21"/>
          <w:szCs w:val="21"/>
          <w:lang w:val="en-US" w:eastAsia="zh-CN" w:bidi="ar-SA"/>
        </w:rPr>
        <w:t>4.8电磁兼容性能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静电放电抗扰度试验：符合GB/T 17626.2-2018（</w:t>
      </w:r>
      <w:r>
        <w:rPr>
          <w:rFonts w:hint="default" w:ascii="宋体" w:hAnsi="宋体" w:eastAsia="宋体" w:cs="宋体"/>
          <w:sz w:val="21"/>
          <w:szCs w:val="21"/>
          <w:lang w:val="en-US" w:eastAsia="zh-CN"/>
        </w:rPr>
        <w:t>IEC 61000-4-2</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2008</w:t>
      </w:r>
      <w:r>
        <w:rPr>
          <w:rFonts w:hint="eastAsia" w:ascii="宋体" w:hAnsi="宋体" w:eastAsia="宋体" w:cs="宋体"/>
          <w:sz w:val="21"/>
          <w:szCs w:val="21"/>
          <w:lang w:val="en-US" w:eastAsia="zh-CN"/>
        </w:rPr>
        <w:t>）规定，严酷等级为</w:t>
      </w:r>
      <w:r>
        <w:rPr>
          <w:rFonts w:hint="default" w:ascii="宋体" w:hAnsi="宋体" w:eastAsia="宋体" w:cs="宋体"/>
          <w:sz w:val="21"/>
          <w:szCs w:val="21"/>
          <w:lang w:val="en-US" w:eastAsia="zh-CN"/>
        </w:rPr>
        <w:t>4</w:t>
      </w:r>
      <w:r>
        <w:rPr>
          <w:rFonts w:hint="eastAsia" w:ascii="宋体" w:hAnsi="宋体" w:eastAsia="宋体" w:cs="宋体"/>
          <w:sz w:val="21"/>
          <w:szCs w:val="21"/>
          <w:lang w:val="en-US" w:eastAsia="zh-CN"/>
        </w:rPr>
        <w:t xml:space="preserve">级。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工频磁场抗扰度试验：符合 </w:t>
      </w:r>
      <w:r>
        <w:rPr>
          <w:rFonts w:hint="default" w:ascii="宋体" w:hAnsi="宋体" w:eastAsia="宋体" w:cs="宋体"/>
          <w:sz w:val="21"/>
          <w:szCs w:val="21"/>
          <w:lang w:val="en-US" w:eastAsia="zh-CN"/>
        </w:rPr>
        <w:t>GB/T 17626.8-2006</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IEC 61000-4-8</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2001</w:t>
      </w:r>
      <w:r>
        <w:rPr>
          <w:rFonts w:hint="eastAsia" w:ascii="宋体" w:hAnsi="宋体" w:eastAsia="宋体" w:cs="宋体"/>
          <w:sz w:val="21"/>
          <w:szCs w:val="21"/>
          <w:lang w:val="en-US" w:eastAsia="zh-CN"/>
        </w:rPr>
        <w:t>）规定，严酷等级为</w:t>
      </w:r>
      <w:r>
        <w:rPr>
          <w:rFonts w:hint="default" w:ascii="宋体" w:hAnsi="宋体" w:eastAsia="宋体" w:cs="宋体"/>
          <w:sz w:val="21"/>
          <w:szCs w:val="21"/>
          <w:lang w:val="en-US" w:eastAsia="zh-CN"/>
        </w:rPr>
        <w:t>4</w:t>
      </w:r>
      <w:r>
        <w:rPr>
          <w:rFonts w:hint="eastAsia" w:ascii="宋体" w:hAnsi="宋体" w:eastAsia="宋体" w:cs="宋体"/>
          <w:sz w:val="21"/>
          <w:szCs w:val="21"/>
          <w:lang w:val="en-US" w:eastAsia="zh-CN"/>
        </w:rPr>
        <w:t xml:space="preserve">级。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振荡波抗扰度试验：符合 </w:t>
      </w:r>
      <w:r>
        <w:rPr>
          <w:rFonts w:hint="default" w:ascii="宋体" w:hAnsi="宋体" w:eastAsia="宋体" w:cs="宋体"/>
          <w:sz w:val="21"/>
          <w:szCs w:val="21"/>
          <w:lang w:val="en-US" w:eastAsia="zh-CN"/>
        </w:rPr>
        <w:t>GB/T 17626.12-2023</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IEC 61000-4-12</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2006</w:t>
      </w:r>
      <w:r>
        <w:rPr>
          <w:rFonts w:hint="eastAsia" w:ascii="宋体" w:hAnsi="宋体" w:eastAsia="宋体" w:cs="宋体"/>
          <w:sz w:val="21"/>
          <w:szCs w:val="21"/>
          <w:lang w:val="en-US" w:eastAsia="zh-CN"/>
        </w:rPr>
        <w:t>）规定，严酷等级为</w:t>
      </w:r>
      <w:r>
        <w:rPr>
          <w:rFonts w:hint="default" w:ascii="宋体" w:hAnsi="宋体" w:eastAsia="宋体" w:cs="宋体"/>
          <w:sz w:val="21"/>
          <w:szCs w:val="21"/>
          <w:lang w:val="en-US" w:eastAsia="zh-CN"/>
        </w:rPr>
        <w:t>3</w:t>
      </w:r>
      <w:r>
        <w:rPr>
          <w:rFonts w:hint="eastAsia" w:ascii="宋体" w:hAnsi="宋体" w:eastAsia="宋体" w:cs="宋体"/>
          <w:sz w:val="21"/>
          <w:szCs w:val="21"/>
          <w:lang w:val="en-US" w:eastAsia="zh-CN"/>
        </w:rPr>
        <w:t xml:space="preserve">级。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无线电骚扰限值试验：符合 </w:t>
      </w:r>
      <w:r>
        <w:rPr>
          <w:rFonts w:hint="default" w:ascii="宋体" w:hAnsi="宋体" w:eastAsia="宋体" w:cs="宋体"/>
          <w:sz w:val="21"/>
          <w:szCs w:val="21"/>
          <w:lang w:val="en-US" w:eastAsia="zh-CN"/>
        </w:rPr>
        <w:t>GB 9254-2008</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CISPR 22</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2006</w:t>
      </w:r>
      <w:r>
        <w:rPr>
          <w:rFonts w:hint="eastAsia" w:ascii="宋体" w:hAnsi="宋体" w:eastAsia="宋体" w:cs="宋体"/>
          <w:sz w:val="21"/>
          <w:szCs w:val="21"/>
          <w:lang w:val="en-US" w:eastAsia="zh-CN"/>
        </w:rPr>
        <w:t>）规定，严酷等级为</w:t>
      </w:r>
      <w:r>
        <w:rPr>
          <w:rFonts w:hint="default" w:ascii="宋体" w:hAnsi="宋体" w:eastAsia="宋体" w:cs="宋体"/>
          <w:sz w:val="21"/>
          <w:szCs w:val="21"/>
          <w:lang w:val="en-US" w:eastAsia="zh-CN"/>
        </w:rPr>
        <w:t>B</w:t>
      </w:r>
      <w:r>
        <w:rPr>
          <w:rFonts w:hint="eastAsia" w:ascii="宋体" w:hAnsi="宋体" w:eastAsia="宋体" w:cs="宋体"/>
          <w:sz w:val="21"/>
          <w:szCs w:val="21"/>
          <w:lang w:val="en-US" w:eastAsia="zh-CN"/>
        </w:rPr>
        <w:t xml:space="preserve">级。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 </w:t>
      </w:r>
      <w:r>
        <w:rPr>
          <w:rFonts w:hint="default" w:ascii="宋体" w:hAnsi="宋体" w:eastAsia="宋体" w:cs="宋体"/>
          <w:sz w:val="21"/>
          <w:szCs w:val="21"/>
          <w:lang w:val="en-US" w:eastAsia="zh-CN"/>
        </w:rPr>
        <w:t xml:space="preserve">GB/T 17618-1998 </w:t>
      </w:r>
      <w:r>
        <w:rPr>
          <w:rFonts w:hint="eastAsia" w:ascii="宋体" w:hAnsi="宋体" w:eastAsia="宋体" w:cs="宋体"/>
          <w:sz w:val="21"/>
          <w:szCs w:val="21"/>
          <w:lang w:val="en-US" w:eastAsia="zh-CN"/>
        </w:rPr>
        <w:t>《信息技术设备抗扰度限值和测量方法》规定。</w:t>
      </w:r>
    </w:p>
    <w:p>
      <w:pPr>
        <w:pStyle w:val="2"/>
        <w:rPr>
          <w:rFonts w:hint="eastAsia" w:ascii="宋体" w:hAnsi="Calibri" w:eastAsia="宋体" w:cs="Times New Roman"/>
          <w:b/>
          <w:bCs/>
          <w:kern w:val="2"/>
          <w:sz w:val="21"/>
          <w:szCs w:val="21"/>
          <w:lang w:val="en-US" w:eastAsia="zh-CN" w:bidi="ar-SA"/>
        </w:rPr>
      </w:pPr>
      <w:r>
        <w:rPr>
          <w:rFonts w:hint="eastAsia" w:ascii="宋体" w:hAnsi="Calibri" w:eastAsia="宋体" w:cs="Times New Roman"/>
          <w:b/>
          <w:bCs/>
          <w:kern w:val="2"/>
          <w:sz w:val="21"/>
          <w:szCs w:val="21"/>
          <w:lang w:val="en-US" w:eastAsia="zh-CN" w:bidi="ar-SA"/>
        </w:rPr>
        <w:t>4.9即插即用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满足《边缘网关源端维护与即插即用实现方案》要求，通过配电自动化主站下载台区档案至边缘网关等一系列步骤，自动完成边缘网关与配电自动化主站的 101/104 /cep数据通信配置，以及边缘网关与二次设备通信配置，达到通信免维护目的。</w:t>
      </w:r>
    </w:p>
    <w:p>
      <w:pPr>
        <w:pStyle w:val="3"/>
        <w:rPr>
          <w:rFonts w:hint="eastAsia" w:ascii="宋体" w:hAnsi="Calibri" w:eastAsia="宋体" w:cs="Times New Roman"/>
          <w:b/>
          <w:bCs/>
          <w:kern w:val="2"/>
          <w:sz w:val="21"/>
          <w:szCs w:val="21"/>
          <w:lang w:val="en-US" w:eastAsia="zh-CN" w:bidi="ar-SA"/>
        </w:rPr>
      </w:pPr>
    </w:p>
    <w:p>
      <w:pPr>
        <w:rPr>
          <w:rFonts w:hint="default"/>
          <w:lang w:val="en-US" w:eastAsia="zh-CN"/>
        </w:rPr>
      </w:pPr>
    </w:p>
    <w:p>
      <w:pPr>
        <w:pStyle w:val="4"/>
        <w:keepNext w:val="0"/>
        <w:keepLines w:val="0"/>
        <w:snapToGrid w:val="0"/>
        <w:spacing w:line="324" w:lineRule="auto"/>
        <w:ind w:left="119"/>
        <w:rPr>
          <w:rFonts w:ascii="Times New Roman" w:hAnsi="Times New Roman"/>
          <w:sz w:val="32"/>
          <w:szCs w:val="32"/>
          <w:highlight w:val="none"/>
        </w:rPr>
      </w:pPr>
      <w:bookmarkStart w:id="6" w:name="_Toc115199038"/>
      <w:r>
        <w:rPr>
          <w:rFonts w:hint="eastAsia" w:ascii="Times New Roman" w:hAnsi="Times New Roman"/>
          <w:sz w:val="32"/>
          <w:szCs w:val="32"/>
          <w:highlight w:val="none"/>
        </w:rPr>
        <w:t>实</w:t>
      </w:r>
      <w:r>
        <w:rPr>
          <w:rFonts w:ascii="Times New Roman" w:hAnsi="Times New Roman"/>
          <w:sz w:val="32"/>
          <w:szCs w:val="32"/>
          <w:highlight w:val="none"/>
        </w:rPr>
        <w:t>验要求</w:t>
      </w:r>
      <w:bookmarkEnd w:id="6"/>
    </w:p>
    <w:p>
      <w:pPr>
        <w:pStyle w:val="5"/>
        <w:keepNext w:val="0"/>
        <w:keepLines w:val="0"/>
        <w:snapToGrid w:val="0"/>
        <w:spacing w:line="324" w:lineRule="auto"/>
        <w:rPr>
          <w:rFonts w:ascii="Times New Roman" w:hAnsi="Times New Roman"/>
          <w:szCs w:val="24"/>
          <w:highlight w:val="none"/>
        </w:rPr>
      </w:pPr>
      <w:r>
        <w:rPr>
          <w:rFonts w:ascii="Times New Roman" w:hAnsi="Times New Roman"/>
          <w:szCs w:val="24"/>
          <w:highlight w:val="none"/>
        </w:rPr>
        <w:t>现场调试</w:t>
      </w:r>
    </w:p>
    <w:p>
      <w:pPr>
        <w:snapToGrid w:val="0"/>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设备运到现场安装完毕，招标方应通知投标方人员到场参加设备调试。投标方应派出有经验的专家提供技术服务。</w:t>
      </w:r>
    </w:p>
    <w:p>
      <w:pPr>
        <w:pStyle w:val="5"/>
        <w:keepNext w:val="0"/>
        <w:keepLines w:val="0"/>
        <w:snapToGrid w:val="0"/>
        <w:spacing w:line="324" w:lineRule="auto"/>
        <w:rPr>
          <w:rFonts w:ascii="Times New Roman" w:hAnsi="Times New Roman"/>
          <w:szCs w:val="24"/>
          <w:highlight w:val="none"/>
        </w:rPr>
      </w:pPr>
      <w:r>
        <w:rPr>
          <w:rFonts w:ascii="Times New Roman" w:hAnsi="Times New Roman"/>
          <w:szCs w:val="24"/>
          <w:highlight w:val="none"/>
        </w:rPr>
        <w:t>现场验收</w:t>
      </w:r>
    </w:p>
    <w:p>
      <w:pPr>
        <w:pStyle w:val="6"/>
        <w:rPr>
          <w:rFonts w:hAnsi="宋体"/>
          <w:szCs w:val="21"/>
          <w:highlight w:val="none"/>
        </w:rPr>
      </w:pPr>
      <w:bookmarkStart w:id="7" w:name="_Toc257207532"/>
      <w:bookmarkStart w:id="8" w:name="_Toc338429384"/>
      <w:bookmarkStart w:id="9" w:name="_Toc241653450"/>
      <w:r>
        <w:rPr>
          <w:rFonts w:hint="eastAsia" w:hAnsi="宋体"/>
          <w:szCs w:val="21"/>
          <w:highlight w:val="none"/>
        </w:rPr>
        <w:t>验收条件</w:t>
      </w:r>
    </w:p>
    <w:p>
      <w:pPr>
        <w:pStyle w:val="83"/>
        <w:numPr>
          <w:ilvl w:val="0"/>
          <w:numId w:val="7"/>
        </w:numPr>
        <w:adjustRightInd w:val="0"/>
        <w:snapToGrid w:val="0"/>
        <w:rPr>
          <w:rFonts w:ascii="Times New Roman" w:hAnsi="Times New Roman"/>
          <w:kern w:val="2"/>
          <w:sz w:val="21"/>
          <w:szCs w:val="21"/>
          <w:highlight w:val="none"/>
        </w:rPr>
      </w:pPr>
      <w:bookmarkStart w:id="10" w:name="_Toc510134500"/>
      <w:bookmarkStart w:id="11" w:name="_Toc19192"/>
      <w:bookmarkStart w:id="12" w:name="_Toc19509"/>
      <w:r>
        <w:rPr>
          <w:rFonts w:hint="eastAsia" w:ascii="Times New Roman" w:hAnsi="Times New Roman"/>
          <w:kern w:val="2"/>
          <w:sz w:val="21"/>
          <w:szCs w:val="21"/>
          <w:highlight w:val="none"/>
          <w:lang w:val="en-US" w:eastAsia="zh-CN"/>
        </w:rPr>
        <w:t>设备</w:t>
      </w:r>
      <w:r>
        <w:rPr>
          <w:rFonts w:hint="eastAsia" w:ascii="Times New Roman" w:hAnsi="Times New Roman"/>
          <w:kern w:val="2"/>
          <w:sz w:val="21"/>
          <w:szCs w:val="21"/>
          <w:highlight w:val="none"/>
        </w:rPr>
        <w:t>已在现场安装、调试完成，</w:t>
      </w:r>
      <w:r>
        <w:rPr>
          <w:rFonts w:hint="eastAsia" w:ascii="Times New Roman" w:hAnsi="Times New Roman"/>
          <w:kern w:val="2"/>
          <w:sz w:val="21"/>
          <w:szCs w:val="21"/>
          <w:highlight w:val="none"/>
          <w:lang w:val="en-US" w:eastAsia="zh-CN"/>
        </w:rPr>
        <w:t>设备</w:t>
      </w:r>
      <w:r>
        <w:rPr>
          <w:rFonts w:hint="eastAsia" w:ascii="Times New Roman" w:hAnsi="Times New Roman"/>
          <w:kern w:val="2"/>
          <w:sz w:val="21"/>
          <w:szCs w:val="21"/>
          <w:highlight w:val="none"/>
        </w:rPr>
        <w:t>运行稳定、正常；</w:t>
      </w:r>
      <w:r>
        <w:rPr>
          <w:rFonts w:ascii="Times New Roman" w:hAnsi="Times New Roman"/>
          <w:kern w:val="2"/>
          <w:sz w:val="21"/>
          <w:szCs w:val="21"/>
          <w:highlight w:val="none"/>
        </w:rPr>
        <w:t xml:space="preserve"> </w:t>
      </w:r>
    </w:p>
    <w:p>
      <w:pPr>
        <w:pStyle w:val="83"/>
        <w:numPr>
          <w:ilvl w:val="0"/>
          <w:numId w:val="7"/>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制造单位应提交与现场安装一致的</w:t>
      </w:r>
      <w:r>
        <w:rPr>
          <w:rFonts w:hint="eastAsia" w:ascii="Times New Roman" w:hAnsi="Times New Roman" w:eastAsia="宋体" w:cs="Times New Roman"/>
          <w:kern w:val="2"/>
          <w:sz w:val="21"/>
          <w:szCs w:val="21"/>
          <w:highlight w:val="none"/>
          <w:lang w:val="en-US" w:eastAsia="zh-CN"/>
        </w:rPr>
        <w:t>装置</w:t>
      </w:r>
      <w:r>
        <w:rPr>
          <w:rFonts w:hint="eastAsia" w:ascii="Times New Roman" w:hAnsi="Times New Roman" w:eastAsia="宋体" w:cs="Times New Roman"/>
          <w:kern w:val="2"/>
          <w:sz w:val="21"/>
          <w:szCs w:val="21"/>
          <w:highlight w:val="none"/>
        </w:rPr>
        <w:t>整套加工设计图纸、技术总结报告、项目验收资料等</w:t>
      </w:r>
      <w:r>
        <w:rPr>
          <w:rFonts w:hint="eastAsia" w:ascii="Times New Roman" w:hAnsi="Times New Roman"/>
          <w:kern w:val="2"/>
          <w:sz w:val="21"/>
          <w:szCs w:val="21"/>
          <w:highlight w:val="none"/>
        </w:rPr>
        <w:t>，并经设计单位、建设单位审核批准；</w:t>
      </w:r>
    </w:p>
    <w:bookmarkEnd w:id="10"/>
    <w:bookmarkEnd w:id="11"/>
    <w:bookmarkEnd w:id="12"/>
    <w:p>
      <w:pPr>
        <w:pStyle w:val="6"/>
        <w:rPr>
          <w:rFonts w:hAnsi="宋体"/>
          <w:szCs w:val="21"/>
          <w:highlight w:val="none"/>
        </w:rPr>
      </w:pPr>
      <w:r>
        <w:rPr>
          <w:rFonts w:hint="eastAsia" w:hAnsi="宋体"/>
          <w:szCs w:val="21"/>
          <w:highlight w:val="none"/>
        </w:rPr>
        <w:t>验收标准</w:t>
      </w:r>
    </w:p>
    <w:p>
      <w:pPr>
        <w:pStyle w:val="83"/>
        <w:numPr>
          <w:ilvl w:val="0"/>
          <w:numId w:val="8"/>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lang w:val="en-US" w:eastAsia="zh-CN"/>
        </w:rPr>
        <w:t>装置</w:t>
      </w:r>
      <w:r>
        <w:rPr>
          <w:rFonts w:hint="eastAsia" w:ascii="Times New Roman" w:hAnsi="Times New Roman"/>
          <w:kern w:val="2"/>
          <w:sz w:val="21"/>
          <w:szCs w:val="21"/>
          <w:highlight w:val="none"/>
        </w:rPr>
        <w:t>运行稳定可靠，未出现</w:t>
      </w:r>
      <w:r>
        <w:rPr>
          <w:rFonts w:hint="eastAsia" w:ascii="Times New Roman" w:hAnsi="Times New Roman"/>
          <w:kern w:val="2"/>
          <w:sz w:val="21"/>
          <w:szCs w:val="21"/>
          <w:highlight w:val="none"/>
          <w:lang w:val="en-US" w:eastAsia="zh-CN"/>
        </w:rPr>
        <w:t>设备</w:t>
      </w:r>
      <w:r>
        <w:rPr>
          <w:rFonts w:hint="eastAsia" w:ascii="Times New Roman" w:hAnsi="Times New Roman"/>
          <w:kern w:val="2"/>
          <w:sz w:val="21"/>
          <w:szCs w:val="21"/>
          <w:highlight w:val="none"/>
        </w:rPr>
        <w:t>非正常终止、崩溃、死机等稳定性问题；</w:t>
      </w:r>
    </w:p>
    <w:p>
      <w:pPr>
        <w:pStyle w:val="83"/>
        <w:numPr>
          <w:ilvl w:val="0"/>
          <w:numId w:val="8"/>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制造单位提交的技术手册、使用手册和维护手册为根据系统实际情况修编后的最新版本，且正确有效；项目建设文档及相关资料齐全；</w:t>
      </w:r>
    </w:p>
    <w:p>
      <w:pPr>
        <w:pStyle w:val="6"/>
        <w:rPr>
          <w:rFonts w:hAnsi="宋体"/>
          <w:szCs w:val="21"/>
          <w:highlight w:val="none"/>
        </w:rPr>
      </w:pPr>
      <w:r>
        <w:rPr>
          <w:rFonts w:hint="eastAsia" w:hAnsi="宋体"/>
          <w:szCs w:val="21"/>
          <w:highlight w:val="none"/>
        </w:rPr>
        <w:t>验收流程</w:t>
      </w:r>
    </w:p>
    <w:p>
      <w:pPr>
        <w:pStyle w:val="83"/>
        <w:numPr>
          <w:ilvl w:val="0"/>
          <w:numId w:val="9"/>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现场验收条件具备后，按要求成立现场验收工作组，启动现场验收程序；</w:t>
      </w:r>
    </w:p>
    <w:p>
      <w:pPr>
        <w:pStyle w:val="83"/>
        <w:numPr>
          <w:ilvl w:val="0"/>
          <w:numId w:val="9"/>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现场验收工作组审查确认现场验收大纲，形成正式文本；指派验收测试及资料审查组到现场，会同相关单位依据现场验收大纲所列测试内容进行逐项测试、逐项记录；</w:t>
      </w:r>
    </w:p>
    <w:p>
      <w:pPr>
        <w:pStyle w:val="83"/>
        <w:numPr>
          <w:ilvl w:val="0"/>
          <w:numId w:val="9"/>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现场验收测试结束后，现场验收工作组编制现场验收报告，召开现场验收会议，对测试结果和项目建设成果进行评价，形成现场验收结论；</w:t>
      </w:r>
    </w:p>
    <w:p>
      <w:pPr>
        <w:pStyle w:val="6"/>
        <w:rPr>
          <w:rFonts w:hAnsi="宋体"/>
          <w:szCs w:val="21"/>
          <w:highlight w:val="none"/>
        </w:rPr>
      </w:pPr>
      <w:r>
        <w:rPr>
          <w:rFonts w:hint="eastAsia" w:hAnsi="宋体"/>
          <w:szCs w:val="21"/>
          <w:highlight w:val="none"/>
        </w:rPr>
        <w:t>验收报告</w:t>
      </w:r>
    </w:p>
    <w:p>
      <w:pPr>
        <w:autoSpaceDE w:val="0"/>
        <w:autoSpaceDN w:val="0"/>
        <w:spacing w:before="156" w:after="156" w:line="300" w:lineRule="auto"/>
        <w:ind w:firstLine="480"/>
        <w:jc w:val="left"/>
        <w:rPr>
          <w:rFonts w:ascii="Times New Roman" w:hAnsi="Times New Roman"/>
          <w:sz w:val="21"/>
          <w:szCs w:val="21"/>
          <w:highlight w:val="none"/>
        </w:rPr>
      </w:pPr>
      <w:r>
        <w:rPr>
          <w:rFonts w:hint="eastAsia" w:ascii="Times New Roman" w:hAnsi="Times New Roman"/>
          <w:sz w:val="21"/>
          <w:szCs w:val="21"/>
          <w:highlight w:val="none"/>
        </w:rPr>
        <w:t>现场验收结束后，现场验收测试工作组应编写现场验收报告。现场验收报告应包含以下内容：</w:t>
      </w:r>
    </w:p>
    <w:p>
      <w:pPr>
        <w:pStyle w:val="83"/>
        <w:numPr>
          <w:ilvl w:val="0"/>
          <w:numId w:val="10"/>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现场验收结论；</w:t>
      </w:r>
    </w:p>
    <w:p>
      <w:pPr>
        <w:pStyle w:val="83"/>
        <w:numPr>
          <w:ilvl w:val="0"/>
          <w:numId w:val="10"/>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现场验收测试报告；</w:t>
      </w:r>
    </w:p>
    <w:p>
      <w:pPr>
        <w:pStyle w:val="83"/>
        <w:numPr>
          <w:ilvl w:val="0"/>
          <w:numId w:val="10"/>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现场验收差异汇总报告（同时作为现场验收遗留问题备忘录；制造单位应对每一项差异提出解决方法和预计解决时间，限期处理完成）；</w:t>
      </w:r>
    </w:p>
    <w:p>
      <w:pPr>
        <w:pStyle w:val="83"/>
        <w:numPr>
          <w:ilvl w:val="0"/>
          <w:numId w:val="10"/>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现场验收设备和文件资料核查报告；</w:t>
      </w:r>
    </w:p>
    <w:p>
      <w:pPr>
        <w:pStyle w:val="83"/>
        <w:numPr>
          <w:ilvl w:val="0"/>
          <w:numId w:val="10"/>
        </w:numPr>
        <w:adjustRightInd w:val="0"/>
        <w:snapToGrid w:val="0"/>
        <w:rPr>
          <w:rFonts w:ascii="Times New Roman" w:hAnsi="Times New Roman"/>
          <w:kern w:val="2"/>
          <w:sz w:val="21"/>
          <w:szCs w:val="21"/>
          <w:highlight w:val="none"/>
        </w:rPr>
      </w:pPr>
      <w:r>
        <w:rPr>
          <w:rFonts w:hint="eastAsia" w:ascii="Times New Roman" w:hAnsi="Times New Roman"/>
          <w:kern w:val="2"/>
          <w:sz w:val="21"/>
          <w:szCs w:val="21"/>
          <w:highlight w:val="none"/>
        </w:rPr>
        <w:t>现场验收测试大纲。</w:t>
      </w:r>
    </w:p>
    <w:bookmarkEnd w:id="7"/>
    <w:bookmarkEnd w:id="8"/>
    <w:bookmarkEnd w:id="9"/>
    <w:p>
      <w:pPr>
        <w:pStyle w:val="4"/>
        <w:keepNext w:val="0"/>
        <w:keepLines w:val="0"/>
        <w:snapToGrid w:val="0"/>
        <w:spacing w:line="324" w:lineRule="auto"/>
        <w:ind w:left="119"/>
        <w:rPr>
          <w:rFonts w:ascii="Times New Roman" w:hAnsi="Times New Roman"/>
          <w:sz w:val="32"/>
          <w:szCs w:val="32"/>
          <w:highlight w:val="none"/>
        </w:rPr>
      </w:pPr>
      <w:bookmarkStart w:id="13" w:name="_Toc115199039"/>
      <w:r>
        <w:rPr>
          <w:rFonts w:ascii="Times New Roman" w:hAnsi="Times New Roman"/>
          <w:sz w:val="32"/>
          <w:szCs w:val="32"/>
          <w:highlight w:val="none"/>
        </w:rPr>
        <w:t>技术文件要求</w:t>
      </w:r>
      <w:bookmarkEnd w:id="13"/>
    </w:p>
    <w:p>
      <w:pPr>
        <w:pStyle w:val="5"/>
        <w:keepNext w:val="0"/>
        <w:keepLines w:val="0"/>
        <w:snapToGrid w:val="0"/>
        <w:spacing w:line="324" w:lineRule="auto"/>
        <w:rPr>
          <w:rFonts w:ascii="Times New Roman" w:hAnsi="Times New Roman"/>
          <w:szCs w:val="24"/>
          <w:highlight w:val="none"/>
        </w:rPr>
      </w:pPr>
      <w:r>
        <w:rPr>
          <w:rFonts w:ascii="Times New Roman" w:hAnsi="Times New Roman"/>
          <w:szCs w:val="24"/>
          <w:highlight w:val="none"/>
        </w:rPr>
        <w:t>一般要求</w:t>
      </w:r>
    </w:p>
    <w:p>
      <w:pPr>
        <w:pStyle w:val="38"/>
        <w:numPr>
          <w:ilvl w:val="2"/>
          <w:numId w:val="11"/>
        </w:numPr>
        <w:snapToGrid w:val="0"/>
        <w:ind w:firstLine="420" w:firstLineChars="200"/>
        <w:rPr>
          <w:rFonts w:ascii="Times New Roman" w:hAnsi="Times New Roman"/>
          <w:sz w:val="21"/>
          <w:szCs w:val="21"/>
          <w:highlight w:val="none"/>
        </w:rPr>
      </w:pPr>
      <w:r>
        <w:rPr>
          <w:rFonts w:ascii="Times New Roman" w:hAnsi="Times New Roman"/>
          <w:sz w:val="21"/>
          <w:szCs w:val="21"/>
          <w:highlight w:val="none"/>
        </w:rPr>
        <w:t>投标方提供的图纸、资料、文件应使用国家法定单位制即国际单位制，语言为中文。</w:t>
      </w:r>
    </w:p>
    <w:p>
      <w:pPr>
        <w:pStyle w:val="38"/>
        <w:snapToGrid w:val="0"/>
        <w:ind w:firstLine="420" w:firstLineChars="200"/>
        <w:rPr>
          <w:rFonts w:ascii="Times New Roman" w:hAnsi="Times New Roman"/>
          <w:sz w:val="21"/>
          <w:szCs w:val="21"/>
          <w:highlight w:val="none"/>
        </w:rPr>
      </w:pPr>
      <w:r>
        <w:rPr>
          <w:rFonts w:ascii="Times New Roman" w:hAnsi="Times New Roman"/>
          <w:sz w:val="21"/>
          <w:szCs w:val="21"/>
          <w:highlight w:val="none"/>
        </w:rPr>
        <w:t>资料的组织结构清晰、逻辑性强。资料内容耍正确、准确、一致、清晰、完整，满足工程要求。</w:t>
      </w:r>
    </w:p>
    <w:p>
      <w:pPr>
        <w:pStyle w:val="38"/>
        <w:snapToGrid w:val="0"/>
        <w:ind w:firstLine="420" w:firstLineChars="200"/>
        <w:rPr>
          <w:rFonts w:ascii="Times New Roman" w:hAnsi="Times New Roman"/>
          <w:sz w:val="21"/>
          <w:szCs w:val="21"/>
          <w:highlight w:val="none"/>
        </w:rPr>
      </w:pPr>
      <w:r>
        <w:rPr>
          <w:rFonts w:ascii="Times New Roman" w:hAnsi="Times New Roman"/>
          <w:sz w:val="21"/>
          <w:szCs w:val="21"/>
          <w:highlight w:val="none"/>
        </w:rPr>
        <w:t>投标方资料的提交及时充分，满足工程进度要求。在合同谈判日或收到中标通知书后（以先到为准）7天内（项目单位填写）给出全部最终技术资料，经招标方确认后不能更改。</w:t>
      </w:r>
    </w:p>
    <w:p>
      <w:pPr>
        <w:pStyle w:val="38"/>
        <w:snapToGrid w:val="0"/>
        <w:ind w:firstLine="420" w:firstLineChars="200"/>
        <w:rPr>
          <w:rFonts w:ascii="Times New Roman" w:hAnsi="Times New Roman"/>
          <w:sz w:val="21"/>
          <w:szCs w:val="21"/>
          <w:highlight w:val="none"/>
        </w:rPr>
      </w:pPr>
      <w:r>
        <w:rPr>
          <w:rFonts w:ascii="Times New Roman" w:hAnsi="Times New Roman"/>
          <w:sz w:val="21"/>
          <w:szCs w:val="21"/>
          <w:highlight w:val="none"/>
        </w:rPr>
        <w:t>对于其它没有列入合同技术资料清单，却是工程所必需的文件和资料，一经发现，投标方也应及时免费提供。如项目工程为多台设备构成，后续设备有改进时，投标方应及时免费提供新的技术资料。</w:t>
      </w:r>
    </w:p>
    <w:p>
      <w:pPr>
        <w:pStyle w:val="4"/>
        <w:keepNext w:val="0"/>
        <w:keepLines w:val="0"/>
        <w:snapToGrid w:val="0"/>
        <w:spacing w:line="324" w:lineRule="auto"/>
        <w:ind w:left="119"/>
        <w:rPr>
          <w:rFonts w:ascii="Times New Roman" w:hAnsi="Times New Roman"/>
          <w:sz w:val="32"/>
          <w:szCs w:val="32"/>
          <w:highlight w:val="none"/>
        </w:rPr>
      </w:pPr>
      <w:bookmarkStart w:id="14" w:name="_Toc115199040"/>
      <w:r>
        <w:rPr>
          <w:rFonts w:hint="eastAsia" w:ascii="Times New Roman" w:hAnsi="Times New Roman"/>
          <w:sz w:val="32"/>
          <w:szCs w:val="32"/>
          <w:highlight w:val="none"/>
        </w:rPr>
        <w:t>质量保证</w:t>
      </w:r>
      <w:bookmarkEnd w:id="14"/>
    </w:p>
    <w:p>
      <w:pPr>
        <w:ind w:firstLine="420" w:firstLineChars="200"/>
        <w:rPr>
          <w:sz w:val="21"/>
          <w:szCs w:val="21"/>
          <w:highlight w:val="none"/>
        </w:rPr>
      </w:pPr>
      <w:bookmarkStart w:id="15" w:name="_Toc296962416"/>
      <w:bookmarkStart w:id="16" w:name="_Toc289089107"/>
      <w:bookmarkStart w:id="17" w:name="_Toc296359235"/>
      <w:bookmarkStart w:id="18" w:name="_Toc296359234"/>
      <w:bookmarkStart w:id="19" w:name="_Toc296962415"/>
      <w:bookmarkStart w:id="20" w:name="_Toc240452888"/>
      <w:r>
        <w:rPr>
          <w:rFonts w:hint="eastAsia"/>
          <w:sz w:val="21"/>
          <w:szCs w:val="21"/>
          <w:highlight w:val="none"/>
        </w:rPr>
        <w:t>1)</w:t>
      </w:r>
      <w:r>
        <w:rPr>
          <w:rFonts w:hint="eastAsia"/>
          <w:sz w:val="21"/>
          <w:szCs w:val="21"/>
          <w:highlight w:val="none"/>
        </w:rPr>
        <w:tab/>
      </w:r>
      <w:r>
        <w:rPr>
          <w:rFonts w:hint="eastAsia"/>
          <w:sz w:val="21"/>
          <w:szCs w:val="21"/>
          <w:highlight w:val="none"/>
        </w:rPr>
        <w:t>投标方提供的所有设备应是正版、无纠纷；</w:t>
      </w:r>
    </w:p>
    <w:p>
      <w:pPr>
        <w:ind w:firstLine="420" w:firstLineChars="200"/>
        <w:rPr>
          <w:sz w:val="21"/>
          <w:szCs w:val="21"/>
          <w:highlight w:val="none"/>
        </w:rPr>
      </w:pPr>
      <w:r>
        <w:rPr>
          <w:rFonts w:hint="eastAsia"/>
          <w:sz w:val="21"/>
          <w:szCs w:val="21"/>
          <w:highlight w:val="none"/>
        </w:rPr>
        <w:t>2)</w:t>
      </w:r>
      <w:r>
        <w:rPr>
          <w:rFonts w:hint="eastAsia"/>
          <w:sz w:val="21"/>
          <w:szCs w:val="21"/>
          <w:highlight w:val="none"/>
        </w:rPr>
        <w:tab/>
      </w:r>
      <w:r>
        <w:rPr>
          <w:rFonts w:hint="eastAsia"/>
          <w:sz w:val="21"/>
          <w:szCs w:val="21"/>
          <w:highlight w:val="none"/>
        </w:rPr>
        <w:t>投标方提供的售后服务应包括：</w:t>
      </w:r>
    </w:p>
    <w:p>
      <w:pPr>
        <w:ind w:firstLine="420" w:firstLineChars="200"/>
        <w:rPr>
          <w:sz w:val="21"/>
          <w:szCs w:val="21"/>
          <w:highlight w:val="none"/>
        </w:rPr>
      </w:pPr>
      <w:r>
        <w:rPr>
          <w:rFonts w:hint="eastAsia"/>
          <w:sz w:val="21"/>
          <w:szCs w:val="21"/>
          <w:highlight w:val="none"/>
        </w:rPr>
        <w:t>a)</w:t>
      </w:r>
      <w:r>
        <w:rPr>
          <w:rFonts w:hint="eastAsia"/>
          <w:sz w:val="21"/>
          <w:szCs w:val="21"/>
          <w:highlight w:val="none"/>
        </w:rPr>
        <w:tab/>
      </w:r>
      <w:r>
        <w:rPr>
          <w:rFonts w:hint="eastAsia"/>
          <w:sz w:val="21"/>
          <w:szCs w:val="21"/>
          <w:highlight w:val="none"/>
        </w:rPr>
        <w:t>投标方有责任协助招标方进行定期维护修理；</w:t>
      </w:r>
    </w:p>
    <w:p>
      <w:pPr>
        <w:ind w:firstLine="420" w:firstLineChars="200"/>
        <w:rPr>
          <w:sz w:val="21"/>
          <w:szCs w:val="21"/>
          <w:highlight w:val="none"/>
        </w:rPr>
      </w:pPr>
      <w:r>
        <w:rPr>
          <w:rFonts w:hint="eastAsia"/>
          <w:sz w:val="21"/>
          <w:szCs w:val="21"/>
          <w:highlight w:val="none"/>
        </w:rPr>
        <w:t>b)</w:t>
      </w:r>
      <w:r>
        <w:rPr>
          <w:rFonts w:hint="eastAsia"/>
          <w:sz w:val="21"/>
          <w:szCs w:val="21"/>
          <w:highlight w:val="none"/>
        </w:rPr>
        <w:tab/>
      </w:r>
      <w:r>
        <w:rPr>
          <w:rFonts w:hint="eastAsia"/>
          <w:sz w:val="21"/>
          <w:szCs w:val="21"/>
          <w:highlight w:val="none"/>
        </w:rPr>
        <w:t xml:space="preserve">投标方有责任协助招标方进行故障处理：如果系统出现故障，投标方应查找故障原因并将系统恢复到正常运行。投标方应提供7×24热线技术支持电话和远程诊断，如1小时内无法远程解决需在24小时内到现场解决； </w:t>
      </w:r>
    </w:p>
    <w:p>
      <w:pPr>
        <w:ind w:firstLine="420" w:firstLineChars="200"/>
        <w:rPr>
          <w:sz w:val="21"/>
          <w:szCs w:val="21"/>
          <w:highlight w:val="none"/>
        </w:rPr>
      </w:pPr>
      <w:r>
        <w:rPr>
          <w:rFonts w:hint="eastAsia"/>
          <w:sz w:val="21"/>
          <w:szCs w:val="21"/>
          <w:highlight w:val="none"/>
        </w:rPr>
        <w:t>c)</w:t>
      </w:r>
      <w:r>
        <w:rPr>
          <w:rFonts w:hint="eastAsia"/>
          <w:sz w:val="21"/>
          <w:szCs w:val="21"/>
          <w:highlight w:val="none"/>
        </w:rPr>
        <w:tab/>
      </w:r>
      <w:r>
        <w:rPr>
          <w:rFonts w:hint="eastAsia"/>
          <w:sz w:val="21"/>
          <w:szCs w:val="21"/>
          <w:highlight w:val="none"/>
        </w:rPr>
        <w:t>对于招标方提出的软件缺陷和错误，投标方不应以推出新版本解决为由，而推迟解决时间，应针对招标方的提出的问题及时免费予以修正；如不能在原版本上解决问题，应免费提供软件版本的更新；</w:t>
      </w:r>
    </w:p>
    <w:p>
      <w:pPr>
        <w:ind w:firstLine="420" w:firstLineChars="200"/>
        <w:rPr>
          <w:sz w:val="21"/>
          <w:szCs w:val="21"/>
          <w:highlight w:val="none"/>
        </w:rPr>
      </w:pPr>
      <w:r>
        <w:rPr>
          <w:rFonts w:hint="eastAsia"/>
          <w:sz w:val="21"/>
          <w:szCs w:val="21"/>
          <w:highlight w:val="none"/>
        </w:rPr>
        <w:t>d)</w:t>
      </w:r>
      <w:r>
        <w:rPr>
          <w:rFonts w:hint="eastAsia"/>
          <w:sz w:val="21"/>
          <w:szCs w:val="21"/>
          <w:highlight w:val="none"/>
        </w:rPr>
        <w:tab/>
      </w:r>
      <w:r>
        <w:rPr>
          <w:rFonts w:hint="eastAsia"/>
          <w:sz w:val="21"/>
          <w:szCs w:val="21"/>
          <w:highlight w:val="none"/>
        </w:rPr>
        <w:t>在系统达到最终规模时，投标方应保证系统的功能和指标满足本技术规范书的要求，如不能满足要求，投标方应承担系统能力扩展带来的费用；</w:t>
      </w:r>
    </w:p>
    <w:p>
      <w:pPr>
        <w:ind w:firstLine="420" w:firstLineChars="200"/>
        <w:rPr>
          <w:sz w:val="21"/>
          <w:szCs w:val="21"/>
          <w:highlight w:val="none"/>
        </w:rPr>
      </w:pPr>
      <w:r>
        <w:rPr>
          <w:rFonts w:hint="eastAsia"/>
          <w:sz w:val="21"/>
          <w:szCs w:val="21"/>
          <w:highlight w:val="none"/>
        </w:rPr>
        <w:t>e)</w:t>
      </w:r>
      <w:r>
        <w:rPr>
          <w:rFonts w:hint="eastAsia"/>
          <w:sz w:val="21"/>
          <w:szCs w:val="21"/>
          <w:highlight w:val="none"/>
        </w:rPr>
        <w:tab/>
      </w:r>
      <w:r>
        <w:rPr>
          <w:rFonts w:hint="eastAsia"/>
          <w:sz w:val="21"/>
          <w:szCs w:val="21"/>
          <w:highlight w:val="none"/>
        </w:rPr>
        <w:t>如招标方有新的功能要求，应标单位应积极配合，以合理价格进行软件升级或改造。</w:t>
      </w:r>
    </w:p>
    <w:p>
      <w:pPr>
        <w:ind w:firstLine="420" w:firstLineChars="200"/>
        <w:rPr>
          <w:sz w:val="21"/>
          <w:szCs w:val="21"/>
          <w:highlight w:val="none"/>
        </w:rPr>
      </w:pPr>
      <w:r>
        <w:rPr>
          <w:rFonts w:hint="eastAsia"/>
          <w:sz w:val="21"/>
          <w:szCs w:val="21"/>
          <w:highlight w:val="none"/>
        </w:rPr>
        <w:t>f)</w:t>
      </w:r>
      <w:r>
        <w:rPr>
          <w:rFonts w:hint="eastAsia"/>
          <w:sz w:val="21"/>
          <w:szCs w:val="21"/>
          <w:highlight w:val="none"/>
        </w:rPr>
        <w:tab/>
      </w:r>
      <w:r>
        <w:rPr>
          <w:rFonts w:hint="eastAsia"/>
          <w:sz w:val="21"/>
          <w:szCs w:val="21"/>
          <w:highlight w:val="none"/>
        </w:rPr>
        <w:t>在系统运行期间，根据招标方要求，投标方有责任派专业技术人员到现场指导维护工作。</w:t>
      </w:r>
    </w:p>
    <w:p>
      <w:pPr>
        <w:ind w:firstLine="420" w:firstLineChars="200"/>
        <w:rPr>
          <w:sz w:val="21"/>
          <w:szCs w:val="21"/>
          <w:highlight w:val="none"/>
        </w:rPr>
      </w:pPr>
      <w:r>
        <w:rPr>
          <w:rFonts w:hint="eastAsia"/>
          <w:sz w:val="21"/>
          <w:szCs w:val="21"/>
          <w:highlight w:val="none"/>
        </w:rPr>
        <w:t>g)</w:t>
      </w:r>
      <w:r>
        <w:rPr>
          <w:rFonts w:hint="eastAsia"/>
          <w:sz w:val="21"/>
          <w:szCs w:val="21"/>
          <w:highlight w:val="none"/>
        </w:rPr>
        <w:tab/>
      </w:r>
      <w:r>
        <w:rPr>
          <w:rFonts w:hint="eastAsia"/>
          <w:sz w:val="21"/>
          <w:szCs w:val="21"/>
          <w:highlight w:val="none"/>
        </w:rPr>
        <w:t>技术咨询、交流，根据招标方的需求，通过各种形式（如电子邮件、电话、座谈会、研讨会等）就备份与恢复问题和解决方法进行技术交流；</w:t>
      </w:r>
    </w:p>
    <w:p>
      <w:pPr>
        <w:ind w:firstLine="420" w:firstLineChars="200"/>
        <w:rPr>
          <w:sz w:val="21"/>
          <w:szCs w:val="21"/>
          <w:highlight w:val="none"/>
        </w:rPr>
      </w:pPr>
      <w:r>
        <w:rPr>
          <w:rFonts w:hint="eastAsia"/>
          <w:sz w:val="21"/>
          <w:szCs w:val="21"/>
          <w:highlight w:val="none"/>
        </w:rPr>
        <w:t>3)</w:t>
      </w:r>
      <w:r>
        <w:rPr>
          <w:rFonts w:hint="eastAsia"/>
          <w:sz w:val="21"/>
          <w:szCs w:val="21"/>
          <w:highlight w:val="none"/>
        </w:rPr>
        <w:tab/>
      </w:r>
      <w:r>
        <w:rPr>
          <w:rFonts w:hint="eastAsia"/>
          <w:sz w:val="21"/>
          <w:szCs w:val="21"/>
          <w:highlight w:val="none"/>
        </w:rPr>
        <w:t>投标方提供的所有设备质保期为项目竣工验收后1年。质保期内的技术服务内容包括：</w:t>
      </w:r>
    </w:p>
    <w:p>
      <w:pPr>
        <w:ind w:firstLine="420" w:firstLineChars="200"/>
        <w:rPr>
          <w:sz w:val="21"/>
          <w:szCs w:val="21"/>
          <w:highlight w:val="none"/>
        </w:rPr>
      </w:pPr>
      <w:r>
        <w:rPr>
          <w:rFonts w:hint="eastAsia"/>
          <w:sz w:val="21"/>
          <w:szCs w:val="21"/>
          <w:highlight w:val="none"/>
        </w:rPr>
        <w:t>a)</w:t>
      </w:r>
      <w:r>
        <w:rPr>
          <w:rFonts w:hint="eastAsia"/>
          <w:sz w:val="21"/>
          <w:szCs w:val="21"/>
          <w:highlight w:val="none"/>
        </w:rPr>
        <w:tab/>
      </w:r>
      <w:r>
        <w:rPr>
          <w:rFonts w:hint="eastAsia"/>
          <w:sz w:val="21"/>
          <w:szCs w:val="21"/>
          <w:highlight w:val="none"/>
        </w:rPr>
        <w:t>质保期内所有维护修理费用均为免费；</w:t>
      </w:r>
    </w:p>
    <w:p>
      <w:pPr>
        <w:ind w:firstLine="420" w:firstLineChars="200"/>
        <w:rPr>
          <w:sz w:val="21"/>
          <w:szCs w:val="21"/>
          <w:highlight w:val="none"/>
        </w:rPr>
      </w:pPr>
      <w:r>
        <w:rPr>
          <w:rFonts w:hint="eastAsia"/>
          <w:sz w:val="21"/>
          <w:szCs w:val="21"/>
          <w:highlight w:val="none"/>
        </w:rPr>
        <w:t>b)</w:t>
      </w:r>
      <w:r>
        <w:rPr>
          <w:rFonts w:hint="eastAsia"/>
          <w:sz w:val="21"/>
          <w:szCs w:val="21"/>
          <w:highlight w:val="none"/>
        </w:rPr>
        <w:tab/>
      </w:r>
      <w:r>
        <w:rPr>
          <w:rFonts w:hint="eastAsia"/>
          <w:sz w:val="21"/>
          <w:szCs w:val="21"/>
          <w:highlight w:val="none"/>
        </w:rPr>
        <w:t>如投标方对应用软件有所改进，应及时免费提供招标方使用。</w:t>
      </w:r>
    </w:p>
    <w:p>
      <w:pPr>
        <w:ind w:firstLine="420" w:firstLineChars="200"/>
        <w:rPr>
          <w:sz w:val="21"/>
          <w:szCs w:val="21"/>
          <w:highlight w:val="none"/>
        </w:rPr>
      </w:pPr>
      <w:r>
        <w:rPr>
          <w:rFonts w:hint="eastAsia"/>
          <w:sz w:val="21"/>
          <w:szCs w:val="21"/>
          <w:highlight w:val="none"/>
        </w:rPr>
        <w:t>c)</w:t>
      </w:r>
      <w:r>
        <w:rPr>
          <w:rFonts w:hint="eastAsia"/>
          <w:sz w:val="21"/>
          <w:szCs w:val="21"/>
          <w:highlight w:val="none"/>
        </w:rPr>
        <w:tab/>
      </w:r>
      <w:r>
        <w:rPr>
          <w:rFonts w:hint="eastAsia"/>
          <w:sz w:val="21"/>
          <w:szCs w:val="21"/>
          <w:highlight w:val="none"/>
        </w:rPr>
        <w:t>如招标方有改进要求，投标方应免费进行软件升级或改造；</w:t>
      </w:r>
    </w:p>
    <w:p>
      <w:pPr>
        <w:ind w:firstLine="420" w:firstLineChars="200"/>
        <w:rPr>
          <w:sz w:val="21"/>
          <w:szCs w:val="21"/>
          <w:highlight w:val="none"/>
        </w:rPr>
      </w:pPr>
      <w:r>
        <w:rPr>
          <w:rFonts w:hint="eastAsia"/>
          <w:sz w:val="21"/>
          <w:szCs w:val="21"/>
          <w:highlight w:val="none"/>
        </w:rPr>
        <w:t>d)</w:t>
      </w:r>
      <w:r>
        <w:rPr>
          <w:rFonts w:hint="eastAsia"/>
          <w:sz w:val="21"/>
          <w:szCs w:val="21"/>
          <w:highlight w:val="none"/>
        </w:rPr>
        <w:tab/>
      </w:r>
      <w:r>
        <w:rPr>
          <w:rFonts w:hint="eastAsia"/>
          <w:sz w:val="21"/>
          <w:szCs w:val="21"/>
          <w:highlight w:val="none"/>
        </w:rPr>
        <w:t xml:space="preserve">如系统出现的异常情况经用户方认为可能会影响系统将来的稳定运行的，系统或设备的质保期将延长，延长时间为系统或设备重新投运后的6个月； </w:t>
      </w:r>
    </w:p>
    <w:p>
      <w:pPr>
        <w:ind w:firstLine="420" w:firstLineChars="200"/>
        <w:rPr>
          <w:color w:val="FF0000"/>
          <w:sz w:val="21"/>
          <w:szCs w:val="21"/>
          <w:highlight w:val="none"/>
        </w:rPr>
      </w:pPr>
      <w:r>
        <w:rPr>
          <w:rFonts w:hint="eastAsia"/>
          <w:sz w:val="21"/>
          <w:szCs w:val="21"/>
          <w:highlight w:val="none"/>
        </w:rPr>
        <w:t>e)</w:t>
      </w:r>
      <w:r>
        <w:rPr>
          <w:rFonts w:hint="eastAsia"/>
          <w:sz w:val="21"/>
          <w:szCs w:val="21"/>
          <w:highlight w:val="none"/>
        </w:rPr>
        <w:tab/>
      </w:r>
      <w:r>
        <w:rPr>
          <w:rFonts w:hint="eastAsia"/>
          <w:sz w:val="21"/>
          <w:szCs w:val="21"/>
          <w:highlight w:val="none"/>
        </w:rPr>
        <w:t>如果系统在一个特定部分发生重复性故障时，投标方应同意对这个部分重新计算质保期（软件模块和硬件同样适用）。如果重复故障使整个系统不能正常运行，整个系统的质保期应重新开始计算。</w:t>
      </w:r>
      <w:bookmarkEnd w:id="15"/>
      <w:bookmarkEnd w:id="16"/>
      <w:bookmarkEnd w:id="17"/>
      <w:bookmarkEnd w:id="18"/>
      <w:bookmarkEnd w:id="19"/>
      <w:bookmarkEnd w:id="20"/>
    </w:p>
    <w:sectPr>
      <w:headerReference r:id="rId7" w:type="default"/>
      <w:footerReference r:id="rId8" w:type="default"/>
      <w:pgSz w:w="11906" w:h="16838"/>
      <w:pgMar w:top="1440" w:right="1800" w:bottom="1440" w:left="1800" w:header="851" w:footer="992"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书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rPr>
        <w:sz w:val="24"/>
        <w:szCs w:val="24"/>
      </w:rPr>
    </w:pP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end"/>
    </w: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13</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广东电网有限责任公司X</w:t>
    </w:r>
    <w:r>
      <w:t>XX</w:t>
    </w:r>
    <w:r>
      <w:rPr>
        <w:rFonts w:hint="eastAsia"/>
      </w:rPr>
      <w:t>功能扩充技术规范书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6EBF7A"/>
    <w:multiLevelType w:val="multilevel"/>
    <w:tmpl w:val="BB6EBF7A"/>
    <w:lvl w:ilvl="0" w:tentative="0">
      <w:start w:val="1"/>
      <w:numFmt w:val="lowerLetter"/>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
    <w:nsid w:val="BBDFFE67"/>
    <w:multiLevelType w:val="multilevel"/>
    <w:tmpl w:val="BBDFFE67"/>
    <w:lvl w:ilvl="0" w:tentative="0">
      <w:start w:val="1"/>
      <w:numFmt w:val="lowerLetter"/>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000000B"/>
    <w:multiLevelType w:val="multilevel"/>
    <w:tmpl w:val="0000000B"/>
    <w:lvl w:ilvl="0" w:tentative="0">
      <w:start w:val="1"/>
      <w:numFmt w:val="decimal"/>
      <w:suff w:val="space"/>
      <w:lvlText w:val="%1."/>
      <w:lvlJc w:val="left"/>
      <w:pPr>
        <w:ind w:left="120" w:firstLine="0"/>
      </w:pPr>
      <w:rPr>
        <w:rFonts w:hint="eastAsia"/>
      </w:rPr>
    </w:lvl>
    <w:lvl w:ilvl="1" w:tentative="0">
      <w:start w:val="1"/>
      <w:numFmt w:val="decimal"/>
      <w:isLgl/>
      <w:suff w:val="space"/>
      <w:lvlText w:val="%1.%2"/>
      <w:lvlJc w:val="left"/>
      <w:pPr>
        <w:ind w:left="120" w:firstLine="0"/>
      </w:pPr>
      <w:rPr>
        <w:rFonts w:hint="eastAsia"/>
        <w:b w:val="0"/>
      </w:rPr>
    </w:lvl>
    <w:lvl w:ilvl="2" w:tentative="0">
      <w:start w:val="1"/>
      <w:numFmt w:val="decimal"/>
      <w:pStyle w:val="38"/>
      <w:lvlText w:val="%3)"/>
      <w:lvlJc w:val="left"/>
      <w:pPr>
        <w:ind w:left="0" w:firstLine="0"/>
      </w:pPr>
      <w:rPr>
        <w:rFonts w:hint="eastAsia"/>
        <w:b w:val="0"/>
        <w:i w:val="0"/>
      </w:rPr>
    </w:lvl>
    <w:lvl w:ilvl="3" w:tentative="0">
      <w:start w:val="1"/>
      <w:numFmt w:val="decimal"/>
      <w:pStyle w:val="41"/>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3">
    <w:nsid w:val="00000027"/>
    <w:multiLevelType w:val="multilevel"/>
    <w:tmpl w:val="00000027"/>
    <w:lvl w:ilvl="0" w:tentative="0">
      <w:start w:val="1"/>
      <w:numFmt w:val="upperLetter"/>
      <w:pStyle w:val="48"/>
      <w:suff w:val="nothing"/>
      <w:lvlText w:val="附录  %1"/>
      <w:lvlJc w:val="left"/>
      <w:pPr>
        <w:ind w:left="0" w:firstLine="0"/>
      </w:pPr>
      <w:rPr>
        <w:rFonts w:hint="eastAsia" w:ascii="黑体" w:hAnsi="Times New Roman" w:eastAsia="黑体"/>
        <w:b/>
        <w:i w:val="0"/>
        <w:sz w:val="21"/>
      </w:rPr>
    </w:lvl>
    <w:lvl w:ilvl="1" w:tentative="0">
      <w:start w:val="1"/>
      <w:numFmt w:val="decimal"/>
      <w:pStyle w:val="47"/>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46"/>
      <w:suff w:val="nothing"/>
      <w:lvlText w:val="%1.%2.%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1620" w:firstLine="0"/>
      </w:pPr>
      <w:rPr>
        <w:rFonts w:hint="eastAsia" w:ascii="黑体" w:hAnsi="Times New Roman" w:eastAsia="黑体"/>
        <w:b/>
        <w:i w:val="0"/>
        <w:sz w:val="21"/>
      </w:rPr>
    </w:lvl>
    <w:lvl w:ilvl="4" w:tentative="0">
      <w:start w:val="1"/>
      <w:numFmt w:val="decimal"/>
      <w:suff w:val="nothing"/>
      <w:lvlText w:val="%1.%2.%3.%4.%5　"/>
      <w:lvlJc w:val="left"/>
      <w:pPr>
        <w:ind w:left="0" w:firstLine="0"/>
      </w:pPr>
      <w:rPr>
        <w:rFonts w:hint="eastAsia" w:ascii="黑体" w:hAnsi="Times New Roman" w:eastAsia="黑体"/>
        <w:b/>
        <w:i w:val="0"/>
        <w:sz w:val="21"/>
      </w:rPr>
    </w:lvl>
    <w:lvl w:ilvl="5" w:tentative="0">
      <w:start w:val="1"/>
      <w:numFmt w:val="decimal"/>
      <w:suff w:val="nothing"/>
      <w:lvlText w:val="%1.%2.%3.%4.%5.%6　"/>
      <w:lvlJc w:val="left"/>
      <w:pPr>
        <w:ind w:left="0" w:firstLine="0"/>
      </w:pPr>
      <w:rPr>
        <w:rFonts w:hint="eastAsia" w:ascii="黑体" w:hAnsi="Times New Roman" w:eastAsia="黑体"/>
        <w:b/>
        <w:i w:val="0"/>
        <w:sz w:val="21"/>
      </w:rPr>
    </w:lvl>
    <w:lvl w:ilvl="6" w:tentative="0">
      <w:start w:val="1"/>
      <w:numFmt w:val="decimal"/>
      <w:suff w:val="nothing"/>
      <w:lvlText w:val="%1.%2.%3.%4.%5.%6.%7　"/>
      <w:lvlJc w:val="left"/>
      <w:pPr>
        <w:ind w:left="0" w:firstLine="0"/>
      </w:pPr>
      <w:rPr>
        <w:rFonts w:hint="eastAsia" w:ascii="黑体" w:hAnsi="Times New Roman" w:eastAsia="黑体"/>
        <w:b/>
        <w:i w:val="0"/>
        <w:sz w:val="21"/>
      </w:rPr>
    </w:lvl>
    <w:lvl w:ilvl="7" w:tentative="0">
      <w:start w:val="1"/>
      <w:numFmt w:val="none"/>
      <w:lvlRestart w:val="1"/>
      <w:lvlText w:val="表 %1."/>
      <w:lvlJc w:val="left"/>
      <w:pPr>
        <w:tabs>
          <w:tab w:val="left" w:pos="720"/>
        </w:tabs>
        <w:ind w:left="0" w:firstLine="0"/>
      </w:pPr>
      <w:rPr>
        <w:rFonts w:hint="eastAsia" w:ascii="黑体" w:eastAsia="黑体"/>
        <w:b/>
        <w:i w:val="0"/>
        <w:sz w:val="20"/>
      </w:rPr>
    </w:lvl>
    <w:lvl w:ilvl="8" w:tentative="0">
      <w:start w:val="1"/>
      <w:numFmt w:val="none"/>
      <w:lvlRestart w:val="1"/>
      <w:lvlText w:val="图 %1."/>
      <w:lvlJc w:val="left"/>
      <w:pPr>
        <w:tabs>
          <w:tab w:val="left" w:pos="720"/>
        </w:tabs>
        <w:ind w:left="0" w:firstLine="0"/>
      </w:pPr>
      <w:rPr>
        <w:rFonts w:hint="eastAsia" w:ascii="黑体" w:eastAsia="黑体"/>
        <w:b/>
        <w:i w:val="0"/>
        <w:sz w:val="20"/>
      </w:rPr>
    </w:lvl>
  </w:abstractNum>
  <w:abstractNum w:abstractNumId="4">
    <w:nsid w:val="159116D5"/>
    <w:multiLevelType w:val="multilevel"/>
    <w:tmpl w:val="159116D5"/>
    <w:lvl w:ilvl="0" w:tentative="0">
      <w:start w:val="1"/>
      <w:numFmt w:val="lowerLetter"/>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5">
    <w:nsid w:val="2DCC1A06"/>
    <w:multiLevelType w:val="multilevel"/>
    <w:tmpl w:val="2DCC1A06"/>
    <w:lvl w:ilvl="0" w:tentative="0">
      <w:start w:val="1"/>
      <w:numFmt w:val="decimal"/>
      <w:lvlText w:val="%1"/>
      <w:lvlJc w:val="left"/>
      <w:pPr>
        <w:ind w:left="405" w:hanging="405"/>
      </w:pPr>
      <w:rPr>
        <w:rFonts w:hint="default"/>
        <w:b w:val="0"/>
        <w:sz w:val="15"/>
        <w:szCs w:val="15"/>
      </w:rPr>
    </w:lvl>
    <w:lvl w:ilvl="1" w:tentative="0">
      <w:start w:val="1"/>
      <w:numFmt w:val="decimal"/>
      <w:lvlText w:val="%1.%2"/>
      <w:lvlJc w:val="left"/>
      <w:pPr>
        <w:ind w:left="720" w:hanging="720"/>
      </w:pPr>
      <w:rPr>
        <w:rFonts w:hint="default"/>
      </w:rPr>
    </w:lvl>
    <w:lvl w:ilvl="2" w:tentative="0">
      <w:start w:val="1"/>
      <w:numFmt w:val="decimal"/>
      <w:lvlText w:val="4.%2.%3"/>
      <w:lvlJc w:val="left"/>
      <w:pPr>
        <w:ind w:left="720" w:hanging="720"/>
      </w:pPr>
      <w:rPr>
        <w:rFonts w:hint="default" w:ascii="宋体" w:hAnsi="宋体" w:eastAsia="宋体" w:cs="宋体"/>
        <w:b/>
        <w:sz w:val="24"/>
        <w:szCs w:val="24"/>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b/>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6">
    <w:nsid w:val="4A875B39"/>
    <w:multiLevelType w:val="multilevel"/>
    <w:tmpl w:val="4A875B39"/>
    <w:lvl w:ilvl="0" w:tentative="0">
      <w:start w:val="1"/>
      <w:numFmt w:val="decimal"/>
      <w:pStyle w:val="4"/>
      <w:lvlText w:val="%1"/>
      <w:lvlJc w:val="left"/>
      <w:pPr>
        <w:ind w:left="432" w:hanging="432"/>
      </w:pPr>
    </w:lvl>
    <w:lvl w:ilvl="1" w:tentative="0">
      <w:start w:val="1"/>
      <w:numFmt w:val="decimal"/>
      <w:pStyle w:val="5"/>
      <w:lvlText w:val="%1.%2"/>
      <w:lvlJc w:val="left"/>
      <w:pPr>
        <w:ind w:left="576" w:hanging="576"/>
      </w:pPr>
    </w:lvl>
    <w:lvl w:ilvl="2" w:tentative="0">
      <w:start w:val="1"/>
      <w:numFmt w:val="decimal"/>
      <w:pStyle w:val="6"/>
      <w:lvlText w:val="%1.%2.%3"/>
      <w:lvlJc w:val="left"/>
      <w:pPr>
        <w:ind w:left="720" w:hanging="720"/>
      </w:pPr>
    </w:lvl>
    <w:lvl w:ilvl="3" w:tentative="0">
      <w:start w:val="1"/>
      <w:numFmt w:val="decimal"/>
      <w:pStyle w:val="7"/>
      <w:lvlText w:val="%1.%2.%3.%4"/>
      <w:lvlJc w:val="left"/>
      <w:pPr>
        <w:ind w:left="864" w:hanging="864"/>
      </w:pPr>
    </w:lvl>
    <w:lvl w:ilvl="4" w:tentative="0">
      <w:start w:val="1"/>
      <w:numFmt w:val="decimal"/>
      <w:pStyle w:val="8"/>
      <w:lvlText w:val="%1.%2.%3.%4.%5"/>
      <w:lvlJc w:val="left"/>
      <w:pPr>
        <w:ind w:left="1008" w:hanging="1008"/>
      </w:pPr>
    </w:lvl>
    <w:lvl w:ilvl="5" w:tentative="0">
      <w:start w:val="1"/>
      <w:numFmt w:val="decimal"/>
      <w:pStyle w:val="9"/>
      <w:lvlText w:val="%1.%2.%3.%4.%5.%6"/>
      <w:lvlJc w:val="left"/>
      <w:pPr>
        <w:ind w:left="1152" w:hanging="1152"/>
      </w:pPr>
    </w:lvl>
    <w:lvl w:ilvl="6" w:tentative="0">
      <w:start w:val="1"/>
      <w:numFmt w:val="decimal"/>
      <w:pStyle w:val="10"/>
      <w:lvlText w:val="%1.%2.%3.%4.%5.%6.%7"/>
      <w:lvlJc w:val="left"/>
      <w:pPr>
        <w:ind w:left="1296" w:hanging="1296"/>
      </w:pPr>
    </w:lvl>
    <w:lvl w:ilvl="7" w:tentative="0">
      <w:start w:val="1"/>
      <w:numFmt w:val="decimal"/>
      <w:pStyle w:val="11"/>
      <w:lvlText w:val="%1.%2.%3.%4.%5.%6.%7.%8"/>
      <w:lvlJc w:val="left"/>
      <w:pPr>
        <w:ind w:left="1440" w:hanging="1440"/>
      </w:pPr>
    </w:lvl>
    <w:lvl w:ilvl="8" w:tentative="0">
      <w:start w:val="1"/>
      <w:numFmt w:val="decimal"/>
      <w:pStyle w:val="12"/>
      <w:lvlText w:val="%1.%2.%3.%4.%5.%6.%7.%8.%9"/>
      <w:lvlJc w:val="left"/>
      <w:pPr>
        <w:ind w:left="1584" w:hanging="1584"/>
      </w:pPr>
    </w:lvl>
  </w:abstractNum>
  <w:abstractNum w:abstractNumId="7">
    <w:nsid w:val="5B5D59E1"/>
    <w:multiLevelType w:val="multilevel"/>
    <w:tmpl w:val="5B5D59E1"/>
    <w:lvl w:ilvl="0" w:tentative="0">
      <w:start w:val="1"/>
      <w:numFmt w:val="decimal"/>
      <w:pStyle w:val="76"/>
      <w:lvlText w:val="%1"/>
      <w:lvlJc w:val="left"/>
      <w:pPr>
        <w:ind w:left="715" w:hanging="432"/>
      </w:pPr>
      <w:rPr>
        <w:rFonts w:hint="default" w:ascii="Arial" w:hAnsi="Arial" w:cs="Arial"/>
      </w:rPr>
    </w:lvl>
    <w:lvl w:ilvl="1" w:tentative="0">
      <w:start w:val="1"/>
      <w:numFmt w:val="decimal"/>
      <w:pStyle w:val="74"/>
      <w:lvlText w:val="%1.%2"/>
      <w:lvlJc w:val="left"/>
      <w:pPr>
        <w:ind w:left="576" w:hanging="576"/>
      </w:pPr>
      <w:rPr>
        <w:rFonts w:hint="default" w:ascii="Arial" w:hAnsi="Arial" w:cs="Arial"/>
      </w:rPr>
    </w:lvl>
    <w:lvl w:ilvl="2" w:tentative="0">
      <w:start w:val="1"/>
      <w:numFmt w:val="decimal"/>
      <w:pStyle w:val="73"/>
      <w:lvlText w:val="%1.%2.%3"/>
      <w:lvlJc w:val="left"/>
      <w:pPr>
        <w:ind w:left="720" w:hanging="720"/>
      </w:pPr>
    </w:lvl>
    <w:lvl w:ilvl="3" w:tentative="0">
      <w:start w:val="1"/>
      <w:numFmt w:val="decimal"/>
      <w:pStyle w:val="72"/>
      <w:lvlText w:val="%1.%2.%3.%4"/>
      <w:lvlJc w:val="left"/>
      <w:pPr>
        <w:ind w:left="864" w:hanging="864"/>
      </w:pPr>
      <w:rPr>
        <w:rFonts w:hint="default" w:ascii="Arial" w:hAnsi="Arial" w:cs="Arial"/>
      </w:rPr>
    </w:lvl>
    <w:lvl w:ilvl="4" w:tentative="0">
      <w:start w:val="1"/>
      <w:numFmt w:val="decimal"/>
      <w:pStyle w:val="75"/>
      <w:lvlText w:val="%1.%2.%3.%4.%5"/>
      <w:lvlJc w:val="left"/>
      <w:pPr>
        <w:ind w:left="1008" w:hanging="1008"/>
      </w:pPr>
      <w:rPr>
        <w:rFonts w:hint="default" w:ascii="Arial" w:hAnsi="Arial" w:cs="Arial"/>
        <w:b w:val="0"/>
        <w:bCs w:val="0"/>
        <w:i w:val="0"/>
        <w:iCs w:val="0"/>
        <w:caps w:val="0"/>
        <w:smallCaps w:val="0"/>
        <w:strike w:val="0"/>
        <w:dstrike w:val="0"/>
        <w:outline w:val="0"/>
        <w:shadow w:val="0"/>
        <w:emboss w:val="0"/>
        <w:imprint w:val="0"/>
        <w:vanish w:val="0"/>
        <w:spacing w:val="0"/>
        <w:position w:val="0"/>
        <w:u w:val="none"/>
        <w:vertAlign w:val="baseline"/>
      </w:rPr>
    </w:lvl>
    <w:lvl w:ilvl="5" w:tentative="0">
      <w:start w:val="1"/>
      <w:numFmt w:val="decimal"/>
      <w:pStyle w:val="79"/>
      <w:lvlText w:val="%6、"/>
      <w:lvlJc w:val="left"/>
      <w:pPr>
        <w:ind w:left="1578" w:hanging="1152"/>
      </w:pPr>
      <w:rPr>
        <w:rFonts w:hint="eastAsia"/>
        <w:i w:val="0"/>
        <w:iCs w:val="0"/>
        <w:caps w:val="0"/>
        <w:smallCaps w:val="0"/>
        <w:strike w:val="0"/>
        <w:dstrike w:val="0"/>
        <w:outline w:val="0"/>
        <w:shadow w:val="0"/>
        <w:emboss w:val="0"/>
        <w:imprint w:val="0"/>
        <w:vanish w:val="0"/>
        <w:spacing w:val="0"/>
        <w:position w:val="0"/>
        <w:u w:val="none"/>
        <w:vertAlign w:val="baseline"/>
      </w:rPr>
    </w:lvl>
    <w:lvl w:ilvl="6" w:tentative="0">
      <w:start w:val="1"/>
      <w:numFmt w:val="decimal"/>
      <w:pStyle w:val="80"/>
      <w:lvlText w:val="%1.%2.%3.%4.%5.%6.%7"/>
      <w:lvlJc w:val="left"/>
      <w:pPr>
        <w:ind w:left="1296" w:hanging="1296"/>
      </w:pPr>
      <w:rPr>
        <w:rFonts w:hint="default" w:ascii="Arial" w:hAnsi="Arial" w:cs="Arial"/>
      </w:r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8">
    <w:nsid w:val="66FC247C"/>
    <w:multiLevelType w:val="multilevel"/>
    <w:tmpl w:val="66FC247C"/>
    <w:lvl w:ilvl="0" w:tentative="0">
      <w:start w:val="1"/>
      <w:numFmt w:val="lowerLetter"/>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6883480C"/>
    <w:multiLevelType w:val="multilevel"/>
    <w:tmpl w:val="6883480C"/>
    <w:lvl w:ilvl="0" w:tentative="0">
      <w:start w:val="1"/>
      <w:numFmt w:val="decimal"/>
      <w:pStyle w:val="77"/>
      <w:lvlText w:val="%1)"/>
      <w:lvlJc w:val="left"/>
      <w:pPr>
        <w:tabs>
          <w:tab w:val="left" w:pos="845"/>
        </w:tabs>
        <w:ind w:left="6" w:firstLine="420"/>
      </w:pPr>
      <w:rPr>
        <w:rFonts w:hint="eastAsia"/>
        <w:b w:val="0"/>
      </w:rPr>
    </w:lvl>
    <w:lvl w:ilvl="1" w:tentative="0">
      <w:start w:val="1"/>
      <w:numFmt w:val="lowerLetter"/>
      <w:pStyle w:val="78"/>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num w:numId="1">
    <w:abstractNumId w:val="6"/>
  </w:num>
  <w:num w:numId="2">
    <w:abstractNumId w:val="2"/>
  </w:num>
  <w:num w:numId="3">
    <w:abstractNumId w:val="3"/>
  </w:num>
  <w:num w:numId="4">
    <w:abstractNumId w:val="7"/>
  </w:num>
  <w:num w:numId="5">
    <w:abstractNumId w:val="9"/>
  </w:num>
  <w:num w:numId="6">
    <w:abstractNumId w:val="5"/>
  </w:num>
  <w:num w:numId="7">
    <w:abstractNumId w:val="4"/>
  </w:num>
  <w:num w:numId="8">
    <w:abstractNumId w:val="0"/>
  </w:num>
  <w:num w:numId="9">
    <w:abstractNumId w:val="1"/>
  </w:num>
  <w:num w:numId="10">
    <w:abstractNumId w:val="8"/>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0864"/>
    <w:rsid w:val="000146F9"/>
    <w:rsid w:val="00014CA4"/>
    <w:rsid w:val="00021DBF"/>
    <w:rsid w:val="00023234"/>
    <w:rsid w:val="0003131F"/>
    <w:rsid w:val="00064CC2"/>
    <w:rsid w:val="00085C4B"/>
    <w:rsid w:val="0008637E"/>
    <w:rsid w:val="0009679A"/>
    <w:rsid w:val="000A04FE"/>
    <w:rsid w:val="000A48EE"/>
    <w:rsid w:val="000B14F8"/>
    <w:rsid w:val="000B5141"/>
    <w:rsid w:val="000C6D6B"/>
    <w:rsid w:val="000E5E6A"/>
    <w:rsid w:val="000E7C85"/>
    <w:rsid w:val="000F5CAE"/>
    <w:rsid w:val="000F7D82"/>
    <w:rsid w:val="00103689"/>
    <w:rsid w:val="00117C24"/>
    <w:rsid w:val="001250B4"/>
    <w:rsid w:val="001361E2"/>
    <w:rsid w:val="001406CC"/>
    <w:rsid w:val="001519AC"/>
    <w:rsid w:val="00172A27"/>
    <w:rsid w:val="0017537E"/>
    <w:rsid w:val="0019498A"/>
    <w:rsid w:val="001C2B67"/>
    <w:rsid w:val="001C4E7D"/>
    <w:rsid w:val="001D2EA5"/>
    <w:rsid w:val="001E3BF2"/>
    <w:rsid w:val="00210ECD"/>
    <w:rsid w:val="00213B63"/>
    <w:rsid w:val="002260A1"/>
    <w:rsid w:val="00226C95"/>
    <w:rsid w:val="0022721F"/>
    <w:rsid w:val="00231375"/>
    <w:rsid w:val="002321ED"/>
    <w:rsid w:val="00233D1F"/>
    <w:rsid w:val="00237F71"/>
    <w:rsid w:val="002414FF"/>
    <w:rsid w:val="00244EBD"/>
    <w:rsid w:val="00254479"/>
    <w:rsid w:val="0025469C"/>
    <w:rsid w:val="00256478"/>
    <w:rsid w:val="002603A5"/>
    <w:rsid w:val="00261D25"/>
    <w:rsid w:val="00274DE9"/>
    <w:rsid w:val="00276447"/>
    <w:rsid w:val="00281C96"/>
    <w:rsid w:val="002A0AD1"/>
    <w:rsid w:val="002A38A1"/>
    <w:rsid w:val="002C37C9"/>
    <w:rsid w:val="002E635E"/>
    <w:rsid w:val="00310792"/>
    <w:rsid w:val="00313457"/>
    <w:rsid w:val="00313FE5"/>
    <w:rsid w:val="00314800"/>
    <w:rsid w:val="00316847"/>
    <w:rsid w:val="0032082B"/>
    <w:rsid w:val="003328F4"/>
    <w:rsid w:val="0034464E"/>
    <w:rsid w:val="003608D2"/>
    <w:rsid w:val="00361FF5"/>
    <w:rsid w:val="0038103B"/>
    <w:rsid w:val="003870D0"/>
    <w:rsid w:val="00390C99"/>
    <w:rsid w:val="0039630A"/>
    <w:rsid w:val="0039744A"/>
    <w:rsid w:val="003A0FAD"/>
    <w:rsid w:val="003B55B6"/>
    <w:rsid w:val="003B6133"/>
    <w:rsid w:val="003C20EA"/>
    <w:rsid w:val="003E1F6B"/>
    <w:rsid w:val="003E24E6"/>
    <w:rsid w:val="003E4B9B"/>
    <w:rsid w:val="003F6EBA"/>
    <w:rsid w:val="003F75DC"/>
    <w:rsid w:val="004012EB"/>
    <w:rsid w:val="0040317B"/>
    <w:rsid w:val="00404BBA"/>
    <w:rsid w:val="004127D8"/>
    <w:rsid w:val="00414C80"/>
    <w:rsid w:val="0041669B"/>
    <w:rsid w:val="00416DC5"/>
    <w:rsid w:val="00420735"/>
    <w:rsid w:val="00436CB7"/>
    <w:rsid w:val="00450485"/>
    <w:rsid w:val="0046339E"/>
    <w:rsid w:val="00464907"/>
    <w:rsid w:val="00472B5D"/>
    <w:rsid w:val="004759F1"/>
    <w:rsid w:val="00485448"/>
    <w:rsid w:val="004A1545"/>
    <w:rsid w:val="004A5559"/>
    <w:rsid w:val="004C4BFE"/>
    <w:rsid w:val="004E7A30"/>
    <w:rsid w:val="004F6FA9"/>
    <w:rsid w:val="00507DF3"/>
    <w:rsid w:val="00510D30"/>
    <w:rsid w:val="0051113B"/>
    <w:rsid w:val="00530DF3"/>
    <w:rsid w:val="00536C79"/>
    <w:rsid w:val="00543312"/>
    <w:rsid w:val="0055294C"/>
    <w:rsid w:val="0056552A"/>
    <w:rsid w:val="005666A3"/>
    <w:rsid w:val="00580B9C"/>
    <w:rsid w:val="0058424F"/>
    <w:rsid w:val="00585BA5"/>
    <w:rsid w:val="005872B0"/>
    <w:rsid w:val="005922FD"/>
    <w:rsid w:val="00594D77"/>
    <w:rsid w:val="005A3925"/>
    <w:rsid w:val="005C49E7"/>
    <w:rsid w:val="005D0A26"/>
    <w:rsid w:val="005D25FA"/>
    <w:rsid w:val="005D423B"/>
    <w:rsid w:val="005E3C42"/>
    <w:rsid w:val="005E6027"/>
    <w:rsid w:val="005F3F43"/>
    <w:rsid w:val="005F46F9"/>
    <w:rsid w:val="006014EF"/>
    <w:rsid w:val="00621A97"/>
    <w:rsid w:val="00634C2F"/>
    <w:rsid w:val="006436DF"/>
    <w:rsid w:val="00652212"/>
    <w:rsid w:val="0065276D"/>
    <w:rsid w:val="00653BC1"/>
    <w:rsid w:val="00654F09"/>
    <w:rsid w:val="0065747F"/>
    <w:rsid w:val="00670474"/>
    <w:rsid w:val="00677B22"/>
    <w:rsid w:val="00685FCE"/>
    <w:rsid w:val="00695252"/>
    <w:rsid w:val="00696958"/>
    <w:rsid w:val="006A79BE"/>
    <w:rsid w:val="006B359F"/>
    <w:rsid w:val="006B4804"/>
    <w:rsid w:val="006C1001"/>
    <w:rsid w:val="006C515E"/>
    <w:rsid w:val="006D68A3"/>
    <w:rsid w:val="00702D7A"/>
    <w:rsid w:val="00705307"/>
    <w:rsid w:val="00711E21"/>
    <w:rsid w:val="00727B64"/>
    <w:rsid w:val="00727D9E"/>
    <w:rsid w:val="00736000"/>
    <w:rsid w:val="00736AB1"/>
    <w:rsid w:val="00742752"/>
    <w:rsid w:val="00743E01"/>
    <w:rsid w:val="007558EC"/>
    <w:rsid w:val="00764B1D"/>
    <w:rsid w:val="00783C70"/>
    <w:rsid w:val="00793063"/>
    <w:rsid w:val="007A1E3F"/>
    <w:rsid w:val="007B2E6B"/>
    <w:rsid w:val="007B48CF"/>
    <w:rsid w:val="007C495F"/>
    <w:rsid w:val="007D0569"/>
    <w:rsid w:val="007D7698"/>
    <w:rsid w:val="007E1A5D"/>
    <w:rsid w:val="007E2F56"/>
    <w:rsid w:val="007E311B"/>
    <w:rsid w:val="007E65AC"/>
    <w:rsid w:val="007F267A"/>
    <w:rsid w:val="007F4B59"/>
    <w:rsid w:val="0080301C"/>
    <w:rsid w:val="00803951"/>
    <w:rsid w:val="00804F3F"/>
    <w:rsid w:val="00806EBA"/>
    <w:rsid w:val="008146A8"/>
    <w:rsid w:val="00820E41"/>
    <w:rsid w:val="008253B0"/>
    <w:rsid w:val="0083285C"/>
    <w:rsid w:val="00834F15"/>
    <w:rsid w:val="00844586"/>
    <w:rsid w:val="00846C8B"/>
    <w:rsid w:val="00864826"/>
    <w:rsid w:val="008664DC"/>
    <w:rsid w:val="00876410"/>
    <w:rsid w:val="00891583"/>
    <w:rsid w:val="008920E4"/>
    <w:rsid w:val="008A0785"/>
    <w:rsid w:val="008A0CBB"/>
    <w:rsid w:val="008A1BA3"/>
    <w:rsid w:val="008B2B6E"/>
    <w:rsid w:val="008B31CA"/>
    <w:rsid w:val="008B685F"/>
    <w:rsid w:val="008C2DEB"/>
    <w:rsid w:val="008C64FB"/>
    <w:rsid w:val="008D6031"/>
    <w:rsid w:val="008F6DDC"/>
    <w:rsid w:val="009021AA"/>
    <w:rsid w:val="00916217"/>
    <w:rsid w:val="00920D8B"/>
    <w:rsid w:val="0092280C"/>
    <w:rsid w:val="00924CCE"/>
    <w:rsid w:val="00930F79"/>
    <w:rsid w:val="00933D85"/>
    <w:rsid w:val="00944043"/>
    <w:rsid w:val="009537CE"/>
    <w:rsid w:val="009618A5"/>
    <w:rsid w:val="00972918"/>
    <w:rsid w:val="009736DA"/>
    <w:rsid w:val="00987229"/>
    <w:rsid w:val="00990EA3"/>
    <w:rsid w:val="009A31B9"/>
    <w:rsid w:val="009A6EFE"/>
    <w:rsid w:val="009B1128"/>
    <w:rsid w:val="009B6532"/>
    <w:rsid w:val="009C0FDF"/>
    <w:rsid w:val="009C6864"/>
    <w:rsid w:val="009D70A2"/>
    <w:rsid w:val="009E360C"/>
    <w:rsid w:val="009F6B37"/>
    <w:rsid w:val="00A016ED"/>
    <w:rsid w:val="00A15A7D"/>
    <w:rsid w:val="00A1797E"/>
    <w:rsid w:val="00A2022C"/>
    <w:rsid w:val="00A2160C"/>
    <w:rsid w:val="00A24F97"/>
    <w:rsid w:val="00A264BC"/>
    <w:rsid w:val="00A41364"/>
    <w:rsid w:val="00A56206"/>
    <w:rsid w:val="00A70195"/>
    <w:rsid w:val="00A7484B"/>
    <w:rsid w:val="00A76199"/>
    <w:rsid w:val="00A905C6"/>
    <w:rsid w:val="00A93F48"/>
    <w:rsid w:val="00A94263"/>
    <w:rsid w:val="00AB0EAB"/>
    <w:rsid w:val="00AB4359"/>
    <w:rsid w:val="00AB44FE"/>
    <w:rsid w:val="00AC19AF"/>
    <w:rsid w:val="00AD5290"/>
    <w:rsid w:val="00AE5A7A"/>
    <w:rsid w:val="00B32E72"/>
    <w:rsid w:val="00B33B5F"/>
    <w:rsid w:val="00B460A2"/>
    <w:rsid w:val="00B60385"/>
    <w:rsid w:val="00B63769"/>
    <w:rsid w:val="00B7435F"/>
    <w:rsid w:val="00B76D43"/>
    <w:rsid w:val="00B7775D"/>
    <w:rsid w:val="00B82A4D"/>
    <w:rsid w:val="00B840A5"/>
    <w:rsid w:val="00B97ED6"/>
    <w:rsid w:val="00BA4401"/>
    <w:rsid w:val="00BA7C7B"/>
    <w:rsid w:val="00BB4664"/>
    <w:rsid w:val="00BC07D6"/>
    <w:rsid w:val="00BD2E99"/>
    <w:rsid w:val="00BD3040"/>
    <w:rsid w:val="00BD5E95"/>
    <w:rsid w:val="00BD7ABB"/>
    <w:rsid w:val="00BF58E9"/>
    <w:rsid w:val="00BF62B1"/>
    <w:rsid w:val="00C1524E"/>
    <w:rsid w:val="00C37FBD"/>
    <w:rsid w:val="00C447D8"/>
    <w:rsid w:val="00C92B1C"/>
    <w:rsid w:val="00C93A26"/>
    <w:rsid w:val="00CA674E"/>
    <w:rsid w:val="00CB42DD"/>
    <w:rsid w:val="00CC24F6"/>
    <w:rsid w:val="00CF380B"/>
    <w:rsid w:val="00CF4C59"/>
    <w:rsid w:val="00D0481B"/>
    <w:rsid w:val="00D05BBE"/>
    <w:rsid w:val="00D13389"/>
    <w:rsid w:val="00D2358A"/>
    <w:rsid w:val="00D44C86"/>
    <w:rsid w:val="00D45DB1"/>
    <w:rsid w:val="00D51E22"/>
    <w:rsid w:val="00D53575"/>
    <w:rsid w:val="00D54D24"/>
    <w:rsid w:val="00D710BD"/>
    <w:rsid w:val="00D73144"/>
    <w:rsid w:val="00D73BFE"/>
    <w:rsid w:val="00D81A30"/>
    <w:rsid w:val="00D8693A"/>
    <w:rsid w:val="00D8747B"/>
    <w:rsid w:val="00DA12E5"/>
    <w:rsid w:val="00DA4AEA"/>
    <w:rsid w:val="00DA5CB2"/>
    <w:rsid w:val="00DA6863"/>
    <w:rsid w:val="00DC33FF"/>
    <w:rsid w:val="00DD0013"/>
    <w:rsid w:val="00DE4086"/>
    <w:rsid w:val="00DE4E45"/>
    <w:rsid w:val="00DF344B"/>
    <w:rsid w:val="00DF745C"/>
    <w:rsid w:val="00E12519"/>
    <w:rsid w:val="00E21417"/>
    <w:rsid w:val="00E26C2B"/>
    <w:rsid w:val="00E27784"/>
    <w:rsid w:val="00E44CA8"/>
    <w:rsid w:val="00E52868"/>
    <w:rsid w:val="00E52E37"/>
    <w:rsid w:val="00E639F0"/>
    <w:rsid w:val="00E725DB"/>
    <w:rsid w:val="00E73365"/>
    <w:rsid w:val="00E7437D"/>
    <w:rsid w:val="00E906F4"/>
    <w:rsid w:val="00EA3C6C"/>
    <w:rsid w:val="00EA731D"/>
    <w:rsid w:val="00EA7606"/>
    <w:rsid w:val="00EB24B6"/>
    <w:rsid w:val="00EE7B27"/>
    <w:rsid w:val="00EF598C"/>
    <w:rsid w:val="00EF5B3E"/>
    <w:rsid w:val="00EF5D48"/>
    <w:rsid w:val="00EF7DD8"/>
    <w:rsid w:val="00F14015"/>
    <w:rsid w:val="00F1550B"/>
    <w:rsid w:val="00F22D81"/>
    <w:rsid w:val="00F25151"/>
    <w:rsid w:val="00F30248"/>
    <w:rsid w:val="00F54B96"/>
    <w:rsid w:val="00F559FB"/>
    <w:rsid w:val="00F754E8"/>
    <w:rsid w:val="00F7676C"/>
    <w:rsid w:val="00F906F6"/>
    <w:rsid w:val="00F968E1"/>
    <w:rsid w:val="00F97000"/>
    <w:rsid w:val="00FB11E4"/>
    <w:rsid w:val="00FC3B3D"/>
    <w:rsid w:val="00FE46D4"/>
    <w:rsid w:val="00FF132D"/>
    <w:rsid w:val="00FF1C33"/>
    <w:rsid w:val="00FF4B09"/>
    <w:rsid w:val="019B4BD6"/>
    <w:rsid w:val="01AF2685"/>
    <w:rsid w:val="038A71FC"/>
    <w:rsid w:val="03D03996"/>
    <w:rsid w:val="04215D32"/>
    <w:rsid w:val="061B58D1"/>
    <w:rsid w:val="063271B8"/>
    <w:rsid w:val="07215189"/>
    <w:rsid w:val="0983518C"/>
    <w:rsid w:val="0A650E2D"/>
    <w:rsid w:val="0C0174D2"/>
    <w:rsid w:val="0D4746A5"/>
    <w:rsid w:val="0F243B6A"/>
    <w:rsid w:val="132B52B2"/>
    <w:rsid w:val="138C608A"/>
    <w:rsid w:val="17795B17"/>
    <w:rsid w:val="17F25985"/>
    <w:rsid w:val="1809606C"/>
    <w:rsid w:val="199B4A27"/>
    <w:rsid w:val="19A20258"/>
    <w:rsid w:val="1A1F2DF8"/>
    <w:rsid w:val="1A8959E4"/>
    <w:rsid w:val="1BE13AD3"/>
    <w:rsid w:val="1D013DF0"/>
    <w:rsid w:val="2165502B"/>
    <w:rsid w:val="21686C07"/>
    <w:rsid w:val="21A8559E"/>
    <w:rsid w:val="22011213"/>
    <w:rsid w:val="2315443B"/>
    <w:rsid w:val="239478CC"/>
    <w:rsid w:val="25561C07"/>
    <w:rsid w:val="25A2443C"/>
    <w:rsid w:val="26D65836"/>
    <w:rsid w:val="272B13C4"/>
    <w:rsid w:val="285E13D6"/>
    <w:rsid w:val="290B7FDB"/>
    <w:rsid w:val="297A6C74"/>
    <w:rsid w:val="2A1C57BB"/>
    <w:rsid w:val="2A591019"/>
    <w:rsid w:val="2B5858B3"/>
    <w:rsid w:val="2B870F5A"/>
    <w:rsid w:val="2C2A61C0"/>
    <w:rsid w:val="2D7314E6"/>
    <w:rsid w:val="2D7B09E6"/>
    <w:rsid w:val="2EED584C"/>
    <w:rsid w:val="2F790E13"/>
    <w:rsid w:val="312E5558"/>
    <w:rsid w:val="33E76A72"/>
    <w:rsid w:val="363B6973"/>
    <w:rsid w:val="36695919"/>
    <w:rsid w:val="38914F08"/>
    <w:rsid w:val="38C8352A"/>
    <w:rsid w:val="3A22294F"/>
    <w:rsid w:val="3AC10C0D"/>
    <w:rsid w:val="3AFC0881"/>
    <w:rsid w:val="3C2B2F81"/>
    <w:rsid w:val="3D657A83"/>
    <w:rsid w:val="3E4A62FD"/>
    <w:rsid w:val="3E602B5C"/>
    <w:rsid w:val="3F3B253D"/>
    <w:rsid w:val="3F695319"/>
    <w:rsid w:val="3F6F742C"/>
    <w:rsid w:val="4093743A"/>
    <w:rsid w:val="418E2182"/>
    <w:rsid w:val="41D100D3"/>
    <w:rsid w:val="43D22740"/>
    <w:rsid w:val="44400073"/>
    <w:rsid w:val="44F87E26"/>
    <w:rsid w:val="45507640"/>
    <w:rsid w:val="45A3515E"/>
    <w:rsid w:val="46D109BC"/>
    <w:rsid w:val="490E6116"/>
    <w:rsid w:val="49A51FB8"/>
    <w:rsid w:val="4A392080"/>
    <w:rsid w:val="4A58146B"/>
    <w:rsid w:val="4AA53C49"/>
    <w:rsid w:val="4ACE4981"/>
    <w:rsid w:val="4B294CD6"/>
    <w:rsid w:val="4B4E2B12"/>
    <w:rsid w:val="4B5D5E7D"/>
    <w:rsid w:val="4BE6753A"/>
    <w:rsid w:val="4C520D7A"/>
    <w:rsid w:val="4C6C7D2A"/>
    <w:rsid w:val="4DC9145C"/>
    <w:rsid w:val="4E827832"/>
    <w:rsid w:val="4EBF7823"/>
    <w:rsid w:val="4F167752"/>
    <w:rsid w:val="4F303F0A"/>
    <w:rsid w:val="4FCE6E87"/>
    <w:rsid w:val="5028628C"/>
    <w:rsid w:val="53A953A7"/>
    <w:rsid w:val="54732C5D"/>
    <w:rsid w:val="556F6815"/>
    <w:rsid w:val="57DC1D40"/>
    <w:rsid w:val="5A607DDD"/>
    <w:rsid w:val="5B52235B"/>
    <w:rsid w:val="5BDC08B8"/>
    <w:rsid w:val="5DC95838"/>
    <w:rsid w:val="5F4E72D8"/>
    <w:rsid w:val="5F86300E"/>
    <w:rsid w:val="5F8C3795"/>
    <w:rsid w:val="621C5431"/>
    <w:rsid w:val="623766E7"/>
    <w:rsid w:val="64A655B5"/>
    <w:rsid w:val="66942A62"/>
    <w:rsid w:val="66A777D1"/>
    <w:rsid w:val="67BD0D12"/>
    <w:rsid w:val="683A7064"/>
    <w:rsid w:val="689E6A3E"/>
    <w:rsid w:val="69F933E5"/>
    <w:rsid w:val="6BC35C63"/>
    <w:rsid w:val="6BEA677C"/>
    <w:rsid w:val="6D2E2184"/>
    <w:rsid w:val="6D616990"/>
    <w:rsid w:val="6F8E27DA"/>
    <w:rsid w:val="6F9218C0"/>
    <w:rsid w:val="730D365B"/>
    <w:rsid w:val="73595479"/>
    <w:rsid w:val="73A0177B"/>
    <w:rsid w:val="73B0396B"/>
    <w:rsid w:val="7414396B"/>
    <w:rsid w:val="781C34FB"/>
    <w:rsid w:val="7A982750"/>
    <w:rsid w:val="7C381CB5"/>
    <w:rsid w:val="7D481696"/>
    <w:rsid w:val="7E812B13"/>
    <w:rsid w:val="7FB56E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Calibri" w:eastAsia="宋体" w:cs="Times New Roman"/>
      <w:kern w:val="2"/>
      <w:sz w:val="24"/>
      <w:szCs w:val="24"/>
      <w:lang w:val="en-US" w:eastAsia="zh-CN" w:bidi="ar-SA"/>
    </w:rPr>
  </w:style>
  <w:style w:type="paragraph" w:styleId="4">
    <w:name w:val="heading 1"/>
    <w:basedOn w:val="1"/>
    <w:next w:val="1"/>
    <w:link w:val="66"/>
    <w:qFormat/>
    <w:uiPriority w:val="0"/>
    <w:pPr>
      <w:keepNext/>
      <w:keepLines/>
      <w:numPr>
        <w:ilvl w:val="0"/>
        <w:numId w:val="1"/>
      </w:numPr>
      <w:outlineLvl w:val="0"/>
    </w:pPr>
    <w:rPr>
      <w:b/>
      <w:bCs/>
      <w:kern w:val="44"/>
      <w:szCs w:val="44"/>
    </w:rPr>
  </w:style>
  <w:style w:type="paragraph" w:styleId="5">
    <w:name w:val="heading 2"/>
    <w:basedOn w:val="1"/>
    <w:next w:val="1"/>
    <w:link w:val="52"/>
    <w:qFormat/>
    <w:uiPriority w:val="0"/>
    <w:pPr>
      <w:keepNext/>
      <w:keepLines/>
      <w:numPr>
        <w:ilvl w:val="1"/>
        <w:numId w:val="1"/>
      </w:numPr>
      <w:outlineLvl w:val="1"/>
    </w:pPr>
    <w:rPr>
      <w:rFonts w:hAnsi="Arial"/>
      <w:b/>
      <w:bCs/>
      <w:szCs w:val="32"/>
    </w:rPr>
  </w:style>
  <w:style w:type="paragraph" w:styleId="6">
    <w:name w:val="heading 3"/>
    <w:basedOn w:val="1"/>
    <w:next w:val="1"/>
    <w:link w:val="85"/>
    <w:qFormat/>
    <w:uiPriority w:val="0"/>
    <w:pPr>
      <w:keepNext/>
      <w:keepLines/>
      <w:numPr>
        <w:ilvl w:val="2"/>
        <w:numId w:val="1"/>
      </w:numPr>
      <w:spacing w:line="415" w:lineRule="auto"/>
      <w:outlineLvl w:val="2"/>
    </w:pPr>
    <w:rPr>
      <w:b/>
      <w:bCs/>
      <w:sz w:val="21"/>
      <w:szCs w:val="32"/>
    </w:rPr>
  </w:style>
  <w:style w:type="paragraph" w:styleId="7">
    <w:name w:val="heading 4"/>
    <w:basedOn w:val="1"/>
    <w:next w:val="1"/>
    <w:link w:val="60"/>
    <w:qFormat/>
    <w:uiPriority w:val="0"/>
    <w:pPr>
      <w:keepNext/>
      <w:keepLines/>
      <w:numPr>
        <w:ilvl w:val="3"/>
        <w:numId w:val="1"/>
      </w:numPr>
      <w:outlineLvl w:val="3"/>
    </w:pPr>
    <w:rPr>
      <w:rFonts w:ascii="Times New Roman" w:hAnsi="Times New Roman"/>
      <w:b/>
      <w:bCs/>
      <w:sz w:val="21"/>
      <w:szCs w:val="28"/>
    </w:rPr>
  </w:style>
  <w:style w:type="paragraph" w:styleId="8">
    <w:name w:val="heading 5"/>
    <w:basedOn w:val="1"/>
    <w:next w:val="1"/>
    <w:link w:val="55"/>
    <w:qFormat/>
    <w:uiPriority w:val="0"/>
    <w:pPr>
      <w:keepNext/>
      <w:keepLines/>
      <w:numPr>
        <w:ilvl w:val="4"/>
        <w:numId w:val="1"/>
      </w:numPr>
      <w:spacing w:line="377" w:lineRule="auto"/>
      <w:ind w:left="1009" w:hanging="1009"/>
      <w:outlineLvl w:val="4"/>
    </w:pPr>
    <w:rPr>
      <w:rFonts w:ascii="Times New Roman" w:hAnsi="Times New Roman"/>
      <w:b/>
      <w:bCs/>
      <w:sz w:val="21"/>
      <w:szCs w:val="28"/>
    </w:rPr>
  </w:style>
  <w:style w:type="paragraph" w:styleId="9">
    <w:name w:val="heading 6"/>
    <w:basedOn w:val="1"/>
    <w:next w:val="1"/>
    <w:link w:val="49"/>
    <w:qFormat/>
    <w:uiPriority w:val="0"/>
    <w:pPr>
      <w:keepNext/>
      <w:keepLines/>
      <w:numPr>
        <w:ilvl w:val="5"/>
        <w:numId w:val="1"/>
      </w:numPr>
      <w:spacing w:before="240" w:after="64" w:line="320" w:lineRule="auto"/>
      <w:outlineLvl w:val="5"/>
    </w:pPr>
    <w:rPr>
      <w:rFonts w:ascii="等线 Light" w:hAnsi="等线 Light" w:eastAsia="等线 Light"/>
      <w:b/>
      <w:bCs/>
    </w:rPr>
  </w:style>
  <w:style w:type="paragraph" w:styleId="10">
    <w:name w:val="heading 7"/>
    <w:basedOn w:val="1"/>
    <w:next w:val="1"/>
    <w:link w:val="64"/>
    <w:qFormat/>
    <w:uiPriority w:val="0"/>
    <w:pPr>
      <w:keepNext/>
      <w:keepLines/>
      <w:numPr>
        <w:ilvl w:val="6"/>
        <w:numId w:val="1"/>
      </w:numPr>
      <w:spacing w:before="240" w:after="64" w:line="320" w:lineRule="auto"/>
      <w:outlineLvl w:val="6"/>
    </w:pPr>
    <w:rPr>
      <w:b/>
      <w:bCs/>
    </w:rPr>
  </w:style>
  <w:style w:type="paragraph" w:styleId="11">
    <w:name w:val="heading 8"/>
    <w:basedOn w:val="1"/>
    <w:next w:val="1"/>
    <w:link w:val="54"/>
    <w:qFormat/>
    <w:uiPriority w:val="0"/>
    <w:pPr>
      <w:keepNext/>
      <w:keepLines/>
      <w:numPr>
        <w:ilvl w:val="7"/>
        <w:numId w:val="1"/>
      </w:numPr>
      <w:spacing w:before="240" w:after="64" w:line="320" w:lineRule="auto"/>
      <w:outlineLvl w:val="7"/>
    </w:pPr>
    <w:rPr>
      <w:rFonts w:ascii="等线 Light" w:hAnsi="等线 Light" w:eastAsia="等线 Light"/>
    </w:rPr>
  </w:style>
  <w:style w:type="paragraph" w:styleId="12">
    <w:name w:val="heading 9"/>
    <w:basedOn w:val="1"/>
    <w:next w:val="1"/>
    <w:link w:val="57"/>
    <w:qFormat/>
    <w:uiPriority w:val="0"/>
    <w:pPr>
      <w:keepNext/>
      <w:keepLines/>
      <w:numPr>
        <w:ilvl w:val="8"/>
        <w:numId w:val="1"/>
      </w:numPr>
      <w:spacing w:before="240" w:after="64" w:line="320" w:lineRule="auto"/>
      <w:outlineLvl w:val="8"/>
    </w:pPr>
    <w:rPr>
      <w:rFonts w:ascii="等线 Light" w:hAnsi="等线 Light" w:eastAsia="等线 Light"/>
      <w:sz w:val="21"/>
      <w:szCs w:val="21"/>
    </w:rPr>
  </w:style>
  <w:style w:type="character" w:default="1" w:styleId="26">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kern w:val="0"/>
    </w:rPr>
  </w:style>
  <w:style w:type="paragraph" w:styleId="3">
    <w:name w:val="Title"/>
    <w:basedOn w:val="1"/>
    <w:next w:val="1"/>
    <w:qFormat/>
    <w:uiPriority w:val="99"/>
    <w:pPr>
      <w:widowControl/>
      <w:pBdr>
        <w:bottom w:val="single" w:color="4F81BD" w:sz="8" w:space="4"/>
      </w:pBdr>
      <w:spacing w:after="300" w:line="240" w:lineRule="auto"/>
      <w:contextualSpacing/>
      <w:jc w:val="left"/>
    </w:pPr>
    <w:rPr>
      <w:rFonts w:ascii="Cambria" w:hAnsi="Cambria"/>
      <w:color w:val="17365D"/>
      <w:spacing w:val="5"/>
      <w:kern w:val="28"/>
      <w:sz w:val="52"/>
      <w:szCs w:val="52"/>
      <w:lang w:eastAsia="en-US" w:bidi="en-US"/>
    </w:rPr>
  </w:style>
  <w:style w:type="paragraph" w:styleId="13">
    <w:name w:val="Normal Indent"/>
    <w:basedOn w:val="1"/>
    <w:link w:val="51"/>
    <w:qFormat/>
    <w:uiPriority w:val="0"/>
    <w:pPr>
      <w:ind w:firstLine="420" w:firstLineChars="200"/>
    </w:pPr>
    <w:rPr>
      <w:rFonts w:ascii="Times New Roman"/>
      <w:sz w:val="21"/>
    </w:rPr>
  </w:style>
  <w:style w:type="paragraph" w:styleId="14">
    <w:name w:val="caption"/>
    <w:basedOn w:val="1"/>
    <w:next w:val="1"/>
    <w:qFormat/>
    <w:uiPriority w:val="0"/>
    <w:pPr>
      <w:spacing w:before="152" w:after="160" w:line="240" w:lineRule="auto"/>
    </w:pPr>
    <w:rPr>
      <w:rFonts w:ascii="Arial" w:hAnsi="Arial" w:eastAsia="黑体" w:cs="Arial"/>
      <w:sz w:val="20"/>
      <w:szCs w:val="20"/>
    </w:rPr>
  </w:style>
  <w:style w:type="paragraph" w:styleId="15">
    <w:name w:val="Document Map"/>
    <w:basedOn w:val="1"/>
    <w:qFormat/>
    <w:uiPriority w:val="0"/>
    <w:pPr>
      <w:spacing w:line="240" w:lineRule="auto"/>
    </w:pPr>
    <w:rPr>
      <w:sz w:val="18"/>
      <w:szCs w:val="18"/>
    </w:rPr>
  </w:style>
  <w:style w:type="paragraph" w:styleId="16">
    <w:name w:val="annotation text"/>
    <w:basedOn w:val="1"/>
    <w:link w:val="67"/>
    <w:qFormat/>
    <w:uiPriority w:val="0"/>
    <w:pPr>
      <w:jc w:val="left"/>
    </w:pPr>
  </w:style>
  <w:style w:type="paragraph" w:styleId="17">
    <w:name w:val="Plain Text"/>
    <w:basedOn w:val="1"/>
    <w:link w:val="63"/>
    <w:qFormat/>
    <w:uiPriority w:val="0"/>
    <w:pPr>
      <w:spacing w:line="240" w:lineRule="auto"/>
    </w:pPr>
    <w:rPr>
      <w:rFonts w:hAnsi="Courier New" w:cs="Courier New"/>
      <w:sz w:val="21"/>
      <w:szCs w:val="21"/>
    </w:rPr>
  </w:style>
  <w:style w:type="paragraph" w:styleId="18">
    <w:name w:val="Balloon Text"/>
    <w:basedOn w:val="1"/>
    <w:link w:val="65"/>
    <w:qFormat/>
    <w:uiPriority w:val="0"/>
    <w:pPr>
      <w:spacing w:line="240" w:lineRule="auto"/>
    </w:pPr>
    <w:rPr>
      <w:sz w:val="18"/>
      <w:szCs w:val="18"/>
    </w:rPr>
  </w:style>
  <w:style w:type="paragraph" w:styleId="19">
    <w:name w:val="footer"/>
    <w:basedOn w:val="1"/>
    <w:link w:val="53"/>
    <w:qFormat/>
    <w:uiPriority w:val="0"/>
    <w:pPr>
      <w:tabs>
        <w:tab w:val="center" w:pos="4153"/>
        <w:tab w:val="right" w:pos="8306"/>
      </w:tabs>
      <w:snapToGrid w:val="0"/>
      <w:spacing w:line="240" w:lineRule="auto"/>
      <w:jc w:val="left"/>
    </w:pPr>
    <w:rPr>
      <w:sz w:val="18"/>
      <w:szCs w:val="18"/>
    </w:rPr>
  </w:style>
  <w:style w:type="paragraph" w:styleId="20">
    <w:name w:val="header"/>
    <w:basedOn w:val="1"/>
    <w:link w:val="61"/>
    <w:qFormat/>
    <w:uiPriority w:val="0"/>
    <w:pPr>
      <w:pBdr>
        <w:bottom w:val="single" w:color="auto" w:sz="6" w:space="1"/>
      </w:pBdr>
      <w:tabs>
        <w:tab w:val="center" w:pos="4153"/>
        <w:tab w:val="right" w:pos="8306"/>
      </w:tabs>
      <w:snapToGrid w:val="0"/>
      <w:spacing w:line="240" w:lineRule="auto"/>
      <w:jc w:val="center"/>
    </w:pPr>
    <w:rPr>
      <w:kern w:val="0"/>
      <w:sz w:val="18"/>
      <w:szCs w:val="18"/>
    </w:rPr>
  </w:style>
  <w:style w:type="paragraph" w:styleId="21">
    <w:name w:val="toc 1"/>
    <w:basedOn w:val="1"/>
    <w:next w:val="1"/>
    <w:qFormat/>
    <w:uiPriority w:val="39"/>
    <w:pPr>
      <w:tabs>
        <w:tab w:val="right" w:leader="dot" w:pos="8296"/>
      </w:tabs>
    </w:pPr>
  </w:style>
  <w:style w:type="paragraph" w:styleId="22">
    <w:name w:val="Normal (Web)"/>
    <w:basedOn w:val="1"/>
    <w:qFormat/>
    <w:uiPriority w:val="0"/>
  </w:style>
  <w:style w:type="paragraph" w:styleId="23">
    <w:name w:val="annotation subject"/>
    <w:basedOn w:val="16"/>
    <w:next w:val="16"/>
    <w:link w:val="68"/>
    <w:qFormat/>
    <w:uiPriority w:val="0"/>
    <w:rPr>
      <w:b/>
      <w:bCs/>
    </w:rPr>
  </w:style>
  <w:style w:type="paragraph" w:styleId="24">
    <w:name w:val="Body Text First Indent"/>
    <w:basedOn w:val="2"/>
    <w:unhideWhenUsed/>
    <w:qFormat/>
    <w:uiPriority w:val="0"/>
    <w:pPr>
      <w:ind w:firstLine="420" w:firstLineChars="100"/>
    </w:pPr>
  </w:style>
  <w:style w:type="character" w:styleId="27">
    <w:name w:val="Hyperlink"/>
    <w:qFormat/>
    <w:uiPriority w:val="99"/>
    <w:rPr>
      <w:color w:val="0000FF"/>
      <w:u w:val="single"/>
    </w:rPr>
  </w:style>
  <w:style w:type="character" w:styleId="28">
    <w:name w:val="annotation reference"/>
    <w:basedOn w:val="26"/>
    <w:qFormat/>
    <w:uiPriority w:val="0"/>
    <w:rPr>
      <w:sz w:val="21"/>
      <w:szCs w:val="21"/>
    </w:rPr>
  </w:style>
  <w:style w:type="paragraph" w:customStyle="1" w:styleId="2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0">
    <w:name w:val="文档正文"/>
    <w:basedOn w:val="13"/>
    <w:qFormat/>
    <w:uiPriority w:val="0"/>
    <w:pPr>
      <w:spacing w:beforeLines="50" w:afterLines="50"/>
      <w:ind w:firstLine="200"/>
    </w:pPr>
    <w:rPr>
      <w:sz w:val="24"/>
    </w:rPr>
  </w:style>
  <w:style w:type="paragraph" w:styleId="31">
    <w:name w:val="List Paragraph"/>
    <w:basedOn w:val="1"/>
    <w:link w:val="71"/>
    <w:qFormat/>
    <w:uiPriority w:val="99"/>
    <w:pPr>
      <w:ind w:firstLine="420" w:firstLineChars="200"/>
    </w:pPr>
  </w:style>
  <w:style w:type="paragraph" w:customStyle="1" w:styleId="32">
    <w:name w:val="彩色列表1"/>
    <w:basedOn w:val="1"/>
    <w:qFormat/>
    <w:uiPriority w:val="0"/>
    <w:pPr>
      <w:spacing w:line="240" w:lineRule="auto"/>
      <w:ind w:firstLine="420" w:firstLineChars="200"/>
    </w:pPr>
    <w:rPr>
      <w:rFonts w:ascii="Calibri"/>
      <w:sz w:val="28"/>
      <w:szCs w:val="22"/>
    </w:rPr>
  </w:style>
  <w:style w:type="paragraph" w:customStyle="1" w:styleId="33">
    <w:name w:val="章标题"/>
    <w:next w:val="34"/>
    <w:qFormat/>
    <w:uiPriority w:val="0"/>
    <w:pPr>
      <w:spacing w:before="156" w:beforeLines="50" w:after="156" w:afterLines="50"/>
      <w:jc w:val="both"/>
      <w:outlineLvl w:val="1"/>
    </w:pPr>
    <w:rPr>
      <w:rFonts w:ascii="黑体" w:hAnsi="Calibri" w:eastAsia="黑体" w:cs="Times New Roman"/>
      <w:sz w:val="21"/>
      <w:lang w:val="en-US" w:eastAsia="zh-CN" w:bidi="ar-SA"/>
    </w:rPr>
  </w:style>
  <w:style w:type="paragraph" w:customStyle="1" w:styleId="34">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35">
    <w:name w:val="二级条标题"/>
    <w:basedOn w:val="1"/>
    <w:next w:val="1"/>
    <w:link w:val="58"/>
    <w:qFormat/>
    <w:uiPriority w:val="0"/>
    <w:pPr>
      <w:widowControl/>
      <w:spacing w:line="240" w:lineRule="auto"/>
      <w:outlineLvl w:val="3"/>
    </w:pPr>
    <w:rPr>
      <w:rFonts w:ascii="黑体" w:hAnsi="黑体" w:eastAsia="黑体"/>
      <w:b/>
      <w:kern w:val="0"/>
      <w:sz w:val="21"/>
      <w:szCs w:val="20"/>
    </w:rPr>
  </w:style>
  <w:style w:type="paragraph" w:customStyle="1" w:styleId="36">
    <w:name w:val="正文-一体化"/>
    <w:basedOn w:val="1"/>
    <w:qFormat/>
    <w:uiPriority w:val="0"/>
    <w:pPr>
      <w:adjustRightInd w:val="0"/>
      <w:snapToGrid w:val="0"/>
      <w:ind w:firstLine="480"/>
    </w:pPr>
    <w:rPr>
      <w:kern w:val="0"/>
    </w:rPr>
  </w:style>
  <w:style w:type="paragraph" w:customStyle="1" w:styleId="37">
    <w:name w:val="样式 标题 2"/>
    <w:basedOn w:val="5"/>
    <w:qFormat/>
    <w:uiPriority w:val="0"/>
    <w:rPr>
      <w:b w:val="0"/>
      <w:bCs w:val="0"/>
    </w:rPr>
  </w:style>
  <w:style w:type="paragraph" w:customStyle="1" w:styleId="38">
    <w:name w:val="样式1"/>
    <w:basedOn w:val="1"/>
    <w:qFormat/>
    <w:uiPriority w:val="0"/>
    <w:pPr>
      <w:numPr>
        <w:ilvl w:val="2"/>
        <w:numId w:val="2"/>
      </w:numPr>
    </w:pPr>
  </w:style>
  <w:style w:type="paragraph" w:customStyle="1" w:styleId="39">
    <w:name w:val="标准书脚_奇数页"/>
    <w:unhideWhenUsed/>
    <w:qFormat/>
    <w:uiPriority w:val="0"/>
    <w:pPr>
      <w:spacing w:before="120"/>
      <w:ind w:right="198"/>
      <w:jc w:val="right"/>
    </w:pPr>
    <w:rPr>
      <w:rFonts w:hint="eastAsia" w:ascii="宋体" w:hAnsi="Times New Roman" w:eastAsia="宋体" w:cs="Times New Roman"/>
      <w:sz w:val="18"/>
      <w:lang w:val="en-US" w:eastAsia="zh-CN" w:bidi="ar-SA"/>
    </w:rPr>
  </w:style>
  <w:style w:type="paragraph" w:customStyle="1" w:styleId="40">
    <w:name w:val="标准书眉_奇数页"/>
    <w:next w:val="1"/>
    <w:unhideWhenUsed/>
    <w:qFormat/>
    <w:uiPriority w:val="0"/>
    <w:pPr>
      <w:tabs>
        <w:tab w:val="center" w:pos="4154"/>
        <w:tab w:val="right" w:pos="8306"/>
      </w:tabs>
      <w:spacing w:after="220"/>
      <w:jc w:val="right"/>
    </w:pPr>
    <w:rPr>
      <w:rFonts w:hint="eastAsia" w:ascii="黑体" w:hAnsi="Times New Roman" w:eastAsia="黑体" w:cs="Times New Roman"/>
      <w:sz w:val="21"/>
      <w:lang w:val="en-US" w:eastAsia="zh-CN" w:bidi="ar-SA"/>
    </w:rPr>
  </w:style>
  <w:style w:type="paragraph" w:customStyle="1" w:styleId="41">
    <w:name w:val="样式2"/>
    <w:basedOn w:val="1"/>
    <w:link w:val="50"/>
    <w:qFormat/>
    <w:uiPriority w:val="0"/>
    <w:pPr>
      <w:numPr>
        <w:ilvl w:val="3"/>
        <w:numId w:val="2"/>
      </w:numPr>
    </w:pPr>
    <w:rPr>
      <w:kern w:val="0"/>
    </w:rPr>
  </w:style>
  <w:style w:type="paragraph" w:customStyle="1" w:styleId="42">
    <w:name w:val="一级条标题"/>
    <w:basedOn w:val="33"/>
    <w:next w:val="34"/>
    <w:qFormat/>
    <w:uiPriority w:val="0"/>
    <w:pPr>
      <w:tabs>
        <w:tab w:val="left" w:pos="360"/>
      </w:tabs>
      <w:spacing w:before="0" w:beforeLines="0" w:after="0" w:afterLines="0"/>
      <w:ind w:left="360" w:hanging="360"/>
      <w:outlineLvl w:val="2"/>
    </w:pPr>
  </w:style>
  <w:style w:type="paragraph" w:customStyle="1" w:styleId="43">
    <w:name w:val="p15"/>
    <w:basedOn w:val="1"/>
    <w:qFormat/>
    <w:uiPriority w:val="0"/>
    <w:pPr>
      <w:widowControl/>
      <w:spacing w:before="240" w:after="60" w:line="240" w:lineRule="auto"/>
      <w:jc w:val="center"/>
    </w:pPr>
    <w:rPr>
      <w:rFonts w:ascii="Arial" w:hAnsi="Arial" w:cs="Arial"/>
      <w:b/>
      <w:bCs/>
      <w:kern w:val="0"/>
      <w:sz w:val="32"/>
      <w:szCs w:val="32"/>
    </w:rPr>
  </w:style>
  <w:style w:type="paragraph" w:customStyle="1" w:styleId="44">
    <w:name w:val="表内居中小五"/>
    <w:basedOn w:val="1"/>
    <w:link w:val="62"/>
    <w:qFormat/>
    <w:uiPriority w:val="0"/>
    <w:pPr>
      <w:spacing w:line="240" w:lineRule="auto"/>
      <w:jc w:val="center"/>
    </w:pPr>
    <w:rPr>
      <w:rFonts w:ascii="Times New Roman" w:cs="宋体"/>
      <w:sz w:val="18"/>
      <w:szCs w:val="18"/>
    </w:rPr>
  </w:style>
  <w:style w:type="paragraph" w:customStyle="1" w:styleId="45">
    <w:name w:val="首行缩进"/>
    <w:basedOn w:val="1"/>
    <w:link w:val="59"/>
    <w:qFormat/>
    <w:uiPriority w:val="0"/>
    <w:pPr>
      <w:spacing w:line="300" w:lineRule="auto"/>
      <w:ind w:firstLine="420" w:firstLineChars="200"/>
    </w:pPr>
    <w:rPr>
      <w:rFonts w:ascii="Times New Roman" w:eastAsia="方正书宋简体"/>
      <w:sz w:val="21"/>
      <w:szCs w:val="20"/>
    </w:rPr>
  </w:style>
  <w:style w:type="paragraph" w:customStyle="1" w:styleId="46">
    <w:name w:val="附录章标题"/>
    <w:next w:val="34"/>
    <w:qFormat/>
    <w:uiPriority w:val="0"/>
    <w:pPr>
      <w:numPr>
        <w:ilvl w:val="2"/>
        <w:numId w:val="3"/>
      </w:numPr>
      <w:wordWrap w:val="0"/>
      <w:overflowPunct w:val="0"/>
      <w:autoSpaceDE w:val="0"/>
      <w:spacing w:beforeLines="50" w:afterLines="50"/>
      <w:jc w:val="both"/>
      <w:textAlignment w:val="baseline"/>
      <w:outlineLvl w:val="1"/>
    </w:pPr>
    <w:rPr>
      <w:rFonts w:ascii="黑体" w:hAnsi="Times New Roman" w:eastAsia="黑体" w:cs="Times New Roman"/>
      <w:b/>
      <w:kern w:val="21"/>
      <w:sz w:val="21"/>
      <w:lang w:val="en-US" w:eastAsia="zh-CN" w:bidi="ar-SA"/>
    </w:rPr>
  </w:style>
  <w:style w:type="paragraph" w:customStyle="1" w:styleId="47">
    <w:name w:val="正文表标题"/>
    <w:next w:val="34"/>
    <w:qFormat/>
    <w:uiPriority w:val="0"/>
    <w:pPr>
      <w:numPr>
        <w:ilvl w:val="1"/>
        <w:numId w:val="3"/>
      </w:numPr>
      <w:tabs>
        <w:tab w:val="left" w:pos="420"/>
      </w:tabs>
      <w:jc w:val="center"/>
    </w:pPr>
    <w:rPr>
      <w:rFonts w:ascii="黑体" w:hAnsi="Times New Roman" w:eastAsia="黑体" w:cs="Times New Roman"/>
      <w:b/>
      <w:sz w:val="21"/>
      <w:lang w:val="en-US" w:eastAsia="zh-CN" w:bidi="ar-SA"/>
    </w:rPr>
  </w:style>
  <w:style w:type="paragraph" w:customStyle="1" w:styleId="48">
    <w:name w:val="封面正文"/>
    <w:qFormat/>
    <w:uiPriority w:val="0"/>
    <w:pPr>
      <w:numPr>
        <w:ilvl w:val="0"/>
        <w:numId w:val="3"/>
      </w:numPr>
      <w:jc w:val="both"/>
    </w:pPr>
    <w:rPr>
      <w:rFonts w:ascii="Times New Roman" w:hAnsi="Times New Roman" w:eastAsia="宋体" w:cs="Times New Roman"/>
      <w:lang w:val="en-US" w:eastAsia="zh-CN" w:bidi="ar-SA"/>
    </w:rPr>
  </w:style>
  <w:style w:type="character" w:customStyle="1" w:styleId="49">
    <w:name w:val="标题 6 字符"/>
    <w:link w:val="9"/>
    <w:qFormat/>
    <w:uiPriority w:val="0"/>
    <w:rPr>
      <w:rFonts w:ascii="等线 Light" w:hAnsi="等线 Light" w:eastAsia="等线 Light"/>
      <w:b/>
      <w:bCs/>
      <w:kern w:val="2"/>
      <w:sz w:val="24"/>
      <w:szCs w:val="24"/>
    </w:rPr>
  </w:style>
  <w:style w:type="character" w:customStyle="1" w:styleId="50">
    <w:name w:val="样式2 Char Char"/>
    <w:link w:val="41"/>
    <w:qFormat/>
    <w:uiPriority w:val="0"/>
    <w:rPr>
      <w:rFonts w:ascii="宋体" w:hAnsi="Calibri"/>
      <w:sz w:val="24"/>
      <w:szCs w:val="24"/>
    </w:rPr>
  </w:style>
  <w:style w:type="character" w:customStyle="1" w:styleId="51">
    <w:name w:val="正文缩进 字符"/>
    <w:link w:val="13"/>
    <w:qFormat/>
    <w:uiPriority w:val="0"/>
    <w:rPr>
      <w:rFonts w:ascii="Times New Roman" w:hAnsi="Times New Roman"/>
      <w:kern w:val="2"/>
      <w:sz w:val="21"/>
      <w:szCs w:val="24"/>
    </w:rPr>
  </w:style>
  <w:style w:type="character" w:customStyle="1" w:styleId="52">
    <w:name w:val="标题 2 字符"/>
    <w:link w:val="5"/>
    <w:qFormat/>
    <w:uiPriority w:val="0"/>
    <w:rPr>
      <w:rFonts w:ascii="宋体" w:hAnsi="Arial"/>
      <w:b/>
      <w:bCs/>
      <w:kern w:val="2"/>
      <w:sz w:val="24"/>
      <w:szCs w:val="32"/>
    </w:rPr>
  </w:style>
  <w:style w:type="character" w:customStyle="1" w:styleId="53">
    <w:name w:val="页脚 字符"/>
    <w:link w:val="19"/>
    <w:qFormat/>
    <w:uiPriority w:val="0"/>
    <w:rPr>
      <w:rFonts w:ascii="宋体" w:hAnsi="Times New Roman"/>
      <w:kern w:val="2"/>
      <w:sz w:val="18"/>
      <w:szCs w:val="18"/>
    </w:rPr>
  </w:style>
  <w:style w:type="character" w:customStyle="1" w:styleId="54">
    <w:name w:val="标题 8 字符"/>
    <w:link w:val="11"/>
    <w:qFormat/>
    <w:uiPriority w:val="0"/>
    <w:rPr>
      <w:rFonts w:ascii="等线 Light" w:hAnsi="等线 Light" w:eastAsia="等线 Light"/>
      <w:kern w:val="2"/>
      <w:sz w:val="24"/>
      <w:szCs w:val="24"/>
    </w:rPr>
  </w:style>
  <w:style w:type="character" w:customStyle="1" w:styleId="55">
    <w:name w:val="标题 5 字符"/>
    <w:link w:val="8"/>
    <w:qFormat/>
    <w:uiPriority w:val="0"/>
    <w:rPr>
      <w:b/>
      <w:bCs/>
      <w:kern w:val="2"/>
      <w:sz w:val="21"/>
      <w:szCs w:val="28"/>
    </w:rPr>
  </w:style>
  <w:style w:type="character" w:customStyle="1" w:styleId="56">
    <w:name w:val="页眉 Char1"/>
    <w:qFormat/>
    <w:uiPriority w:val="0"/>
    <w:rPr>
      <w:rFonts w:ascii="宋体" w:hAnsi="Times New Roman" w:eastAsia="宋体" w:cs="Times New Roman"/>
      <w:sz w:val="18"/>
      <w:szCs w:val="18"/>
    </w:rPr>
  </w:style>
  <w:style w:type="character" w:customStyle="1" w:styleId="57">
    <w:name w:val="标题 9 字符"/>
    <w:link w:val="12"/>
    <w:qFormat/>
    <w:uiPriority w:val="0"/>
    <w:rPr>
      <w:rFonts w:ascii="等线 Light" w:hAnsi="等线 Light" w:eastAsia="等线 Light"/>
      <w:kern w:val="2"/>
      <w:sz w:val="21"/>
      <w:szCs w:val="21"/>
    </w:rPr>
  </w:style>
  <w:style w:type="character" w:customStyle="1" w:styleId="58">
    <w:name w:val="二级条标题 Char Char"/>
    <w:link w:val="35"/>
    <w:qFormat/>
    <w:uiPriority w:val="0"/>
    <w:rPr>
      <w:rFonts w:ascii="黑体" w:hAnsi="黑体" w:eastAsia="黑体"/>
      <w:b/>
      <w:sz w:val="21"/>
    </w:rPr>
  </w:style>
  <w:style w:type="character" w:customStyle="1" w:styleId="59">
    <w:name w:val="首行缩进 Char"/>
    <w:link w:val="45"/>
    <w:qFormat/>
    <w:uiPriority w:val="0"/>
    <w:rPr>
      <w:rFonts w:eastAsia="方正书宋简体"/>
      <w:kern w:val="2"/>
      <w:sz w:val="21"/>
    </w:rPr>
  </w:style>
  <w:style w:type="character" w:customStyle="1" w:styleId="60">
    <w:name w:val="标题 4 字符"/>
    <w:link w:val="7"/>
    <w:qFormat/>
    <w:uiPriority w:val="0"/>
    <w:rPr>
      <w:b/>
      <w:bCs/>
      <w:kern w:val="2"/>
      <w:sz w:val="21"/>
      <w:szCs w:val="28"/>
    </w:rPr>
  </w:style>
  <w:style w:type="character" w:customStyle="1" w:styleId="61">
    <w:name w:val="页眉 字符"/>
    <w:link w:val="20"/>
    <w:qFormat/>
    <w:uiPriority w:val="0"/>
    <w:rPr>
      <w:rFonts w:ascii="宋体"/>
      <w:sz w:val="18"/>
      <w:szCs w:val="18"/>
    </w:rPr>
  </w:style>
  <w:style w:type="character" w:customStyle="1" w:styleId="62">
    <w:name w:val="表内居中小五 Char Char"/>
    <w:link w:val="44"/>
    <w:qFormat/>
    <w:uiPriority w:val="0"/>
    <w:rPr>
      <w:rFonts w:eastAsia="宋体" w:cs="宋体"/>
      <w:kern w:val="2"/>
      <w:sz w:val="18"/>
      <w:szCs w:val="18"/>
      <w:lang w:val="en-US" w:eastAsia="zh-CN" w:bidi="ar-SA"/>
    </w:rPr>
  </w:style>
  <w:style w:type="character" w:customStyle="1" w:styleId="63">
    <w:name w:val="纯文本 字符"/>
    <w:link w:val="17"/>
    <w:qFormat/>
    <w:uiPriority w:val="0"/>
    <w:rPr>
      <w:rFonts w:ascii="宋体" w:hAnsi="Courier New" w:eastAsia="宋体" w:cs="Courier New"/>
      <w:kern w:val="2"/>
      <w:sz w:val="21"/>
      <w:szCs w:val="21"/>
      <w:lang w:val="en-US" w:eastAsia="zh-CN" w:bidi="ar-SA"/>
    </w:rPr>
  </w:style>
  <w:style w:type="character" w:customStyle="1" w:styleId="64">
    <w:name w:val="标题 7 字符"/>
    <w:link w:val="10"/>
    <w:qFormat/>
    <w:uiPriority w:val="0"/>
    <w:rPr>
      <w:rFonts w:ascii="宋体" w:hAnsi="Calibri"/>
      <w:b/>
      <w:bCs/>
      <w:kern w:val="2"/>
      <w:sz w:val="24"/>
      <w:szCs w:val="24"/>
    </w:rPr>
  </w:style>
  <w:style w:type="character" w:customStyle="1" w:styleId="65">
    <w:name w:val="批注框文本 字符"/>
    <w:link w:val="18"/>
    <w:qFormat/>
    <w:uiPriority w:val="0"/>
    <w:rPr>
      <w:rFonts w:ascii="宋体" w:hAnsi="Times New Roman"/>
      <w:kern w:val="2"/>
      <w:sz w:val="18"/>
      <w:szCs w:val="18"/>
    </w:rPr>
  </w:style>
  <w:style w:type="character" w:customStyle="1" w:styleId="66">
    <w:name w:val="标题 1 字符"/>
    <w:link w:val="4"/>
    <w:qFormat/>
    <w:uiPriority w:val="0"/>
    <w:rPr>
      <w:rFonts w:ascii="宋体" w:hAnsi="Calibri"/>
      <w:b/>
      <w:bCs/>
      <w:kern w:val="44"/>
      <w:sz w:val="24"/>
      <w:szCs w:val="44"/>
    </w:rPr>
  </w:style>
  <w:style w:type="character" w:customStyle="1" w:styleId="67">
    <w:name w:val="批注文字 字符"/>
    <w:basedOn w:val="26"/>
    <w:link w:val="16"/>
    <w:qFormat/>
    <w:uiPriority w:val="0"/>
    <w:rPr>
      <w:rFonts w:ascii="宋体"/>
      <w:kern w:val="2"/>
      <w:sz w:val="24"/>
      <w:szCs w:val="24"/>
    </w:rPr>
  </w:style>
  <w:style w:type="character" w:customStyle="1" w:styleId="68">
    <w:name w:val="批注主题 字符"/>
    <w:basedOn w:val="67"/>
    <w:link w:val="23"/>
    <w:qFormat/>
    <w:uiPriority w:val="0"/>
    <w:rPr>
      <w:rFonts w:ascii="宋体"/>
      <w:b/>
      <w:bCs/>
      <w:kern w:val="2"/>
      <w:sz w:val="24"/>
      <w:szCs w:val="24"/>
    </w:rPr>
  </w:style>
  <w:style w:type="character" w:customStyle="1" w:styleId="69">
    <w:name w:val="数字EU Char"/>
    <w:link w:val="70"/>
    <w:qFormat/>
    <w:uiPriority w:val="0"/>
    <w:rPr>
      <w:rFonts w:ascii="EU-F1"/>
      <w:kern w:val="21"/>
      <w:szCs w:val="21"/>
    </w:rPr>
  </w:style>
  <w:style w:type="paragraph" w:customStyle="1" w:styleId="70">
    <w:name w:val="数字EU"/>
    <w:basedOn w:val="1"/>
    <w:link w:val="69"/>
    <w:qFormat/>
    <w:uiPriority w:val="0"/>
    <w:pPr>
      <w:wordWrap w:val="0"/>
      <w:overflowPunct w:val="0"/>
      <w:topLinePunct/>
    </w:pPr>
    <w:rPr>
      <w:rFonts w:ascii="EU-F1"/>
      <w:kern w:val="21"/>
      <w:szCs w:val="21"/>
    </w:rPr>
  </w:style>
  <w:style w:type="character" w:customStyle="1" w:styleId="71">
    <w:name w:val="列出段落 字符"/>
    <w:link w:val="31"/>
    <w:qFormat/>
    <w:uiPriority w:val="34"/>
    <w:rPr>
      <w:rFonts w:ascii="宋体" w:hAnsi="Calibri"/>
      <w:kern w:val="2"/>
      <w:sz w:val="24"/>
      <w:szCs w:val="24"/>
    </w:rPr>
  </w:style>
  <w:style w:type="paragraph" w:customStyle="1" w:styleId="72">
    <w:name w:val="目录格式-4"/>
    <w:basedOn w:val="73"/>
    <w:link w:val="81"/>
    <w:qFormat/>
    <w:uiPriority w:val="0"/>
    <w:pPr>
      <w:numPr>
        <w:ilvl w:val="3"/>
      </w:numPr>
      <w:outlineLvl w:val="3"/>
    </w:pPr>
  </w:style>
  <w:style w:type="paragraph" w:customStyle="1" w:styleId="73">
    <w:name w:val="目录格式-3"/>
    <w:basedOn w:val="6"/>
    <w:qFormat/>
    <w:uiPriority w:val="0"/>
    <w:pPr>
      <w:keepNext w:val="0"/>
      <w:keepLines w:val="0"/>
      <w:widowControl/>
      <w:numPr>
        <w:numId w:val="4"/>
      </w:numPr>
      <w:spacing w:before="260" w:beforeLines="100" w:after="260" w:afterLines="100" w:line="360" w:lineRule="auto"/>
      <w:jc w:val="left"/>
    </w:pPr>
    <w:rPr>
      <w:rFonts w:hAnsi="宋体"/>
      <w:sz w:val="28"/>
      <w:szCs w:val="28"/>
    </w:rPr>
  </w:style>
  <w:style w:type="paragraph" w:customStyle="1" w:styleId="74">
    <w:name w:val="目录格式-2"/>
    <w:basedOn w:val="5"/>
    <w:qFormat/>
    <w:uiPriority w:val="0"/>
    <w:pPr>
      <w:widowControl/>
      <w:numPr>
        <w:numId w:val="4"/>
      </w:numPr>
      <w:spacing w:before="260" w:beforeLines="100" w:after="260" w:afterLines="100"/>
      <w:jc w:val="left"/>
    </w:pPr>
    <w:rPr>
      <w:rFonts w:hAnsi="宋体"/>
      <w:sz w:val="28"/>
      <w:szCs w:val="28"/>
    </w:rPr>
  </w:style>
  <w:style w:type="paragraph" w:customStyle="1" w:styleId="75">
    <w:name w:val="目录格式-5"/>
    <w:basedOn w:val="8"/>
    <w:qFormat/>
    <w:uiPriority w:val="0"/>
    <w:pPr>
      <w:keepNext w:val="0"/>
      <w:keepLines w:val="0"/>
      <w:widowControl/>
      <w:numPr>
        <w:numId w:val="4"/>
      </w:numPr>
      <w:spacing w:before="280" w:beforeLines="100" w:after="290" w:afterLines="100" w:line="360" w:lineRule="auto"/>
      <w:jc w:val="left"/>
    </w:pPr>
    <w:rPr>
      <w:rFonts w:ascii="宋体" w:hAnsi="宋体"/>
      <w:sz w:val="28"/>
    </w:rPr>
  </w:style>
  <w:style w:type="paragraph" w:customStyle="1" w:styleId="76">
    <w:name w:val="目录格式-1"/>
    <w:basedOn w:val="4"/>
    <w:qFormat/>
    <w:uiPriority w:val="0"/>
    <w:pPr>
      <w:widowControl/>
      <w:numPr>
        <w:ilvl w:val="0"/>
        <w:numId w:val="4"/>
      </w:numPr>
      <w:spacing w:before="340" w:beforeLines="100" w:after="330" w:afterLines="100"/>
      <w:jc w:val="left"/>
    </w:pPr>
    <w:rPr>
      <w:rFonts w:hAnsi="宋体"/>
      <w:sz w:val="28"/>
      <w:szCs w:val="28"/>
    </w:rPr>
  </w:style>
  <w:style w:type="paragraph" w:customStyle="1" w:styleId="77">
    <w:name w:val="1级列项"/>
    <w:basedOn w:val="1"/>
    <w:qFormat/>
    <w:uiPriority w:val="0"/>
    <w:pPr>
      <w:numPr>
        <w:ilvl w:val="0"/>
        <w:numId w:val="5"/>
      </w:numPr>
      <w:spacing w:beforeLines="50" w:line="480" w:lineRule="exact"/>
    </w:pPr>
    <w:rPr>
      <w:rFonts w:ascii="Times New Roman" w:hAnsi="Times New Roman"/>
    </w:rPr>
  </w:style>
  <w:style w:type="paragraph" w:customStyle="1" w:styleId="78">
    <w:name w:val="2级列项"/>
    <w:basedOn w:val="77"/>
    <w:qFormat/>
    <w:uiPriority w:val="0"/>
    <w:pPr>
      <w:numPr>
        <w:ilvl w:val="1"/>
      </w:numPr>
    </w:pPr>
  </w:style>
  <w:style w:type="paragraph" w:customStyle="1" w:styleId="79">
    <w:name w:val="目录格式-6"/>
    <w:basedOn w:val="9"/>
    <w:qFormat/>
    <w:uiPriority w:val="0"/>
    <w:pPr>
      <w:keepNext w:val="0"/>
      <w:keepLines w:val="0"/>
      <w:widowControl/>
      <w:numPr>
        <w:numId w:val="4"/>
      </w:numPr>
      <w:spacing w:beforeLines="100" w:afterLines="100" w:line="360" w:lineRule="auto"/>
      <w:jc w:val="left"/>
    </w:pPr>
    <w:rPr>
      <w:rFonts w:ascii="宋体" w:hAnsi="宋体" w:eastAsia="宋体"/>
      <w:sz w:val="28"/>
    </w:rPr>
  </w:style>
  <w:style w:type="paragraph" w:customStyle="1" w:styleId="80">
    <w:name w:val="目录格式-7"/>
    <w:basedOn w:val="79"/>
    <w:qFormat/>
    <w:uiPriority w:val="0"/>
    <w:pPr>
      <w:numPr>
        <w:ilvl w:val="6"/>
      </w:numPr>
      <w:outlineLvl w:val="6"/>
    </w:pPr>
  </w:style>
  <w:style w:type="character" w:customStyle="1" w:styleId="81">
    <w:name w:val="目录格式-4 Char"/>
    <w:link w:val="72"/>
    <w:qFormat/>
    <w:uiPriority w:val="0"/>
    <w:rPr>
      <w:rFonts w:ascii="宋体" w:hAnsi="宋体"/>
      <w:b/>
      <w:bCs/>
      <w:kern w:val="2"/>
      <w:sz w:val="28"/>
      <w:szCs w:val="28"/>
    </w:rPr>
  </w:style>
  <w:style w:type="paragraph" w:customStyle="1" w:styleId="82">
    <w:name w:val="*正文"/>
    <w:basedOn w:val="1"/>
    <w:qFormat/>
    <w:uiPriority w:val="0"/>
    <w:pPr>
      <w:spacing w:beforeLines="50" w:line="480" w:lineRule="exact"/>
    </w:pPr>
    <w:rPr>
      <w:rFonts w:hAnsi="宋体"/>
      <w:kern w:val="0"/>
    </w:rPr>
  </w:style>
  <w:style w:type="paragraph" w:customStyle="1" w:styleId="83">
    <w:name w:val="样式 正文首行缩进 + 段前: 0.5 行 段后: 0.5 行"/>
    <w:basedOn w:val="24"/>
    <w:qFormat/>
    <w:uiPriority w:val="0"/>
    <w:pPr>
      <w:spacing w:before="156" w:after="156"/>
      <w:ind w:firstLine="0" w:firstLineChars="0"/>
    </w:pPr>
    <w:rPr>
      <w:szCs w:val="20"/>
    </w:rPr>
  </w:style>
  <w:style w:type="character" w:customStyle="1" w:styleId="84">
    <w:name w:val="页眉 Char"/>
    <w:qFormat/>
    <w:uiPriority w:val="0"/>
    <w:rPr>
      <w:sz w:val="18"/>
      <w:szCs w:val="18"/>
    </w:rPr>
  </w:style>
  <w:style w:type="character" w:customStyle="1" w:styleId="85">
    <w:name w:val="标题 3 Char"/>
    <w:link w:val="6"/>
    <w:qFormat/>
    <w:uiPriority w:val="0"/>
    <w:rPr>
      <w:b/>
      <w:bCs/>
      <w:sz w:val="21"/>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85C46-B36C-4BEE-BEE0-86DE6E41FAA5}">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1368</Words>
  <Characters>7804</Characters>
  <Lines>65</Lines>
  <Paragraphs>18</Paragraphs>
  <TotalTime>123</TotalTime>
  <ScaleCrop>false</ScaleCrop>
  <LinksUpToDate>false</LinksUpToDate>
  <CharactersWithSpaces>9154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2022-09-27T11:14:00Z</dcterms:created>
  <dcterms:modified xsi:type="dcterms:W3CDTF">2024-08-13T03:29:39Z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48A2F9D7685D43AF8C3C8FC200CD4DBA</vt:lpwstr>
  </property>
</Properties>
</file>