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rPr>
          <w:rFonts w:hint="eastAsia"/>
        </w:rPr>
      </w:pPr>
    </w:p>
    <w:p>
      <w:pPr>
        <w:jc w:val="center"/>
        <w:rPr>
          <w:rFonts w:hint="eastAsia" w:cs="Times New Roman"/>
          <w:b/>
          <w:sz w:val="48"/>
          <w:szCs w:val="48"/>
          <w:lang w:eastAsia="zh-CN"/>
        </w:rPr>
      </w:pPr>
      <w:r>
        <w:rPr>
          <w:rFonts w:hint="eastAsia" w:cs="Times New Roman"/>
          <w:b/>
          <w:sz w:val="48"/>
          <w:szCs w:val="48"/>
          <w:lang w:eastAsia="zh-CN"/>
        </w:rPr>
        <w:t>220kV垂直双分裂导导线双线钩</w:t>
      </w:r>
    </w:p>
    <w:p>
      <w:pPr>
        <w:jc w:val="center"/>
        <w:rPr>
          <w:rFonts w:hint="eastAsia"/>
          <w:b/>
          <w:sz w:val="48"/>
          <w:szCs w:val="48"/>
        </w:rPr>
      </w:pPr>
      <w:r>
        <w:rPr>
          <w:rFonts w:hint="eastAsia" w:cs="Times New Roman"/>
          <w:b/>
          <w:sz w:val="48"/>
          <w:szCs w:val="48"/>
          <w:lang w:eastAsia="zh-CN"/>
        </w:rPr>
        <w:t>的改良研究（迭代）</w:t>
      </w:r>
    </w:p>
    <w:p>
      <w:pPr>
        <w:jc w:val="center"/>
        <w:rPr>
          <w:rFonts w:hint="eastAsia"/>
          <w:b/>
          <w:sz w:val="48"/>
          <w:szCs w:val="48"/>
        </w:rPr>
      </w:pPr>
      <w:r>
        <w:rPr>
          <w:rFonts w:hint="eastAsia"/>
          <w:b/>
          <w:sz w:val="48"/>
          <w:szCs w:val="48"/>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w:t>
      </w:r>
      <w:r>
        <w:rPr>
          <w:rFonts w:hint="eastAsia"/>
          <w:sz w:val="32"/>
          <w:szCs w:val="32"/>
          <w:lang w:val="en-US" w:eastAsia="zh-CN"/>
        </w:rPr>
        <w:t>钦州</w:t>
      </w:r>
      <w:r>
        <w:rPr>
          <w:rFonts w:hint="eastAsia"/>
          <w:sz w:val="32"/>
          <w:szCs w:val="32"/>
        </w:rPr>
        <w:t>供电局</w:t>
      </w:r>
    </w:p>
    <w:p>
      <w:pPr>
        <w:jc w:val="center"/>
        <w:rPr>
          <w:rFonts w:hint="eastAsia"/>
        </w:rPr>
        <w:sectPr>
          <w:footerReference r:id="rId5" w:type="even"/>
          <w:pgSz w:w="11906" w:h="16838"/>
          <w:pgMar w:top="1440" w:right="1080" w:bottom="1440" w:left="1080" w:header="851" w:footer="992" w:gutter="0"/>
          <w:cols w:space="720" w:num="1"/>
          <w:docGrid w:type="lines" w:linePitch="326" w:charSpace="0"/>
        </w:sectPr>
      </w:pPr>
      <w:r>
        <w:rPr>
          <w:rFonts w:hint="eastAsia"/>
          <w:sz w:val="32"/>
          <w:szCs w:val="32"/>
          <w:lang w:val="en-US" w:eastAsia="zh-CN"/>
        </w:rPr>
        <w:t xml:space="preserve">2024年7月6日   </w:t>
      </w:r>
    </w:p>
    <w:p>
      <w:pPr>
        <w:pStyle w:val="4"/>
        <w:numPr>
          <w:ilvl w:val="0"/>
          <w:numId w:val="0"/>
        </w:numPr>
        <w:ind w:left="142" w:leftChars="0"/>
        <w:rPr>
          <w:rFonts w:hint="eastAsia" w:eastAsia="宋体"/>
          <w:sz w:val="28"/>
          <w:szCs w:val="28"/>
          <w:lang w:val="en-US" w:eastAsia="zh-CN"/>
        </w:rPr>
      </w:pPr>
      <w:bookmarkStart w:id="0" w:name="_Toc444945508"/>
      <w:bookmarkStart w:id="1" w:name="_Toc318799924"/>
      <w:bookmarkStart w:id="2" w:name="_Toc7054"/>
      <w:bookmarkStart w:id="3" w:name="_Toc384997052"/>
      <w:r>
        <w:rPr>
          <w:rFonts w:hint="eastAsia"/>
          <w:sz w:val="28"/>
          <w:szCs w:val="28"/>
          <w:lang w:val="en-US" w:eastAsia="zh-CN"/>
        </w:rPr>
        <w:t>1总则</w:t>
      </w:r>
    </w:p>
    <w:p>
      <w:pPr>
        <w:pStyle w:val="4"/>
        <w:numPr>
          <w:ilvl w:val="0"/>
          <w:numId w:val="0"/>
        </w:numPr>
        <w:ind w:left="142" w:leftChars="0"/>
      </w:pPr>
      <w:r>
        <w:rPr>
          <w:rFonts w:hint="eastAsia"/>
        </w:rPr>
        <w:t>1.1</w:t>
      </w:r>
      <w:r>
        <w:t xml:space="preserve"> </w:t>
      </w:r>
      <w:r>
        <w:rPr>
          <w:rFonts w:hint="eastAsia"/>
        </w:rPr>
        <w:t>一般要求</w:t>
      </w:r>
      <w:bookmarkEnd w:id="0"/>
      <w:bookmarkEnd w:id="1"/>
      <w:bookmarkEnd w:id="2"/>
    </w:p>
    <w:p>
      <w:pPr>
        <w:rPr>
          <w:rFonts w:ascii="宋体" w:hAnsi="宋体" w:eastAsia="宋体"/>
        </w:rPr>
      </w:pPr>
      <w:bookmarkStart w:id="4" w:name="_Toc353940791"/>
      <w:bookmarkStart w:id="5" w:name="_Toc299606280"/>
      <w:bookmarkStart w:id="6" w:name="_Toc353939553"/>
      <w:bookmarkStart w:id="7" w:name="_Toc444945511"/>
      <w:r>
        <w:rPr>
          <w:rFonts w:hint="eastAsia" w:ascii="宋体" w:hAnsi="宋体" w:eastAsia="宋体"/>
        </w:rPr>
        <w:t>1.1.1 本技术条款</w:t>
      </w:r>
      <w:r>
        <w:rPr>
          <w:rFonts w:hint="eastAsia" w:ascii="宋体" w:hAnsi="宋体" w:eastAsia="宋体"/>
          <w:u w:val="none"/>
        </w:rPr>
        <w:t>主要描述</w:t>
      </w:r>
      <w:r>
        <w:rPr>
          <w:rFonts w:hint="eastAsia" w:hAnsi="宋体"/>
          <w:u w:val="none"/>
          <w:lang w:val="en-US" w:eastAsia="zh-CN"/>
        </w:rPr>
        <w:t>钦州</w:t>
      </w:r>
      <w:r>
        <w:rPr>
          <w:rFonts w:hint="eastAsia" w:ascii="宋体" w:hAnsi="宋体" w:eastAsia="宋体"/>
          <w:u w:val="none"/>
          <w:lang w:val="en-US" w:eastAsia="zh-CN"/>
        </w:rPr>
        <w:t>供</w:t>
      </w:r>
      <w:r>
        <w:rPr>
          <w:rFonts w:hint="eastAsia" w:ascii="宋体" w:hAnsi="宋体" w:eastAsia="宋体" w:cs="Times New Roman"/>
          <w:lang w:val="en-US" w:eastAsia="zh-CN"/>
        </w:rPr>
        <w:t>电局</w:t>
      </w:r>
      <w:r>
        <w:rPr>
          <w:rFonts w:hint="eastAsia" w:hAnsi="宋体" w:cs="Times New Roman"/>
          <w:lang w:val="en-US" w:eastAsia="zh-CN"/>
        </w:rPr>
        <w:t>一种无线湿度及温度感应监控装置</w:t>
      </w:r>
      <w:r>
        <w:rPr>
          <w:rFonts w:hint="eastAsia" w:ascii="宋体" w:hAnsi="宋体" w:eastAsia="宋体" w:cs="Times New Roman"/>
          <w:lang w:val="en-US" w:eastAsia="zh-CN"/>
        </w:rPr>
        <w:t>的研制项目</w:t>
      </w:r>
      <w:r>
        <w:rPr>
          <w:rFonts w:hint="eastAsia" w:ascii="宋体" w:hAnsi="宋体" w:eastAsia="宋体" w:cs="Times New Roman"/>
          <w:lang w:eastAsia="zh-CN"/>
        </w:rPr>
        <w:t>研究内</w:t>
      </w:r>
      <w:r>
        <w:rPr>
          <w:rFonts w:hint="eastAsia" w:ascii="宋体" w:hAnsi="宋体" w:eastAsia="宋体"/>
          <w:u w:val="none"/>
          <w:lang w:eastAsia="zh-CN"/>
        </w:rPr>
        <w:t>容</w:t>
      </w:r>
      <w:r>
        <w:rPr>
          <w:rFonts w:hint="eastAsia" w:ascii="宋体" w:hAnsi="宋体" w:eastAsia="宋体"/>
        </w:rPr>
        <w:t>有关事项。投标方必须认真阅读本技术条款内容，以免造成投标失败。</w:t>
      </w:r>
    </w:p>
    <w:p>
      <w:pPr>
        <w:rPr>
          <w:rFonts w:ascii="宋体" w:hAnsi="宋体" w:eastAsia="宋体"/>
        </w:rPr>
      </w:pPr>
      <w:r>
        <w:rPr>
          <w:rFonts w:ascii="宋体" w:hAnsi="宋体" w:eastAsia="宋体"/>
        </w:rPr>
        <w:t xml:space="preserve">1.1.2 </w:t>
      </w:r>
      <w:r>
        <w:rPr>
          <w:rFonts w:hint="eastAsia" w:ascii="宋体" w:hAnsi="宋体" w:eastAsia="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w:t>
      </w:r>
      <w:r>
        <w:rPr>
          <w:rFonts w:hint="eastAsia" w:hAnsi="宋体"/>
          <w:lang w:val="en-US" w:eastAsia="zh-CN"/>
        </w:rPr>
        <w:t>237890-</w:t>
      </w:r>
      <w:r>
        <w:rPr>
          <w:rFonts w:hint="eastAsia" w:ascii="宋体" w:hAnsi="宋体" w:eastAsia="宋体"/>
        </w:rPr>
        <w:t>在逐条应答时予以说明外，还需以“差异表”的形式另外列出。</w:t>
      </w:r>
    </w:p>
    <w:p>
      <w:pPr>
        <w:rPr>
          <w:rFonts w:ascii="宋体" w:hAnsi="宋体" w:eastAsia="宋体" w:cs="Times New Roman"/>
        </w:rPr>
      </w:pPr>
      <w:r>
        <w:rPr>
          <w:rFonts w:ascii="宋体" w:hAnsi="宋体" w:eastAsia="宋体" w:cs="Times New Roman"/>
        </w:rPr>
        <w:t xml:space="preserve">1.1.3 </w:t>
      </w:r>
      <w:r>
        <w:rPr>
          <w:rFonts w:hint="eastAsia" w:ascii="宋体" w:hAnsi="宋体" w:eastAsia="宋体" w:cs="Times New Roman"/>
        </w:rPr>
        <w:t>本规范书指标要求中，凡标有下划线或加“★”的地方均被视为重要的技术指标要求或性能要求。投标方要特别加以注意，必须完全满足这些要求。</w:t>
      </w:r>
    </w:p>
    <w:p>
      <w:pPr>
        <w:rPr>
          <w:rFonts w:ascii="宋体" w:hAnsi="宋体" w:eastAsia="宋体"/>
        </w:rPr>
      </w:pPr>
      <w:r>
        <w:rPr>
          <w:rFonts w:hint="eastAsia" w:ascii="宋体" w:hAnsi="宋体" w:eastAsia="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rPr>
          <w:rFonts w:ascii="宋体" w:hAnsi="宋体" w:eastAsia="宋体"/>
        </w:rPr>
      </w:pPr>
      <w:r>
        <w:rPr>
          <w:rFonts w:hint="eastAsia" w:ascii="宋体" w:hAnsi="宋体" w:eastAsia="宋体"/>
        </w:rPr>
        <w:t>1.1.5 如果投标方认为本技术条款所描述技术要求等存在不合理性或不明白的，可在响应原要求后陈述相关建议。</w:t>
      </w:r>
    </w:p>
    <w:p>
      <w:pPr>
        <w:rPr>
          <w:rFonts w:ascii="宋体" w:hAnsi="宋体" w:eastAsia="宋体"/>
        </w:rPr>
      </w:pPr>
      <w:r>
        <w:rPr>
          <w:rFonts w:ascii="宋体" w:hAnsi="宋体" w:eastAsia="宋体"/>
        </w:rPr>
        <w:t xml:space="preserve">1.1.6 </w:t>
      </w:r>
      <w:r>
        <w:rPr>
          <w:rFonts w:hint="eastAsia" w:ascii="宋体" w:hAnsi="宋体" w:eastAsia="宋体"/>
        </w:rPr>
        <w:t>投标方也可提出满足本技术规范书要求，且技术先进、成熟、价格合理的其他建议，供招标方选择。</w:t>
      </w:r>
    </w:p>
    <w:p>
      <w:pPr>
        <w:rPr>
          <w:rFonts w:ascii="宋体" w:hAnsi="宋体" w:eastAsia="宋体"/>
        </w:rPr>
      </w:pPr>
      <w:r>
        <w:rPr>
          <w:rFonts w:ascii="宋体" w:hAnsi="宋体" w:eastAsia="宋体"/>
        </w:rPr>
        <w:t xml:space="preserve">1.1.7 </w:t>
      </w:r>
      <w:r>
        <w:rPr>
          <w:rFonts w:hint="eastAsia" w:ascii="宋体" w:hAnsi="宋体" w:eastAsia="宋体"/>
        </w:rPr>
        <w:t>投标方应提供满足本技术规范书要求的完整的服务、工作产品，满足国家及用户提出的有关质量标准要求。所有工作产品必须具有在中国境内的合法使用权。</w:t>
      </w:r>
    </w:p>
    <w:p>
      <w:pPr>
        <w:rPr>
          <w:rFonts w:ascii="宋体" w:hAnsi="宋体" w:eastAsia="宋体"/>
        </w:rPr>
      </w:pPr>
      <w:r>
        <w:rPr>
          <w:rFonts w:hint="eastAsia" w:ascii="宋体" w:hAnsi="宋体" w:eastAsia="宋体"/>
        </w:rPr>
        <w:t>1.1.8 本技术规范书所使用的标准如与投标方所执行的标准不一致，按较高标准执行。</w:t>
      </w:r>
    </w:p>
    <w:p>
      <w:pPr>
        <w:rPr>
          <w:rFonts w:ascii="宋体" w:hAnsi="宋体" w:eastAsia="宋体"/>
        </w:rPr>
      </w:pPr>
      <w:r>
        <w:rPr>
          <w:rFonts w:ascii="宋体" w:hAnsi="宋体" w:eastAsia="宋体"/>
        </w:rPr>
        <w:t xml:space="preserve">1.1.9 </w:t>
      </w:r>
      <w:r>
        <w:rPr>
          <w:rFonts w:hint="eastAsia" w:ascii="宋体" w:hAnsi="宋体" w:eastAsia="宋体"/>
        </w:rPr>
        <w:t>如果因为无法提供的原因而提供其他产品、服务，投标方应明确说明并提出质量保证承诺。</w:t>
      </w:r>
    </w:p>
    <w:p>
      <w:pPr>
        <w:rPr>
          <w:rFonts w:ascii="宋体" w:hAnsi="宋体" w:eastAsia="宋体"/>
        </w:rPr>
      </w:pPr>
      <w:r>
        <w:rPr>
          <w:rFonts w:ascii="宋体" w:hAnsi="宋体" w:eastAsia="宋体"/>
        </w:rPr>
        <w:t xml:space="preserve">1.1.10 </w:t>
      </w:r>
      <w:r>
        <w:rPr>
          <w:rFonts w:hint="eastAsia" w:ascii="宋体" w:hAnsi="宋体" w:eastAsia="宋体"/>
        </w:rPr>
        <w:t>投标方应保证为今后招标方开发的或招标方委托第三方开发的其他工作产品提供可靠的性能和兼容性。</w:t>
      </w:r>
    </w:p>
    <w:p>
      <w:pPr>
        <w:rPr>
          <w:rFonts w:ascii="宋体" w:hAnsi="宋体" w:eastAsia="宋体"/>
        </w:rPr>
      </w:pPr>
      <w:r>
        <w:rPr>
          <w:rFonts w:ascii="宋体" w:hAnsi="宋体" w:eastAsia="宋体"/>
        </w:rPr>
        <w:t xml:space="preserve">1.1.11 </w:t>
      </w:r>
      <w:r>
        <w:rPr>
          <w:rFonts w:hint="eastAsia" w:ascii="宋体" w:hAnsi="宋体" w:eastAsia="宋体"/>
        </w:rPr>
        <w:t>投标方应对本次投标所有文件保密，不得向其他单位公布或泄漏招标项目的有关信息。</w:t>
      </w:r>
    </w:p>
    <w:p>
      <w:pPr>
        <w:rPr>
          <w:rFonts w:ascii="宋体" w:hAnsi="宋体" w:eastAsia="宋体"/>
        </w:rPr>
      </w:pPr>
      <w:r>
        <w:rPr>
          <w:rFonts w:ascii="宋体" w:hAnsi="宋体" w:eastAsia="宋体"/>
        </w:rPr>
        <w:t xml:space="preserve">1.1.12 </w:t>
      </w:r>
      <w:r>
        <w:rPr>
          <w:rFonts w:hint="eastAsia" w:ascii="宋体" w:hAnsi="宋体" w:eastAsia="宋体"/>
        </w:rPr>
        <w:t>招标方保留技术规范书修改的权利，可以提出变更的意见和建议，最终签订的技术协议与合同具有同等效力。</w:t>
      </w:r>
    </w:p>
    <w:p>
      <w:pPr>
        <w:rPr>
          <w:rFonts w:ascii="宋体" w:hAnsi="宋体" w:eastAsia="宋体"/>
        </w:rPr>
      </w:pPr>
      <w:r>
        <w:rPr>
          <w:rFonts w:ascii="宋体" w:hAnsi="宋体" w:eastAsia="宋体"/>
        </w:rPr>
        <w:t xml:space="preserve">1.1.13 </w:t>
      </w:r>
      <w:r>
        <w:rPr>
          <w:rFonts w:hint="eastAsia" w:ascii="宋体" w:hAnsi="宋体" w:eastAsia="宋体"/>
        </w:rPr>
        <w:t>在不超出本技术规范书要求的情况下，投标方应对招标方提出的所有细化要求予以满足。</w:t>
      </w:r>
    </w:p>
    <w:p>
      <w:pPr>
        <w:spacing w:line="360" w:lineRule="auto"/>
        <w:ind w:firstLine="480"/>
        <w:rPr>
          <w:rFonts w:ascii="宋体" w:hAnsi="宋体" w:eastAsia="宋体"/>
        </w:rPr>
      </w:pPr>
      <w:r>
        <w:rPr>
          <w:rFonts w:ascii="宋体" w:hAnsi="宋体" w:eastAsia="宋体"/>
        </w:rPr>
        <w:t xml:space="preserve">1.1.14 </w:t>
      </w:r>
      <w:r>
        <w:rPr>
          <w:rFonts w:hint="eastAsia" w:ascii="宋体" w:hAnsi="宋体" w:eastAsia="宋体"/>
        </w:rPr>
        <w:t>投标方建议书的详细要求见招标书的商务部分。投标方必须随投标文件提供具有全部建议书的优盘文件壹份。文件格式要求为：文字部分用</w:t>
      </w:r>
      <w:r>
        <w:rPr>
          <w:rFonts w:hint="eastAsia" w:ascii="宋体" w:hAnsi="宋体" w:eastAsia="宋体"/>
          <w:lang w:val="en-US" w:eastAsia="zh-CN"/>
        </w:rPr>
        <w:t>WPS文字</w:t>
      </w:r>
      <w:r>
        <w:rPr>
          <w:rFonts w:hint="eastAsia" w:ascii="宋体" w:hAnsi="宋体" w:eastAsia="宋体"/>
        </w:rPr>
        <w:t>，表格部分用</w:t>
      </w:r>
      <w:r>
        <w:rPr>
          <w:rFonts w:hint="eastAsia" w:ascii="宋体" w:hAnsi="宋体" w:eastAsia="宋体"/>
          <w:lang w:val="en-US" w:eastAsia="zh-CN"/>
        </w:rPr>
        <w:t>WPS表格</w:t>
      </w:r>
      <w:r>
        <w:rPr>
          <w:rFonts w:hint="eastAsia" w:ascii="宋体" w:hAnsi="宋体" w:eastAsia="宋体"/>
        </w:rPr>
        <w:t>，图纸部分用</w:t>
      </w:r>
      <w:r>
        <w:rPr>
          <w:rFonts w:hint="eastAsia" w:ascii="宋体" w:hAnsi="宋体" w:eastAsia="宋体"/>
          <w:lang w:val="en-US" w:eastAsia="zh-CN"/>
        </w:rPr>
        <w:t>CAD迷你画图</w:t>
      </w:r>
      <w:r>
        <w:rPr>
          <w:rFonts w:hint="eastAsia" w:ascii="宋体" w:hAnsi="宋体" w:eastAsia="宋体"/>
        </w:rPr>
        <w:t>。投标内容以印刷的投标文件正本为准</w:t>
      </w:r>
      <w:r>
        <w:rPr>
          <w:rFonts w:hint="eastAsia" w:hAnsi="宋体"/>
          <w:lang w:eastAsia="zh-CN"/>
        </w:rPr>
        <w:t>（</w:t>
      </w:r>
      <w:r>
        <w:rPr>
          <w:rFonts w:hint="eastAsia" w:ascii="宋体" w:hAnsi="宋体"/>
          <w:sz w:val="24"/>
        </w:rPr>
        <w:t>另外单独提供附图文件，CAD 格式；实用新型必须要有附图，机械、电路类发明专利申请建议提供结构图，软件类发明专利建议提供流程图。附图只能采用A4大小的图纸。申请机械产品附图要求为AUTOCAD格式的立体轮廓线图，可以结合剖面图、爆炸图等体现发明的特征。图上主要零部件需标注序号，并注明该序号对应的名称。申请电子类产品或机电相结合的产品必须提供主要的电路图，如果一张A4大小的图纸难以表述，可采用分块表示的形式，或先画出电路原理框图，另外再分别提供详细的电路图。</w:t>
      </w:r>
      <w:r>
        <w:rPr>
          <w:rFonts w:hint="eastAsia" w:hAnsi="宋体"/>
          <w:lang w:eastAsia="zh-CN"/>
        </w:rPr>
        <w:t>）</w:t>
      </w:r>
      <w:r>
        <w:rPr>
          <w:rFonts w:hint="eastAsia" w:ascii="宋体" w:hAnsi="宋体" w:eastAsia="宋体"/>
        </w:rPr>
        <w:t>。</w:t>
      </w:r>
    </w:p>
    <w:p>
      <w:pPr>
        <w:rPr>
          <w:rFonts w:hint="eastAsia" w:ascii="宋体" w:hAnsi="宋体" w:eastAsia="宋体"/>
        </w:rPr>
      </w:pPr>
      <w:r>
        <w:rPr>
          <w:rFonts w:hint="eastAsia" w:ascii="宋体" w:hAnsi="宋体" w:eastAsia="宋体"/>
        </w:rPr>
        <w:t>1.1.15 有文件、图纸、通信的均使用中文。所有计算、说明、图纸文件、手册等使用国际单位制。</w:t>
      </w:r>
    </w:p>
    <w:p>
      <w:pPr>
        <w:pStyle w:val="4"/>
        <w:numPr>
          <w:ilvl w:val="0"/>
          <w:numId w:val="0"/>
        </w:numPr>
        <w:ind w:left="142" w:leftChars="0"/>
        <w:rPr>
          <w:rFonts w:hint="default"/>
          <w:b/>
          <w:bCs/>
        </w:rPr>
      </w:pPr>
      <w:bookmarkStart w:id="8" w:name="_Toc5163"/>
      <w:bookmarkStart w:id="9" w:name="_Toc252486971"/>
      <w:bookmarkStart w:id="10" w:name="_Toc255894290"/>
      <w:bookmarkStart w:id="11" w:name="_Toc445194080"/>
      <w:bookmarkStart w:id="12" w:name="_Toc222711875"/>
      <w:bookmarkStart w:id="13" w:name="_Toc261810243"/>
      <w:bookmarkStart w:id="14" w:name="_Toc582"/>
      <w:bookmarkStart w:id="15" w:name="_Toc252485428"/>
      <w:bookmarkStart w:id="16" w:name="_Toc293665071"/>
      <w:r>
        <w:rPr>
          <w:rFonts w:hint="eastAsia"/>
          <w:b/>
          <w:bCs/>
          <w:lang w:val="en-US" w:eastAsia="zh-CN"/>
        </w:rPr>
        <w:t>1.2</w:t>
      </w:r>
      <w:r>
        <w:rPr>
          <w:rFonts w:hint="default"/>
          <w:b/>
          <w:bCs/>
        </w:rPr>
        <w:t>标准和规范</w:t>
      </w:r>
      <w:bookmarkEnd w:id="8"/>
      <w:bookmarkEnd w:id="9"/>
      <w:bookmarkEnd w:id="10"/>
      <w:bookmarkEnd w:id="11"/>
      <w:bookmarkEnd w:id="12"/>
      <w:bookmarkEnd w:id="13"/>
      <w:bookmarkEnd w:id="14"/>
      <w:bookmarkEnd w:id="15"/>
      <w:bookmarkEnd w:id="16"/>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zh-CN"/>
        </w:rPr>
      </w:pPr>
      <w:r>
        <w:rPr>
          <w:rFonts w:hint="default" w:ascii="Times New Roman" w:hAnsi="Times New Roman" w:cs="Times New Roman"/>
          <w:color w:val="000000"/>
          <w:sz w:val="24"/>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zh-CN"/>
        </w:rPr>
      </w:pPr>
      <w:r>
        <w:rPr>
          <w:rFonts w:hint="default" w:ascii="Times New Roman" w:hAnsi="Times New Roman" w:cs="Times New Roman"/>
          <w:color w:val="000000"/>
          <w:sz w:val="24"/>
          <w:szCs w:val="21"/>
          <w:lang w:val="zh-CN"/>
        </w:rPr>
        <w:t>投标方如果采用自己的标准或规范，必须向招标方提供中文复印件并经招标方同意后方可采用，但不能低于GB、JB有关规定。</w:t>
      </w:r>
    </w:p>
    <w:p>
      <w:pPr>
        <w:pStyle w:val="4"/>
        <w:numPr>
          <w:ilvl w:val="1"/>
          <w:numId w:val="0"/>
        </w:numPr>
        <w:ind w:left="142" w:leftChars="0"/>
        <w:rPr>
          <w:rFonts w:hint="eastAsia" w:eastAsia="宋体"/>
          <w:sz w:val="28"/>
          <w:szCs w:val="28"/>
          <w:lang w:val="en-US" w:eastAsia="zh-CN"/>
        </w:rPr>
      </w:pPr>
      <w:r>
        <w:rPr>
          <w:rFonts w:hint="eastAsia"/>
          <w:sz w:val="28"/>
          <w:szCs w:val="28"/>
          <w:lang w:val="en-US" w:eastAsia="zh-CN"/>
        </w:rPr>
        <w:t>2工作范围</w:t>
      </w:r>
    </w:p>
    <w:p>
      <w:pPr>
        <w:pStyle w:val="4"/>
        <w:numPr>
          <w:ilvl w:val="1"/>
          <w:numId w:val="0"/>
        </w:numPr>
        <w:ind w:left="142" w:leftChars="0"/>
        <w:rPr>
          <w:rFonts w:hint="eastAsia"/>
          <w:b/>
          <w:bCs/>
          <w:lang w:eastAsia="zh-CN"/>
        </w:rPr>
      </w:pPr>
      <w:r>
        <w:rPr>
          <w:rFonts w:hint="eastAsia"/>
          <w:b/>
          <w:bCs/>
          <w:lang w:val="en-US" w:eastAsia="zh-CN"/>
        </w:rPr>
        <w:t>2.1</w:t>
      </w:r>
      <w:r>
        <w:rPr>
          <w:rFonts w:hint="eastAsia"/>
          <w:b/>
          <w:bCs/>
          <w:lang w:eastAsia="zh-CN"/>
        </w:rPr>
        <w:t>项目概况</w:t>
      </w:r>
    </w:p>
    <w:p>
      <w:pPr>
        <w:pStyle w:val="4"/>
        <w:numPr>
          <w:ilvl w:val="1"/>
          <w:numId w:val="0"/>
        </w:numPr>
        <w:ind w:left="142" w:leftChars="0"/>
        <w:rPr>
          <w:rFonts w:hint="eastAsia" w:ascii="Times New Roman" w:hAnsi="Times New Roman" w:eastAsia="宋体" w:cs="Times New Roman"/>
          <w:b w:val="0"/>
          <w:bCs w:val="0"/>
          <w:color w:val="000000"/>
          <w:kern w:val="2"/>
          <w:sz w:val="24"/>
          <w:szCs w:val="21"/>
          <w:lang w:val="en-US" w:eastAsia="zh-CN" w:bidi="ar-SA"/>
        </w:rPr>
      </w:pPr>
      <w:r>
        <w:rPr>
          <w:rFonts w:hint="eastAsia" w:ascii="Times New Roman" w:hAnsi="Times New Roman" w:eastAsia="宋体" w:cs="Times New Roman"/>
          <w:b w:val="0"/>
          <w:bCs w:val="0"/>
          <w:color w:val="000000"/>
          <w:kern w:val="2"/>
          <w:sz w:val="24"/>
          <w:szCs w:val="21"/>
          <w:lang w:val="en-US" w:eastAsia="zh-CN" w:bidi="ar-SA"/>
        </w:rPr>
        <w:t>广西电网公司</w:t>
      </w:r>
      <w:r>
        <w:rPr>
          <w:rFonts w:hint="eastAsia" w:ascii="Times New Roman" w:hAnsi="Times New Roman" w:cs="Times New Roman"/>
          <w:b w:val="0"/>
          <w:bCs w:val="0"/>
          <w:color w:val="000000"/>
          <w:kern w:val="2"/>
          <w:sz w:val="24"/>
          <w:szCs w:val="21"/>
          <w:lang w:val="en-US" w:eastAsia="zh-CN" w:bidi="ar-SA"/>
        </w:rPr>
        <w:t>钦州</w:t>
      </w:r>
      <w:r>
        <w:rPr>
          <w:rFonts w:hint="eastAsia" w:ascii="Times New Roman" w:hAnsi="Times New Roman" w:eastAsia="宋体" w:cs="Times New Roman"/>
          <w:b w:val="0"/>
          <w:bCs w:val="0"/>
          <w:color w:val="000000"/>
          <w:kern w:val="2"/>
          <w:sz w:val="24"/>
          <w:szCs w:val="21"/>
          <w:lang w:val="en-US" w:eastAsia="zh-CN" w:bidi="ar-SA"/>
        </w:rPr>
        <w:t>供电局202</w:t>
      </w:r>
      <w:r>
        <w:rPr>
          <w:rFonts w:hint="eastAsia" w:ascii="Times New Roman" w:hAnsi="Times New Roman" w:cs="Times New Roman"/>
          <w:b w:val="0"/>
          <w:bCs w:val="0"/>
          <w:color w:val="000000"/>
          <w:kern w:val="2"/>
          <w:sz w:val="24"/>
          <w:szCs w:val="21"/>
          <w:lang w:val="en-US" w:eastAsia="zh-CN" w:bidi="ar-SA"/>
        </w:rPr>
        <w:t>4</w:t>
      </w:r>
      <w:r>
        <w:rPr>
          <w:rFonts w:hint="eastAsia" w:ascii="Times New Roman" w:hAnsi="Times New Roman" w:eastAsia="宋体" w:cs="Times New Roman"/>
          <w:b w:val="0"/>
          <w:bCs w:val="0"/>
          <w:color w:val="000000"/>
          <w:kern w:val="2"/>
          <w:sz w:val="24"/>
          <w:szCs w:val="21"/>
          <w:lang w:val="en-US" w:eastAsia="zh-CN" w:bidi="ar-SA"/>
        </w:rPr>
        <w:t>年第</w:t>
      </w:r>
      <w:r>
        <w:rPr>
          <w:rFonts w:hint="eastAsia" w:ascii="Times New Roman" w:hAnsi="Times New Roman" w:cs="Times New Roman"/>
          <w:b w:val="0"/>
          <w:bCs w:val="0"/>
          <w:color w:val="000000"/>
          <w:kern w:val="2"/>
          <w:sz w:val="24"/>
          <w:szCs w:val="21"/>
          <w:lang w:val="en-US" w:eastAsia="zh-CN" w:bidi="ar-SA"/>
        </w:rPr>
        <w:t>一</w:t>
      </w:r>
      <w:r>
        <w:rPr>
          <w:rFonts w:hint="eastAsia" w:ascii="Times New Roman" w:hAnsi="Times New Roman" w:eastAsia="宋体" w:cs="Times New Roman"/>
          <w:b w:val="0"/>
          <w:bCs w:val="0"/>
          <w:color w:val="000000"/>
          <w:kern w:val="2"/>
          <w:sz w:val="24"/>
          <w:szCs w:val="21"/>
          <w:lang w:val="en-US" w:eastAsia="zh-CN" w:bidi="ar-SA"/>
        </w:rPr>
        <w:t>批</w:t>
      </w:r>
    </w:p>
    <w:p>
      <w:pPr>
        <w:pStyle w:val="4"/>
        <w:numPr>
          <w:ilvl w:val="1"/>
          <w:numId w:val="0"/>
        </w:numPr>
        <w:ind w:left="142" w:leftChars="0"/>
        <w:rPr>
          <w:rFonts w:hint="eastAsia" w:hAnsi="Arial" w:cs="Times New Roman"/>
          <w:b/>
          <w:bCs/>
          <w:lang w:val="en-US" w:eastAsia="zh-CN"/>
        </w:rPr>
      </w:pPr>
      <w:r>
        <w:rPr>
          <w:rFonts w:hint="eastAsia" w:hAnsi="Arial" w:cs="Times New Roman"/>
          <w:b/>
          <w:bCs/>
          <w:lang w:val="en-US" w:eastAsia="zh-CN"/>
        </w:rPr>
        <w:t>2.2服务范围</w:t>
      </w:r>
    </w:p>
    <w:p>
      <w:pPr>
        <w:jc w:val="both"/>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对《</w:t>
      </w:r>
      <w:r>
        <w:rPr>
          <w:rFonts w:hint="eastAsia" w:hAnsi="宋体" w:cs="Times New Roman"/>
          <w:lang w:val="en-US" w:eastAsia="zh-CN"/>
        </w:rPr>
        <w:t>220kV垂直双分裂导导线双线钩的改良研究（迭代）</w:t>
      </w:r>
      <w:r>
        <w:rPr>
          <w:rFonts w:hint="eastAsia" w:ascii="Times New Roman" w:hAnsi="Times New Roman" w:cs="Times New Roman"/>
          <w:color w:val="000000"/>
          <w:sz w:val="24"/>
          <w:szCs w:val="21"/>
          <w:lang w:val="en-US" w:eastAsia="zh-CN"/>
        </w:rPr>
        <w:t>》项目提供加工服务。</w:t>
      </w:r>
    </w:p>
    <w:p>
      <w:pPr>
        <w:pStyle w:val="4"/>
        <w:numPr>
          <w:ilvl w:val="1"/>
          <w:numId w:val="0"/>
        </w:numPr>
        <w:ind w:left="142" w:leftChars="0"/>
        <w:rPr>
          <w:rFonts w:hint="eastAsia" w:hAnsi="Arial" w:cs="Times New Roman"/>
          <w:b/>
          <w:bCs/>
          <w:lang w:val="en-US" w:eastAsia="zh-CN"/>
        </w:rPr>
      </w:pPr>
      <w:r>
        <w:rPr>
          <w:rFonts w:hint="eastAsia" w:hAnsi="Arial" w:cs="Times New Roman"/>
          <w:b/>
          <w:bCs/>
          <w:lang w:val="en-US" w:eastAsia="zh-CN"/>
        </w:rPr>
        <w:t>2.3服务内容</w:t>
      </w:r>
    </w:p>
    <w:p>
      <w:pPr>
        <w:autoSpaceDE w:val="0"/>
        <w:autoSpaceDN w:val="0"/>
        <w:adjustRightInd w:val="0"/>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投标方三年内类似业绩不低于10项；</w:t>
      </w:r>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投标方通过ISO9001质量管理体系认证，且在有效期内；</w:t>
      </w:r>
    </w:p>
    <w:p>
      <w:pPr>
        <w:autoSpaceDE w:val="0"/>
        <w:autoSpaceDN w:val="0"/>
        <w:adjustRightInd w:val="0"/>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按招标方提供的设计图、技术规范书要求完成</w:t>
      </w:r>
      <w:r>
        <w:rPr>
          <w:rFonts w:hint="eastAsia" w:ascii="Times New Roman" w:cs="Times New Roman"/>
          <w:color w:val="000000"/>
          <w:sz w:val="24"/>
          <w:szCs w:val="21"/>
          <w:lang w:val="en-US" w:eastAsia="zh-CN"/>
        </w:rPr>
        <w:t>一套迭代后的220kV垂直双分裂导线双线钩</w:t>
      </w:r>
      <w:r>
        <w:rPr>
          <w:rFonts w:hint="eastAsia" w:ascii="Times New Roman" w:hAnsi="Times New Roman" w:cs="Times New Roman"/>
          <w:color w:val="000000"/>
          <w:sz w:val="24"/>
          <w:szCs w:val="21"/>
          <w:lang w:val="en-US" w:eastAsia="zh-CN"/>
        </w:rPr>
        <w:t>的研制加工制作。投标方根据项目负责人的设计图及技术方案制定本项目的详细实施技术方案或设计图纸进行加工，并满足以下要求：</w:t>
      </w:r>
    </w:p>
    <w:p>
      <w:pPr>
        <w:autoSpaceDE w:val="0"/>
        <w:autoSpaceDN w:val="0"/>
        <w:adjustRightInd w:val="0"/>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1、</w:t>
      </w:r>
      <w:r>
        <w:rPr>
          <w:rFonts w:hint="eastAsia" w:hAnsi="宋体" w:cs="Times New Roman"/>
          <w:lang w:val="en-US" w:eastAsia="zh-CN"/>
        </w:rPr>
        <w:t>结构要求</w:t>
      </w:r>
      <w:r>
        <w:rPr>
          <w:rFonts w:hint="eastAsia" w:ascii="Times New Roman" w:hAnsi="Times New Roman" w:cs="Times New Roman"/>
          <w:color w:val="000000"/>
          <w:sz w:val="24"/>
          <w:szCs w:val="21"/>
          <w:lang w:val="en-US" w:eastAsia="zh-CN"/>
        </w:rPr>
        <w:t>：</w:t>
      </w:r>
    </w:p>
    <w:p>
      <w:pPr>
        <w:numPr>
          <w:ilvl w:val="0"/>
          <w:numId w:val="0"/>
        </w:numPr>
        <w:spacing w:line="360" w:lineRule="auto"/>
        <w:ind w:firstLine="480" w:firstLineChars="200"/>
        <w:rPr>
          <w:rFonts w:hint="eastAsia" w:ascii="仿宋" w:hAnsi="仿宋" w:eastAsia="仿宋" w:cs="仿宋"/>
          <w:color w:val="000000"/>
          <w:sz w:val="24"/>
          <w:highlight w:val="none"/>
          <w:shd w:val="clear" w:color="auto" w:fill="auto"/>
          <w:lang w:val="en-US" w:eastAsia="zh-CN"/>
        </w:rPr>
      </w:pPr>
      <w:r>
        <w:rPr>
          <w:rFonts w:hint="eastAsia" w:ascii="仿宋" w:hAnsi="仿宋" w:eastAsia="仿宋" w:cs="仿宋"/>
          <w:color w:val="000000"/>
          <w:sz w:val="24"/>
          <w:highlight w:val="none"/>
          <w:shd w:val="clear" w:color="auto" w:fill="auto"/>
          <w:lang w:eastAsia="zh-CN"/>
        </w:rPr>
        <w:t>上部半弧形钩与主件的连接方式，在结构上为“两个半弧形钩连接在主件上”，通过150mm螺纹结构连接主件，侧面加长弧形钩铝合金与主件连接部分。上下两个半弧形钩半径为</w:t>
      </w:r>
      <w:r>
        <w:rPr>
          <w:rFonts w:hint="eastAsia" w:ascii="仿宋" w:hAnsi="仿宋" w:eastAsia="仿宋" w:cs="仿宋"/>
          <w:color w:val="000000"/>
          <w:sz w:val="24"/>
          <w:highlight w:val="none"/>
          <w:shd w:val="clear" w:color="auto" w:fill="auto"/>
          <w:lang w:val="en-US" w:eastAsia="zh-CN"/>
        </w:rPr>
        <w:t>18mm。</w:t>
      </w:r>
      <w:r>
        <w:rPr>
          <w:rFonts w:hint="eastAsia" w:ascii="仿宋" w:hAnsi="仿宋" w:eastAsia="仿宋" w:cs="仿宋"/>
          <w:color w:val="000000"/>
          <w:sz w:val="24"/>
          <w:highlight w:val="none"/>
          <w:shd w:val="clear" w:color="auto" w:fill="auto"/>
          <w:lang w:eastAsia="zh-CN"/>
        </w:rPr>
        <w:t>迭代版</w:t>
      </w:r>
      <w:r>
        <w:rPr>
          <w:rFonts w:hint="eastAsia" w:ascii="仿宋" w:hAnsi="仿宋" w:eastAsia="仿宋" w:cs="仿宋"/>
          <w:sz w:val="24"/>
          <w:lang w:val="en-US" w:eastAsia="zh-CN"/>
        </w:rPr>
        <w:t>改变双线钩与手扳葫芦连接孔形状，</w:t>
      </w:r>
      <w:r>
        <w:rPr>
          <w:rFonts w:hint="eastAsia" w:ascii="仿宋" w:hAnsi="仿宋" w:eastAsia="仿宋" w:cs="仿宋"/>
          <w:color w:val="000000"/>
          <w:sz w:val="24"/>
          <w:highlight w:val="none"/>
          <w:shd w:val="clear" w:color="auto" w:fill="auto"/>
          <w:lang w:eastAsia="zh-CN"/>
        </w:rPr>
        <w:t>加厚双线钩与手扳葫芦连接部位铝合金。</w:t>
      </w:r>
    </w:p>
    <w:p>
      <w:pPr>
        <w:spacing w:line="360" w:lineRule="auto"/>
        <w:rPr>
          <w:sz w:val="24"/>
          <w:highlight w:val="none"/>
        </w:rPr>
      </w:pPr>
      <w:r>
        <w:rPr>
          <w:rFonts w:hint="eastAsia" w:ascii="宋体" w:hAnsi="宋体" w:eastAsia="宋体" w:cs="Times New Roman"/>
          <w:highlight w:val="none"/>
        </w:rPr>
        <w:t>★</w:t>
      </w:r>
      <w:r>
        <w:rPr>
          <w:rFonts w:hint="eastAsia"/>
          <w:sz w:val="24"/>
          <w:highlight w:val="none"/>
          <w:lang w:val="en-US" w:eastAsia="zh-CN"/>
        </w:rPr>
        <w:t>2、</w:t>
      </w:r>
      <w:r>
        <w:rPr>
          <w:rFonts w:hint="eastAsia"/>
          <w:sz w:val="24"/>
          <w:highlight w:val="none"/>
        </w:rPr>
        <w:t>功能</w:t>
      </w:r>
      <w:r>
        <w:rPr>
          <w:rFonts w:hint="eastAsia"/>
          <w:sz w:val="24"/>
          <w:highlight w:val="none"/>
          <w:lang w:val="en-US" w:eastAsia="zh-CN"/>
        </w:rPr>
        <w:t>要求</w:t>
      </w:r>
      <w:r>
        <w:rPr>
          <w:rFonts w:hint="eastAsia"/>
          <w:sz w:val="24"/>
          <w:highlight w:val="none"/>
        </w:rPr>
        <w:t>：</w:t>
      </w:r>
    </w:p>
    <w:p>
      <w:pPr>
        <w:numPr>
          <w:ilvl w:val="0"/>
          <w:numId w:val="0"/>
        </w:numPr>
        <w:spacing w:line="360" w:lineRule="auto"/>
        <w:ind w:firstLine="480" w:firstLineChars="200"/>
        <w:rPr>
          <w:rFonts w:hint="eastAsia" w:ascii="仿宋" w:hAnsi="仿宋" w:eastAsia="仿宋" w:cs="仿宋"/>
          <w:color w:val="000000"/>
          <w:sz w:val="24"/>
          <w:highlight w:val="none"/>
          <w:shd w:val="clear" w:color="auto" w:fill="auto"/>
          <w:lang w:eastAsia="zh-CN"/>
        </w:rPr>
      </w:pPr>
      <w:r>
        <w:rPr>
          <w:rFonts w:hint="eastAsia" w:ascii="仿宋" w:hAnsi="仿宋" w:eastAsia="仿宋" w:cs="仿宋"/>
          <w:color w:val="000000"/>
          <w:sz w:val="24"/>
          <w:highlight w:val="none"/>
          <w:shd w:val="clear" w:color="auto" w:fill="auto"/>
          <w:lang w:eastAsia="zh-CN"/>
        </w:rPr>
        <w:t>装置使用的铝合金等材质，应不易变形，满足设计使用要求，不受温度、环境的影响，应通过第三方测试。</w:t>
      </w:r>
    </w:p>
    <w:p>
      <w:pPr>
        <w:numPr>
          <w:ilvl w:val="0"/>
          <w:numId w:val="0"/>
        </w:numPr>
        <w:spacing w:line="360" w:lineRule="auto"/>
        <w:ind w:firstLine="480" w:firstLineChars="200"/>
        <w:rPr>
          <w:rFonts w:hint="eastAsia" w:ascii="仿宋" w:hAnsi="仿宋" w:eastAsia="仿宋" w:cs="仿宋"/>
          <w:color w:val="000000"/>
          <w:sz w:val="24"/>
          <w:highlight w:val="none"/>
          <w:shd w:val="clear" w:color="auto" w:fill="auto"/>
          <w:lang w:eastAsia="zh-CN"/>
        </w:rPr>
      </w:pPr>
      <w:r>
        <w:rPr>
          <w:rFonts w:hint="eastAsia" w:ascii="仿宋" w:hAnsi="仿宋" w:eastAsia="仿宋" w:cs="仿宋"/>
          <w:color w:val="000000"/>
          <w:sz w:val="24"/>
          <w:highlight w:val="none"/>
          <w:shd w:val="clear" w:color="auto" w:fill="auto"/>
          <w:lang w:eastAsia="zh-CN"/>
        </w:rPr>
        <w:t>装置通用性强，制作方便，操作简单，在使用过程双线钩更容易提起导线，可与手扳葫芦连接使用。</w:t>
      </w:r>
    </w:p>
    <w:p>
      <w:pPr>
        <w:numPr>
          <w:ilvl w:val="0"/>
          <w:numId w:val="2"/>
        </w:numPr>
        <w:spacing w:line="360" w:lineRule="auto"/>
        <w:ind w:firstLine="480" w:firstLineChars="200"/>
        <w:rPr>
          <w:rFonts w:hint="eastAsia" w:ascii="仿宋" w:hAnsi="仿宋" w:eastAsia="仿宋" w:cs="仿宋"/>
          <w:color w:val="000000"/>
          <w:sz w:val="24"/>
          <w:highlight w:val="none"/>
          <w:shd w:val="clear" w:color="auto" w:fill="auto"/>
          <w:lang w:eastAsia="zh-CN"/>
        </w:rPr>
      </w:pPr>
      <w:r>
        <w:rPr>
          <w:rFonts w:hint="eastAsia" w:hAnsi="宋体" w:cs="Times New Roman"/>
          <w:lang w:val="en-US" w:eastAsia="zh-CN"/>
        </w:rPr>
        <w:t>设计图</w:t>
      </w:r>
      <w:r>
        <w:rPr>
          <w:rFonts w:hint="eastAsia" w:ascii="Times New Roman" w:hAnsi="Times New Roman" w:cs="Times New Roman"/>
          <w:color w:val="000000"/>
          <w:sz w:val="24"/>
          <w:szCs w:val="21"/>
          <w:lang w:val="en-US" w:eastAsia="zh-CN"/>
        </w:rPr>
        <w:t>：</w:t>
      </w:r>
    </w:p>
    <w:p>
      <w:pPr>
        <w:numPr>
          <w:ilvl w:val="0"/>
          <w:numId w:val="0"/>
        </w:numPr>
        <w:spacing w:line="360" w:lineRule="auto"/>
        <w:ind w:firstLine="480" w:firstLineChars="200"/>
        <w:rPr>
          <w:rFonts w:hint="eastAsia"/>
          <w:lang w:eastAsia="zh-CN"/>
        </w:rPr>
      </w:pPr>
      <w:r>
        <w:drawing>
          <wp:anchor distT="0" distB="0" distL="114300" distR="114300" simplePos="0" relativeHeight="251659264" behindDoc="0" locked="0" layoutInCell="1" allowOverlap="1">
            <wp:simplePos x="0" y="0"/>
            <wp:positionH relativeFrom="column">
              <wp:posOffset>735965</wp:posOffset>
            </wp:positionH>
            <wp:positionV relativeFrom="paragraph">
              <wp:posOffset>61595</wp:posOffset>
            </wp:positionV>
            <wp:extent cx="2298700" cy="2700020"/>
            <wp:effectExtent l="0" t="0" r="6350" b="5080"/>
            <wp:wrapTopAndBottom/>
            <wp:docPr id="2" name="图片 2" descr="E:/桌面/图片1(1).png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桌面/图片1(1).png图片1(1)"/>
                    <pic:cNvPicPr>
                      <a:picLocks noChangeAspect="1"/>
                    </pic:cNvPicPr>
                  </pic:nvPicPr>
                  <pic:blipFill>
                    <a:blip r:embed="rId9"/>
                    <a:srcRect t="911" b="911"/>
                    <a:stretch>
                      <a:fillRect/>
                    </a:stretch>
                  </pic:blipFill>
                  <pic:spPr>
                    <a:xfrm>
                      <a:off x="0" y="0"/>
                      <a:ext cx="2298700" cy="2700020"/>
                    </a:xfrm>
                    <a:prstGeom prst="rect">
                      <a:avLst/>
                    </a:prstGeom>
                    <a:noFill/>
                    <a:ln>
                      <a:noFill/>
                    </a:ln>
                  </pic:spPr>
                </pic:pic>
              </a:graphicData>
            </a:graphic>
          </wp:anchor>
        </w:drawing>
      </w:r>
    </w:p>
    <w:p>
      <w:pPr>
        <w:pStyle w:val="4"/>
        <w:numPr>
          <w:ilvl w:val="1"/>
          <w:numId w:val="0"/>
        </w:numPr>
        <w:ind w:left="142" w:leftChars="0"/>
        <w:rPr>
          <w:rFonts w:hint="eastAsia" w:hAnsi="Arial" w:cs="Times New Roman"/>
          <w:b/>
          <w:bCs/>
          <w:lang w:val="en-US" w:eastAsia="zh-CN"/>
        </w:rPr>
      </w:pPr>
      <w:r>
        <w:rPr>
          <w:rFonts w:hint="eastAsia" w:hAnsi="Arial" w:cs="Times New Roman"/>
          <w:b/>
          <w:bCs/>
          <w:lang w:val="en-US" w:eastAsia="zh-CN"/>
        </w:rPr>
        <w:t>2.4成果交付</w:t>
      </w:r>
    </w:p>
    <w:tbl>
      <w:tblPr>
        <w:tblStyle w:val="6"/>
        <w:tblpPr w:leftFromText="180" w:rightFromText="180" w:vertAnchor="text" w:horzAnchor="page" w:tblpX="1714" w:tblpY="69"/>
        <w:tblOverlap w:val="never"/>
        <w:tblW w:w="0" w:type="auto"/>
        <w:tblInd w:w="0" w:type="dxa"/>
        <w:tblLayout w:type="fixed"/>
        <w:tblCellMar>
          <w:top w:w="0" w:type="dxa"/>
          <w:left w:w="0" w:type="dxa"/>
          <w:bottom w:w="0" w:type="dxa"/>
          <w:right w:w="0" w:type="dxa"/>
        </w:tblCellMar>
      </w:tblPr>
      <w:tblGrid>
        <w:gridCol w:w="767"/>
        <w:gridCol w:w="2926"/>
        <w:gridCol w:w="1016"/>
        <w:gridCol w:w="2124"/>
        <w:gridCol w:w="1825"/>
      </w:tblGrid>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noWrap w:val="0"/>
            <w:vAlign w:val="center"/>
          </w:tcPr>
          <w:p>
            <w:pPr>
              <w:ind w:left="0" w:lef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eastAsia="zh-CN"/>
              </w:rPr>
              <w:t>序号</w:t>
            </w:r>
          </w:p>
        </w:tc>
        <w:tc>
          <w:tcPr>
            <w:tcW w:w="2926" w:type="dxa"/>
            <w:tcBorders>
              <w:top w:val="single" w:color="000000" w:sz="4" w:space="0"/>
              <w:left w:val="nil"/>
              <w:bottom w:val="single" w:color="000000" w:sz="4" w:space="0"/>
              <w:right w:val="single" w:color="000000" w:sz="4" w:space="0"/>
            </w:tcBorders>
            <w:noWrap w:val="0"/>
            <w:vAlign w:val="center"/>
          </w:tcPr>
          <w:p>
            <w:pPr>
              <w:ind w:left="0" w:lef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eastAsia="zh-CN"/>
              </w:rPr>
              <w:t>成果</w:t>
            </w:r>
            <w:r>
              <w:rPr>
                <w:rFonts w:hint="eastAsia" w:ascii="宋体" w:hAnsi="宋体" w:cs="宋体"/>
                <w:sz w:val="24"/>
                <w:szCs w:val="24"/>
              </w:rPr>
              <w:t>名称</w:t>
            </w:r>
          </w:p>
        </w:tc>
        <w:tc>
          <w:tcPr>
            <w:tcW w:w="1016" w:type="dxa"/>
            <w:tcBorders>
              <w:top w:val="single" w:color="auto" w:sz="4" w:space="0"/>
              <w:left w:val="single" w:color="auto" w:sz="4" w:space="0"/>
              <w:bottom w:val="single" w:color="auto" w:sz="4" w:space="0"/>
              <w:right w:val="single" w:color="auto" w:sz="4" w:space="0"/>
            </w:tcBorders>
            <w:noWrap w:val="0"/>
            <w:vAlign w:val="center"/>
          </w:tcPr>
          <w:p>
            <w:pPr>
              <w:ind w:firstLine="0" w:firstLineChars="0"/>
              <w:jc w:val="center"/>
              <w:rPr>
                <w:rFonts w:ascii="宋体" w:hAnsi="宋体" w:cs="宋体"/>
                <w:sz w:val="24"/>
                <w:szCs w:val="24"/>
              </w:rPr>
            </w:pPr>
            <w:r>
              <w:rPr>
                <w:rFonts w:hint="eastAsia" w:ascii="宋体" w:hAnsi="宋体" w:cs="宋体"/>
                <w:sz w:val="24"/>
                <w:szCs w:val="24"/>
              </w:rPr>
              <w:t>数量</w:t>
            </w:r>
          </w:p>
        </w:tc>
        <w:tc>
          <w:tcPr>
            <w:tcW w:w="2124"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ascii="宋体" w:hAnsi="宋体" w:cs="宋体"/>
                <w:sz w:val="24"/>
                <w:szCs w:val="24"/>
                <w:lang w:eastAsia="zh-CN"/>
              </w:rPr>
              <w:t>交付地点</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ascii="宋体" w:hAnsi="宋体" w:cs="宋体"/>
                <w:sz w:val="24"/>
                <w:szCs w:val="24"/>
                <w:lang w:eastAsia="zh-CN"/>
              </w:rPr>
              <w:t>备注</w:t>
            </w:r>
          </w:p>
        </w:tc>
      </w:tr>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noWrap w:val="0"/>
            <w:vAlign w:val="center"/>
          </w:tcPr>
          <w:p>
            <w:pPr>
              <w:ind w:left="0" w:leftChars="0" w:firstLine="0" w:firstLineChars="0"/>
              <w:jc w:val="center"/>
              <w:rPr>
                <w:rFonts w:hint="default" w:ascii="宋体" w:hAnsi="宋体" w:cs="宋体"/>
                <w:sz w:val="24"/>
                <w:szCs w:val="24"/>
                <w:lang w:val="en-US" w:eastAsia="zh-CN"/>
              </w:rPr>
            </w:pPr>
            <w:r>
              <w:rPr>
                <w:rFonts w:hint="eastAsia" w:hAnsi="宋体" w:cs="宋体"/>
                <w:sz w:val="24"/>
                <w:szCs w:val="24"/>
                <w:lang w:val="en-US" w:eastAsia="zh-CN"/>
              </w:rPr>
              <w:t>1</w:t>
            </w:r>
          </w:p>
        </w:tc>
        <w:tc>
          <w:tcPr>
            <w:tcW w:w="2926" w:type="dxa"/>
            <w:tcBorders>
              <w:top w:val="single" w:color="000000" w:sz="4" w:space="0"/>
              <w:left w:val="nil"/>
              <w:bottom w:val="single" w:color="000000" w:sz="4" w:space="0"/>
              <w:right w:val="single" w:color="000000"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hAnsi="宋体" w:cs="宋体"/>
                <w:sz w:val="24"/>
                <w:szCs w:val="24"/>
                <w:lang w:val="en-US" w:eastAsia="zh-CN"/>
              </w:rPr>
              <w:t>一套迭代后的220kV垂直双分裂导线双线钩</w:t>
            </w:r>
          </w:p>
        </w:tc>
        <w:tc>
          <w:tcPr>
            <w:tcW w:w="1016" w:type="dxa"/>
            <w:tcBorders>
              <w:top w:val="single" w:color="auto" w:sz="4" w:space="0"/>
              <w:left w:val="single" w:color="auto" w:sz="4" w:space="0"/>
              <w:bottom w:val="single" w:color="auto" w:sz="4" w:space="0"/>
              <w:right w:val="single" w:color="auto" w:sz="4" w:space="0"/>
            </w:tcBorders>
            <w:noWrap w:val="0"/>
            <w:vAlign w:val="center"/>
          </w:tcPr>
          <w:p>
            <w:pPr>
              <w:ind w:firstLine="0" w:firstLineChars="0"/>
              <w:jc w:val="center"/>
              <w:rPr>
                <w:rFonts w:hint="default" w:ascii="宋体" w:hAnsi="宋体" w:eastAsia="宋体" w:cs="宋体"/>
                <w:sz w:val="24"/>
                <w:szCs w:val="24"/>
                <w:lang w:val="en-US" w:eastAsia="zh-CN"/>
              </w:rPr>
            </w:pPr>
            <w:r>
              <w:rPr>
                <w:rFonts w:hint="eastAsia" w:hAnsi="宋体" w:cs="宋体"/>
                <w:sz w:val="24"/>
                <w:szCs w:val="24"/>
                <w:lang w:val="en-US" w:eastAsia="zh-CN"/>
              </w:rPr>
              <w:t>1</w:t>
            </w:r>
          </w:p>
        </w:tc>
        <w:tc>
          <w:tcPr>
            <w:tcW w:w="2124"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hAnsi="宋体" w:cs="宋体"/>
                <w:sz w:val="24"/>
                <w:szCs w:val="24"/>
                <w:lang w:val="en-US" w:eastAsia="zh-CN"/>
              </w:rPr>
              <w:t>钦州</w:t>
            </w:r>
            <w:r>
              <w:rPr>
                <w:rFonts w:hint="eastAsia" w:hAnsi="宋体" w:cs="宋体"/>
                <w:sz w:val="24"/>
                <w:szCs w:val="24"/>
                <w:lang w:eastAsia="zh-CN"/>
              </w:rPr>
              <w:t>供电局</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p>
        </w:tc>
      </w:tr>
    </w:tbl>
    <w:p>
      <w:pPr>
        <w:rPr>
          <w:rFonts w:hint="default"/>
          <w:lang w:val="en-US" w:eastAsia="zh-CN"/>
        </w:rPr>
      </w:pPr>
    </w:p>
    <w:p>
      <w:pPr>
        <w:pStyle w:val="8"/>
        <w:rPr>
          <w:rFonts w:hint="default"/>
          <w:lang w:val="en-US" w:eastAsia="zh-CN"/>
        </w:rPr>
      </w:pPr>
    </w:p>
    <w:p>
      <w:pPr>
        <w:rPr>
          <w:rFonts w:hint="default"/>
          <w:lang w:val="en-US" w:eastAsia="zh-CN"/>
        </w:rPr>
      </w:pPr>
    </w:p>
    <w:p>
      <w:pPr>
        <w:pStyle w:val="2"/>
        <w:keepNext w:val="0"/>
        <w:keepLines w:val="0"/>
        <w:pageBreakBefore w:val="0"/>
        <w:widowControl w:val="0"/>
        <w:kinsoku/>
        <w:wordWrap/>
        <w:overflowPunct/>
        <w:topLinePunct w:val="0"/>
        <w:autoSpaceDE/>
        <w:autoSpaceDN/>
        <w:bidi w:val="0"/>
        <w:adjustRightInd/>
        <w:snapToGrid/>
        <w:textAlignment w:val="auto"/>
        <w:outlineLvl w:val="9"/>
        <w:rPr>
          <w:rFonts w:hint="default"/>
          <w:lang w:val="en-US" w:eastAsia="zh-CN"/>
        </w:rPr>
      </w:pPr>
    </w:p>
    <w:p>
      <w:pPr>
        <w:pStyle w:val="4"/>
        <w:numPr>
          <w:ilvl w:val="1"/>
          <w:numId w:val="0"/>
        </w:numPr>
        <w:ind w:left="142" w:leftChars="0"/>
        <w:rPr>
          <w:rFonts w:hint="eastAsia" w:hAnsi="Arial" w:cs="Times New Roman"/>
          <w:sz w:val="28"/>
          <w:szCs w:val="28"/>
          <w:lang w:val="en-US" w:eastAsia="zh-CN"/>
        </w:rPr>
      </w:pPr>
      <w:r>
        <w:rPr>
          <w:rFonts w:hint="eastAsia" w:hAnsi="Arial" w:cs="Times New Roman"/>
          <w:sz w:val="28"/>
          <w:szCs w:val="28"/>
          <w:lang w:val="en-US" w:eastAsia="zh-CN"/>
        </w:rPr>
        <w:t>3应遵循的主要标准</w:t>
      </w:r>
    </w:p>
    <w:p>
      <w:pPr>
        <w:pStyle w:val="4"/>
        <w:numPr>
          <w:ilvl w:val="1"/>
          <w:numId w:val="0"/>
        </w:numPr>
        <w:ind w:left="142" w:leftChars="0"/>
        <w:rPr>
          <w:rFonts w:hint="eastAsia" w:hAnsi="Arial" w:cs="Times New Roman"/>
          <w:b/>
          <w:bCs/>
          <w:lang w:val="en-US" w:eastAsia="zh-CN"/>
        </w:rPr>
      </w:pPr>
      <w:r>
        <w:rPr>
          <w:rFonts w:hint="eastAsia" w:hAnsi="Arial" w:cs="Times New Roman"/>
          <w:b/>
          <w:bCs/>
          <w:lang w:val="en-US" w:eastAsia="zh-CN"/>
        </w:rPr>
        <w:t>3.1加工服务地点和期限</w:t>
      </w:r>
    </w:p>
    <w:p>
      <w:pPr>
        <w:keepNext w:val="0"/>
        <w:keepLines w:val="0"/>
        <w:widowControl/>
        <w:suppressLineNumbers w:val="0"/>
        <w:ind w:firstLine="480" w:firstLineChars="200"/>
        <w:jc w:val="left"/>
        <w:textAlignment w:val="center"/>
        <w:rPr>
          <w:rFonts w:hint="default" w:ascii="宋体" w:hAnsi="宋体" w:cs="宋体"/>
          <w:i w:val="0"/>
          <w:iCs w:val="0"/>
          <w:color w:val="000000"/>
          <w:kern w:val="0"/>
          <w:sz w:val="24"/>
          <w:szCs w:val="24"/>
          <w:highlight w:val="none"/>
          <w:u w:val="none"/>
          <w:lang w:val="en-US" w:eastAsia="zh-CN" w:bidi="en-AU"/>
        </w:rPr>
      </w:pPr>
      <w:r>
        <w:rPr>
          <w:rFonts w:hint="eastAsia" w:ascii="宋体" w:hAnsi="宋体" w:cs="宋体"/>
          <w:i w:val="0"/>
          <w:iCs w:val="0"/>
          <w:color w:val="000000"/>
          <w:kern w:val="0"/>
          <w:sz w:val="24"/>
          <w:szCs w:val="24"/>
          <w:highlight w:val="none"/>
          <w:u w:val="none"/>
          <w:lang w:val="en-US" w:eastAsia="zh-CN" w:bidi="en-AU"/>
        </w:rPr>
        <w:t>地点：</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eastAsia="宋体" w:cs="宋体"/>
          <w:kern w:val="0"/>
          <w:sz w:val="28"/>
          <w:szCs w:val="28"/>
        </w:rPr>
      </w:pPr>
      <w:r>
        <w:rPr>
          <w:rFonts w:hint="eastAsia" w:ascii="宋体" w:hAnsi="宋体" w:cs="宋体"/>
          <w:i w:val="0"/>
          <w:iCs w:val="0"/>
          <w:color w:val="000000"/>
          <w:kern w:val="0"/>
          <w:sz w:val="24"/>
          <w:szCs w:val="24"/>
          <w:highlight w:val="none"/>
          <w:u w:val="none"/>
          <w:lang w:val="en-US" w:eastAsia="zh-CN" w:bidi="en-AU"/>
        </w:rPr>
        <w:t>服务期限：自合同约定生效之日起至</w:t>
      </w:r>
      <w:r>
        <w:rPr>
          <w:rFonts w:hint="eastAsia" w:hAnsi="宋体" w:cs="宋体"/>
          <w:i w:val="0"/>
          <w:iCs w:val="0"/>
          <w:color w:val="000000"/>
          <w:kern w:val="0"/>
          <w:sz w:val="24"/>
          <w:szCs w:val="24"/>
          <w:highlight w:val="none"/>
          <w:u w:val="none"/>
          <w:lang w:val="en-US" w:eastAsia="zh-CN" w:bidi="en-AU"/>
        </w:rPr>
        <w:t>2024</w:t>
      </w:r>
      <w:r>
        <w:rPr>
          <w:rFonts w:hint="eastAsia" w:ascii="宋体" w:hAnsi="宋体" w:cs="宋体"/>
          <w:i w:val="0"/>
          <w:iCs w:val="0"/>
          <w:color w:val="000000"/>
          <w:kern w:val="0"/>
          <w:sz w:val="24"/>
          <w:szCs w:val="24"/>
          <w:highlight w:val="none"/>
          <w:u w:val="none"/>
          <w:lang w:val="en-US" w:eastAsia="zh-CN" w:bidi="en-AU"/>
        </w:rPr>
        <w:t>年</w:t>
      </w:r>
      <w:r>
        <w:rPr>
          <w:rFonts w:hint="eastAsia" w:hAnsi="宋体" w:cs="宋体"/>
          <w:i w:val="0"/>
          <w:iCs w:val="0"/>
          <w:color w:val="000000"/>
          <w:kern w:val="0"/>
          <w:sz w:val="24"/>
          <w:szCs w:val="24"/>
          <w:highlight w:val="none"/>
          <w:u w:val="none"/>
          <w:lang w:val="en-US" w:eastAsia="zh-CN" w:bidi="en-AU"/>
        </w:rPr>
        <w:t xml:space="preserve"> 11</w:t>
      </w:r>
      <w:r>
        <w:rPr>
          <w:rFonts w:hint="eastAsia" w:ascii="宋体" w:hAnsi="宋体" w:cs="宋体"/>
          <w:i w:val="0"/>
          <w:iCs w:val="0"/>
          <w:color w:val="000000"/>
          <w:kern w:val="0"/>
          <w:sz w:val="24"/>
          <w:szCs w:val="24"/>
          <w:highlight w:val="none"/>
          <w:u w:val="none"/>
          <w:lang w:val="en-US" w:eastAsia="zh-CN" w:bidi="en-AU"/>
        </w:rPr>
        <w:t>月</w:t>
      </w:r>
      <w:r>
        <w:rPr>
          <w:rFonts w:hint="eastAsia" w:hAnsi="宋体" w:cs="宋体"/>
          <w:i w:val="0"/>
          <w:iCs w:val="0"/>
          <w:color w:val="000000"/>
          <w:kern w:val="0"/>
          <w:sz w:val="24"/>
          <w:szCs w:val="24"/>
          <w:highlight w:val="none"/>
          <w:u w:val="none"/>
          <w:lang w:val="en-US" w:eastAsia="zh-CN" w:bidi="en-AU"/>
        </w:rPr>
        <w:t xml:space="preserve"> 30</w:t>
      </w:r>
      <w:r>
        <w:rPr>
          <w:rFonts w:hint="eastAsia" w:ascii="宋体" w:hAnsi="宋体" w:cs="宋体"/>
          <w:i w:val="0"/>
          <w:iCs w:val="0"/>
          <w:color w:val="000000"/>
          <w:kern w:val="0"/>
          <w:sz w:val="24"/>
          <w:szCs w:val="24"/>
          <w:highlight w:val="none"/>
          <w:u w:val="none"/>
          <w:lang w:val="en-US" w:eastAsia="zh-CN" w:bidi="en-AU"/>
        </w:rPr>
        <w:t>日止。</w:t>
      </w:r>
      <w:r>
        <w:rPr>
          <w:rFonts w:hint="eastAsia" w:hAnsi="宋体" w:cs="宋体"/>
          <w:i w:val="0"/>
          <w:iCs w:val="0"/>
          <w:color w:val="000000"/>
          <w:kern w:val="0"/>
          <w:sz w:val="24"/>
          <w:szCs w:val="24"/>
          <w:u w:val="none"/>
          <w:lang w:val="en-US" w:eastAsia="zh-CN" w:bidi="en-AU"/>
        </w:rPr>
        <w:t>投标</w:t>
      </w:r>
      <w:r>
        <w:rPr>
          <w:rFonts w:hint="eastAsia" w:ascii="宋体" w:hAnsi="宋体" w:cs="宋体"/>
          <w:i w:val="0"/>
          <w:iCs w:val="0"/>
          <w:color w:val="000000"/>
          <w:kern w:val="0"/>
          <w:sz w:val="24"/>
          <w:szCs w:val="24"/>
          <w:u w:val="none"/>
          <w:lang w:val="en-US" w:eastAsia="zh-CN" w:bidi="en-AU"/>
        </w:rPr>
        <w:t>方向</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方提供</w:t>
      </w:r>
      <w:r>
        <w:rPr>
          <w:rFonts w:hint="eastAsia" w:ascii="Times New Roman" w:cs="Times New Roman"/>
          <w:color w:val="000000"/>
          <w:sz w:val="24"/>
          <w:szCs w:val="21"/>
          <w:lang w:val="en-US" w:eastAsia="zh-CN"/>
        </w:rPr>
        <w:t>一种无线湿度及温度感应监控装置</w:t>
      </w:r>
      <w:r>
        <w:rPr>
          <w:rFonts w:hint="eastAsia" w:ascii="宋体" w:hAnsi="宋体" w:cs="宋体"/>
          <w:i w:val="0"/>
          <w:iCs w:val="0"/>
          <w:color w:val="000000"/>
          <w:kern w:val="0"/>
          <w:sz w:val="24"/>
          <w:szCs w:val="24"/>
          <w:u w:val="none"/>
          <w:lang w:val="en-US" w:eastAsia="zh-CN" w:bidi="en-AU"/>
        </w:rPr>
        <w:t>加工成品，并经</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方验收合格。</w:t>
      </w:r>
    </w:p>
    <w:p>
      <w:pPr>
        <w:keepNext w:val="0"/>
        <w:keepLines w:val="0"/>
        <w:widowControl/>
        <w:suppressLineNumbers w:val="0"/>
        <w:jc w:val="left"/>
        <w:textAlignment w:val="center"/>
        <w:rPr>
          <w:rFonts w:hint="eastAsia" w:hAnsi="Arial" w:cs="Times New Roman"/>
          <w:b/>
          <w:bCs/>
          <w:lang w:val="en-US" w:eastAsia="zh-CN"/>
        </w:rPr>
      </w:pPr>
      <w:r>
        <w:rPr>
          <w:rFonts w:hint="eastAsia" w:hAnsi="Arial" w:cs="Times New Roman"/>
          <w:b/>
          <w:bCs/>
          <w:lang w:val="en-US" w:eastAsia="zh-CN"/>
        </w:rPr>
        <w:t>3.2技术资料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根据合作需要，招标方应在本合同生效后 5个工作日内向投标方提供加工技术方案、图纸等技术资料，明确具体的加工、测试要求：</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（1）</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方提出的加工技术方案、图纸等技术资料需经</w:t>
      </w:r>
      <w:r>
        <w:rPr>
          <w:rFonts w:hint="eastAsia" w:hAnsi="宋体" w:cs="宋体"/>
          <w:i w:val="0"/>
          <w:iCs w:val="0"/>
          <w:color w:val="000000"/>
          <w:kern w:val="0"/>
          <w:sz w:val="24"/>
          <w:szCs w:val="24"/>
          <w:u w:val="none"/>
          <w:lang w:val="en-US" w:eastAsia="zh-CN" w:bidi="en-AU"/>
        </w:rPr>
        <w:t>招标方投标方</w:t>
      </w:r>
      <w:r>
        <w:rPr>
          <w:rFonts w:hint="eastAsia" w:ascii="宋体" w:hAnsi="宋体" w:cs="宋体"/>
          <w:i w:val="0"/>
          <w:iCs w:val="0"/>
          <w:color w:val="000000"/>
          <w:kern w:val="0"/>
          <w:sz w:val="24"/>
          <w:szCs w:val="24"/>
          <w:u w:val="none"/>
          <w:lang w:val="en-US" w:eastAsia="zh-CN" w:bidi="en-AU"/>
        </w:rPr>
        <w:t>双方审核确认。</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（2）双方联系人应在确认的技术资料上签字并注明移交时间。</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（3）</w:t>
      </w:r>
      <w:r>
        <w:rPr>
          <w:rFonts w:hint="eastAsia" w:hAnsi="宋体" w:cs="宋体"/>
          <w:i w:val="0"/>
          <w:iCs w:val="0"/>
          <w:color w:val="000000"/>
          <w:kern w:val="0"/>
          <w:sz w:val="24"/>
          <w:szCs w:val="24"/>
          <w:u w:val="none"/>
          <w:lang w:val="en-US" w:eastAsia="zh-CN" w:bidi="en-AU"/>
        </w:rPr>
        <w:t>投标</w:t>
      </w:r>
      <w:r>
        <w:rPr>
          <w:rFonts w:hint="eastAsia" w:ascii="宋体" w:hAnsi="宋体" w:cs="宋体"/>
          <w:i w:val="0"/>
          <w:iCs w:val="0"/>
          <w:color w:val="000000"/>
          <w:kern w:val="0"/>
          <w:sz w:val="24"/>
          <w:szCs w:val="24"/>
          <w:u w:val="none"/>
          <w:lang w:val="en-US" w:eastAsia="zh-CN" w:bidi="en-AU"/>
        </w:rPr>
        <w:t>方对于</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方提供的技术方案、图纸等技术资料应当妥善保管，并只能用于本合同项下的加工服务工作。本合同履行完毕后，</w:t>
      </w:r>
      <w:r>
        <w:rPr>
          <w:rFonts w:hint="eastAsia" w:hAnsi="宋体" w:cs="宋体"/>
          <w:i w:val="0"/>
          <w:iCs w:val="0"/>
          <w:color w:val="000000"/>
          <w:kern w:val="0"/>
          <w:sz w:val="24"/>
          <w:szCs w:val="24"/>
          <w:u w:val="none"/>
          <w:lang w:val="en-US" w:eastAsia="zh-CN" w:bidi="en-AU"/>
        </w:rPr>
        <w:t>投标</w:t>
      </w:r>
      <w:r>
        <w:rPr>
          <w:rFonts w:hint="eastAsia" w:ascii="宋体" w:hAnsi="宋体" w:cs="宋体"/>
          <w:i w:val="0"/>
          <w:iCs w:val="0"/>
          <w:color w:val="000000"/>
          <w:kern w:val="0"/>
          <w:sz w:val="24"/>
          <w:szCs w:val="24"/>
          <w:u w:val="none"/>
          <w:lang w:val="en-US" w:eastAsia="zh-CN" w:bidi="en-AU"/>
        </w:rPr>
        <w:t>方应当将上述技术方案、图纸等技术资料全部退还给甲方，并不得以复制、扫描等任何方式保存</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方的资料信息,不得为自己或他人加工、生成</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方技术方案、图纸等技术资料下的项目。</w:t>
      </w:r>
    </w:p>
    <w:p>
      <w:pPr>
        <w:pStyle w:val="8"/>
        <w:ind w:left="0" w:leftChars="0" w:firstLine="0" w:firstLineChars="0"/>
        <w:rPr>
          <w:rFonts w:hint="eastAsia" w:hAnsi="Arial" w:cs="Times New Roman"/>
          <w:b/>
          <w:bCs/>
          <w:lang w:val="en-US" w:eastAsia="zh-CN"/>
        </w:rPr>
      </w:pPr>
      <w:r>
        <w:rPr>
          <w:rFonts w:hint="eastAsia" w:hAnsi="Arial" w:cs="Times New Roman"/>
          <w:b/>
          <w:bCs/>
          <w:lang w:val="en-US" w:eastAsia="zh-CN"/>
        </w:rPr>
        <w:t>3.3验收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投标方应负责在项目验收前完成本规范列技术资料（数据）、文件，将项目的全部有关技术文件、资料、测试、验收报告等文档汇集成册交付给招标方。招标方可根据合同及招标书和招标方的有关规定进行修改和补充, 经双方确认后形成验收文件。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(1) 项目成果经招标方和中标方共同确认满足验收条件后，由招标方组织专家对所有项目材料和相关成果进行评审，开展合同验收。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(2) 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w:t>
      </w:r>
      <w:r>
        <w:rPr>
          <w:rFonts w:hint="eastAsia" w:hAnsi="宋体" w:cs="宋体"/>
          <w:i w:val="0"/>
          <w:iCs w:val="0"/>
          <w:color w:val="000000"/>
          <w:kern w:val="0"/>
          <w:sz w:val="24"/>
          <w:szCs w:val="24"/>
          <w:u w:val="none"/>
          <w:lang w:val="en-US" w:eastAsia="zh-CN" w:bidi="en-AU"/>
        </w:rPr>
        <w:t>见整改。</w:t>
      </w:r>
    </w:p>
    <w:p>
      <w:pPr>
        <w:rPr>
          <w:rFonts w:hint="eastAsia"/>
          <w:lang w:val="en-US" w:eastAsia="zh-CN"/>
        </w:rPr>
      </w:pPr>
    </w:p>
    <w:p>
      <w:pPr>
        <w:pStyle w:val="4"/>
        <w:numPr>
          <w:ilvl w:val="1"/>
          <w:numId w:val="0"/>
        </w:numPr>
        <w:ind w:left="142" w:leftChars="0"/>
        <w:rPr>
          <w:rFonts w:hint="default" w:hAnsi="Arial" w:cs="Times New Roman"/>
          <w:sz w:val="28"/>
          <w:szCs w:val="28"/>
          <w:lang w:val="en-US" w:eastAsia="zh-CN"/>
        </w:rPr>
      </w:pPr>
      <w:r>
        <w:rPr>
          <w:rFonts w:hint="eastAsia" w:hAnsi="Arial" w:cs="Times New Roman"/>
          <w:sz w:val="28"/>
          <w:szCs w:val="28"/>
          <w:lang w:val="en-US" w:eastAsia="zh-CN"/>
        </w:rPr>
        <w:t>4供应商需说明的其它问题</w:t>
      </w:r>
    </w:p>
    <w:p>
      <w:pPr>
        <w:keepNext w:val="0"/>
        <w:keepLines w:val="0"/>
        <w:widowControl/>
        <w:suppressLineNumbers w:val="0"/>
        <w:ind w:firstLine="720" w:firstLineChars="300"/>
        <w:jc w:val="left"/>
        <w:textAlignment w:val="center"/>
        <w:rPr>
          <w:rFonts w:hint="eastAsia"/>
          <w:sz w:val="28"/>
          <w:szCs w:val="28"/>
        </w:rPr>
      </w:pPr>
      <w:r>
        <w:rPr>
          <w:rFonts w:hint="eastAsia" w:ascii="宋体" w:hAnsi="宋体" w:cs="宋体"/>
          <w:i w:val="0"/>
          <w:iCs w:val="0"/>
          <w:color w:val="000000"/>
          <w:kern w:val="0"/>
          <w:sz w:val="24"/>
          <w:szCs w:val="24"/>
          <w:u w:val="none"/>
          <w:lang w:val="en-US" w:eastAsia="zh-CN" w:bidi="en-AU"/>
        </w:rPr>
        <w:t>如有需说明的其他问题，供应商应通过书面形式提交，并盖章。</w:t>
      </w:r>
      <w:bookmarkEnd w:id="3"/>
      <w:bookmarkEnd w:id="4"/>
      <w:bookmarkEnd w:id="5"/>
      <w:bookmarkEnd w:id="6"/>
      <w:bookmarkEnd w:id="7"/>
    </w:p>
    <w:p>
      <w:bookmarkStart w:id="17" w:name="_GoBack"/>
      <w:bookmarkEnd w:id="17"/>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B2BF41"/>
    <w:multiLevelType w:val="singleLevel"/>
    <w:tmpl w:val="F9B2BF41"/>
    <w:lvl w:ilvl="0" w:tentative="0">
      <w:start w:val="3"/>
      <w:numFmt w:val="decimal"/>
      <w:suff w:val="nothing"/>
      <w:lvlText w:val="%1、"/>
      <w:lvlJc w:val="left"/>
    </w:lvl>
  </w:abstractNum>
  <w:abstractNum w:abstractNumId="1">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YzUzMWQ4OWI0YzBkYjYzMDRhZTY5ZjZkYmFmYTgifQ=="/>
    <w:docVar w:name="KSO_WPS_MARK_KEY" w:val="51a65535-2a98-4798-ba5c-5c05cbef525c"/>
  </w:docVars>
  <w:rsids>
    <w:rsidRoot w:val="2CD26C73"/>
    <w:rsid w:val="01654456"/>
    <w:rsid w:val="0E082052"/>
    <w:rsid w:val="18617429"/>
    <w:rsid w:val="2CD26C73"/>
    <w:rsid w:val="3CA72414"/>
    <w:rsid w:val="3E011986"/>
    <w:rsid w:val="3E9D3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4">
    <w:name w:val="heading 2"/>
    <w:basedOn w:val="1"/>
    <w:next w:val="1"/>
    <w:uiPriority w:val="0"/>
    <w:pPr>
      <w:keepNext/>
      <w:keepLines/>
      <w:numPr>
        <w:ilvl w:val="1"/>
        <w:numId w:val="1"/>
      </w:numPr>
      <w:outlineLvl w:val="1"/>
    </w:pPr>
    <w:rPr>
      <w:rFonts w:ascii="Calibri" w:hAnsi="Arial" w:eastAsia="宋体" w:cs="Times New Roman"/>
      <w:b/>
      <w:bCs/>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5">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8">
    <w:name w:val="目录 21"/>
    <w:basedOn w:val="1"/>
    <w:next w:val="1"/>
    <w:qFormat/>
    <w:uiPriority w:val="0"/>
    <w:pPr>
      <w:spacing w:before="100" w:beforeAutospacing="1" w:after="100" w:afterAutospacing="1" w:line="240" w:lineRule="auto"/>
      <w:ind w:left="420" w:leftChars="200"/>
    </w:pPr>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2619</Words>
  <Characters>2741</Characters>
  <Lines>0</Lines>
  <Paragraphs>0</Paragraphs>
  <TotalTime>3</TotalTime>
  <ScaleCrop>false</ScaleCrop>
  <LinksUpToDate>false</LinksUpToDate>
  <CharactersWithSpaces>2776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2024-04-03T02:58:00Z</dcterms:created>
  <dc:creator>左边口袋</dc:creator>
  <cp:lastModifiedBy>DF6A10C4FBC945DCB7C13196EB3A65A3</cp:lastModifiedBy>
  <dcterms:modified xsi:type="dcterms:W3CDTF">2024-07-24T13:19:14Z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001960E80C2846788BDC76AC64D28778</vt:lpwstr>
  </property>
</Properties>
</file>