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jc w:val="center"/>
        <w:rPr>
          <w:rFonts w:ascii="隶书" w:eastAsia="隶书"/>
          <w:sz w:val="56"/>
          <w:szCs w:val="56"/>
        </w:rPr>
      </w:pPr>
    </w:p>
    <w:p>
      <w:pPr>
        <w:pStyle w:val="8"/>
        <w:jc w:val="center"/>
        <w:rPr>
          <w:rFonts w:ascii="隶书" w:eastAsia="隶书"/>
          <w:sz w:val="56"/>
          <w:szCs w:val="56"/>
        </w:rPr>
      </w:pPr>
    </w:p>
    <w:p>
      <w:pPr>
        <w:pStyle w:val="8"/>
        <w:jc w:val="center"/>
        <w:rPr>
          <w:rFonts w:ascii="隶书" w:eastAsia="隶书"/>
          <w:sz w:val="56"/>
          <w:szCs w:val="56"/>
        </w:rPr>
      </w:pPr>
    </w:p>
    <w:p>
      <w:pPr>
        <w:pStyle w:val="18"/>
        <w:rPr>
          <w:rFonts w:hint="eastAsia" w:ascii="隶书" w:eastAsia="黑体"/>
          <w:sz w:val="48"/>
          <w:szCs w:val="48"/>
          <w:highlight w:val="none"/>
          <w:lang w:eastAsia="zh-CN"/>
        </w:rPr>
      </w:pPr>
      <w:r>
        <w:rPr>
          <w:rFonts w:hint="eastAsia" w:ascii="黑体" w:hAnsi="黑体" w:eastAsia="黑体" w:cs="黑体"/>
          <w:szCs w:val="52"/>
          <w:highlight w:val="none"/>
          <w:lang w:val="en-US" w:eastAsia="zh-CN"/>
        </w:rPr>
        <w:t>“基于蓄电池阻抗谱的在线监测装置的研制”项目硬件装置测试加工零星采购</w:t>
      </w:r>
    </w:p>
    <w:p>
      <w:pPr>
        <w:pStyle w:val="8"/>
        <w:jc w:val="center"/>
        <w:rPr>
          <w:rFonts w:ascii="隶书" w:eastAsia="隶书"/>
          <w:sz w:val="48"/>
          <w:szCs w:val="48"/>
        </w:rPr>
      </w:pPr>
    </w:p>
    <w:p>
      <w:pPr>
        <w:pStyle w:val="8"/>
        <w:jc w:val="center"/>
        <w:rPr>
          <w:rFonts w:ascii="隶书" w:eastAsia="隶书"/>
          <w:sz w:val="48"/>
          <w:szCs w:val="48"/>
        </w:rPr>
      </w:pPr>
    </w:p>
    <w:p>
      <w:pPr>
        <w:pStyle w:val="8"/>
        <w:jc w:val="both"/>
        <w:rPr>
          <w:rFonts w:ascii="隶书" w:eastAsia="隶书"/>
          <w:sz w:val="48"/>
          <w:szCs w:val="48"/>
        </w:rPr>
      </w:pPr>
    </w:p>
    <w:p>
      <w:pPr>
        <w:pStyle w:val="8"/>
        <w:jc w:val="center"/>
        <w:rPr>
          <w:rFonts w:ascii="黑体" w:hAnsi="黑体" w:eastAsia="黑体" w:cs="黑体"/>
          <w:sz w:val="52"/>
          <w:szCs w:val="52"/>
        </w:rPr>
      </w:pPr>
      <w:r>
        <w:rPr>
          <w:rFonts w:hint="eastAsia" w:ascii="黑体" w:hAnsi="黑体" w:eastAsia="黑体" w:cs="黑体"/>
          <w:sz w:val="52"/>
          <w:szCs w:val="52"/>
        </w:rPr>
        <w:t>技术规范书</w:t>
      </w:r>
    </w:p>
    <w:p>
      <w:pPr>
        <w:spacing w:before="156" w:beforeLines="50"/>
        <w:rPr>
          <w:rFonts w:ascii="楷体_GB2312" w:hAnsi="宋体" w:eastAsia="楷体_GB2312"/>
          <w:sz w:val="32"/>
          <w:szCs w:val="32"/>
        </w:rPr>
      </w:pPr>
    </w:p>
    <w:p>
      <w:pPr>
        <w:spacing w:before="156" w:beforeLines="50"/>
        <w:jc w:val="center"/>
        <w:rPr>
          <w:rFonts w:ascii="楷体_GB2312" w:hAnsi="宋体" w:eastAsia="楷体_GB2312"/>
          <w:sz w:val="32"/>
          <w:szCs w:val="32"/>
        </w:rPr>
      </w:pPr>
    </w:p>
    <w:p>
      <w:pPr>
        <w:spacing w:before="156" w:beforeLines="50"/>
        <w:jc w:val="center"/>
        <w:rPr>
          <w:rFonts w:hint="default" w:ascii="楷体_GB2312" w:hAnsi="宋体" w:eastAsia="楷体_GB2312"/>
          <w:sz w:val="32"/>
          <w:szCs w:val="32"/>
          <w:highlight w:val="none"/>
          <w:lang w:val="en-US" w:eastAsia="zh-CN"/>
        </w:rPr>
      </w:pPr>
      <w:bookmarkStart w:id="0" w:name="_Toc26266"/>
      <w:bookmarkStart w:id="1" w:name="_Toc29868"/>
      <w:bookmarkStart w:id="2" w:name="_Toc6059"/>
      <w:r>
        <w:rPr>
          <w:rFonts w:hint="eastAsia" w:ascii="楷体_GB2312" w:hAnsi="宋体" w:eastAsia="楷体_GB2312"/>
          <w:sz w:val="32"/>
          <w:szCs w:val="32"/>
          <w:highlight w:val="none"/>
          <w:lang w:val="en-US" w:eastAsia="zh-CN"/>
        </w:rPr>
        <w:t>2024年07月04日</w:t>
      </w:r>
    </w:p>
    <w:p>
      <w:pPr>
        <w:spacing w:line="480" w:lineRule="auto"/>
        <w:jc w:val="center"/>
        <w:outlineLvl w:val="0"/>
        <w:rPr>
          <w:rFonts w:asciiTheme="minorEastAsia" w:hAnsiTheme="minorEastAsia" w:eastAsiaTheme="minorEastAsia" w:cstheme="minorEastAsia"/>
          <w:bCs/>
          <w:sz w:val="44"/>
          <w:szCs w:val="36"/>
        </w:rPr>
      </w:pPr>
    </w:p>
    <w:p>
      <w:pPr>
        <w:rPr>
          <w:rFonts w:hint="eastAsia" w:asciiTheme="minorEastAsia" w:hAnsiTheme="minorEastAsia" w:eastAsiaTheme="minorEastAsia" w:cstheme="minorEastAsia"/>
          <w:bCs/>
          <w:sz w:val="44"/>
          <w:szCs w:val="36"/>
        </w:rPr>
      </w:pPr>
      <w:r>
        <w:rPr>
          <w:rFonts w:hint="eastAsia" w:asciiTheme="minorEastAsia" w:hAnsiTheme="minorEastAsia" w:eastAsiaTheme="minorEastAsia" w:cstheme="minorEastAsia"/>
          <w:bCs/>
          <w:sz w:val="44"/>
          <w:szCs w:val="36"/>
        </w:rPr>
        <w:br w:type="page"/>
      </w:r>
    </w:p>
    <w:bookmarkEnd w:id="0"/>
    <w:bookmarkEnd w:id="1"/>
    <w:bookmarkEnd w:id="2"/>
    <w:p>
      <w:pPr>
        <w:pStyle w:val="22"/>
        <w:spacing w:before="312"/>
        <w:rPr>
          <w:szCs w:val="22"/>
        </w:rPr>
      </w:pPr>
    </w:p>
    <w:p>
      <w:pPr>
        <w:pStyle w:val="22"/>
        <w:spacing w:before="312"/>
        <w:outlineLvl w:val="0"/>
        <w:rPr>
          <w:rFonts w:ascii="黑体" w:hAnsi="黑体" w:eastAsia="黑体" w:cs="黑体"/>
          <w:sz w:val="28"/>
          <w:szCs w:val="28"/>
        </w:rPr>
      </w:pPr>
      <w:bookmarkStart w:id="3" w:name="_Toc16459"/>
      <w:r>
        <w:rPr>
          <w:rFonts w:hint="eastAsia" w:ascii="黑体" w:hAnsi="黑体" w:eastAsia="黑体" w:cs="黑体"/>
          <w:sz w:val="28"/>
          <w:szCs w:val="28"/>
        </w:rPr>
        <w:t>1  标的概况</w:t>
      </w:r>
      <w:bookmarkEnd w:id="3"/>
      <w:bookmarkStart w:id="4" w:name="_Toc17049"/>
      <w:bookmarkStart w:id="5" w:name="_Toc7301"/>
    </w:p>
    <w:p>
      <w:pPr>
        <w:adjustRightInd w:val="0"/>
        <w:snapToGrid w:val="0"/>
        <w:spacing w:line="360" w:lineRule="auto"/>
        <w:outlineLvl w:val="0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eastAsia="zh-CN"/>
        </w:rPr>
        <w:t>标的名称：</w:t>
      </w:r>
      <w:bookmarkEnd w:id="4"/>
      <w:bookmarkEnd w:id="5"/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eastAsia="zh-CN"/>
        </w:rPr>
        <w:t>“基于蓄电池阻抗谱的在线监测装置的研制”硬件装置脉冲修复功能测试零星采购</w:t>
      </w:r>
    </w:p>
    <w:p>
      <w:pPr>
        <w:adjustRightInd w:val="0"/>
        <w:snapToGrid w:val="0"/>
        <w:spacing w:line="360" w:lineRule="auto"/>
        <w:outlineLvl w:val="0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本标的共分为加工、系统功能开发、系统功能测试三个部分，其中加工部分主要内容为电路板生产焊接、设备各组件安装连接、成套设备组装，系统功能开发部分主要内容为设计阻抗谱扫描电路、设备机箱结构设计、阻抗谱扫描程序设计，系统功能测试部分主要内容为设备基本测试功能精度测试（电压、温度、电流、内阻）、不同频率内阻精度测试，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最终须形成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eastAsia="zh-CN"/>
        </w:rPr>
        <w:t>基于均衡谐振脉冲修复技术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eastAsia="zh-CN"/>
        </w:rPr>
        <w:t>蓄电池智能运维终端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一套。</w:t>
      </w:r>
    </w:p>
    <w:p>
      <w:pPr>
        <w:adjustRightInd w:val="0"/>
        <w:snapToGrid w:val="0"/>
        <w:spacing w:line="360" w:lineRule="auto"/>
        <w:outlineLvl w:val="0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eastAsia="zh-CN"/>
        </w:rPr>
        <w:t>数量：基于蓄电池阻抗谱的在线监测装置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1套</w:t>
      </w:r>
    </w:p>
    <w:p>
      <w:pPr>
        <w:adjustRightInd w:val="0"/>
        <w:snapToGrid w:val="0"/>
        <w:spacing w:line="360" w:lineRule="auto"/>
        <w:outlineLvl w:val="0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eastAsia="zh-CN"/>
        </w:rPr>
        <w:t>测试化验地点：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中标单位自定。</w:t>
      </w:r>
    </w:p>
    <w:p>
      <w:pPr>
        <w:adjustRightInd w:val="0"/>
        <w:snapToGrid w:val="0"/>
        <w:spacing w:line="360" w:lineRule="auto"/>
        <w:outlineLvl w:val="0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eastAsia="zh-CN"/>
        </w:rPr>
        <w:t>工期：2024年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eastAsia="zh-CN"/>
        </w:rPr>
        <w:t>月-2024年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10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eastAsia="zh-CN"/>
        </w:rPr>
        <w:t>月</w:t>
      </w:r>
    </w:p>
    <w:p>
      <w:pPr>
        <w:pStyle w:val="22"/>
        <w:spacing w:before="312"/>
        <w:outlineLvl w:val="0"/>
        <w:rPr>
          <w:rFonts w:ascii="黑体" w:hAnsi="黑体" w:eastAsia="黑体" w:cs="黑体"/>
          <w:sz w:val="28"/>
          <w:szCs w:val="28"/>
        </w:rPr>
      </w:pPr>
      <w:bookmarkStart w:id="6" w:name="_Toc7671"/>
      <w:r>
        <w:rPr>
          <w:rFonts w:hint="eastAsia" w:ascii="黑体" w:hAnsi="黑体" w:eastAsia="黑体" w:cs="黑体"/>
          <w:sz w:val="28"/>
          <w:szCs w:val="28"/>
        </w:rPr>
        <w:t>2  测试/化验项目要求</w:t>
      </w:r>
      <w:bookmarkEnd w:id="6"/>
    </w:p>
    <w:p>
      <w:pPr>
        <w:spacing w:line="360" w:lineRule="auto"/>
        <w:outlineLvl w:val="1"/>
        <w:rPr>
          <w:rFonts w:ascii="黑体" w:hAnsi="黑体" w:eastAsia="黑体" w:cs="黑体"/>
          <w:bCs/>
          <w:sz w:val="24"/>
        </w:rPr>
      </w:pPr>
      <w:bookmarkStart w:id="7" w:name="_Toc9074"/>
      <w:r>
        <w:rPr>
          <w:rFonts w:hint="eastAsia" w:ascii="黑体" w:hAnsi="黑体" w:eastAsia="黑体" w:cs="黑体"/>
          <w:bCs/>
          <w:sz w:val="24"/>
        </w:rPr>
        <w:t>2.1 项目及标准</w:t>
      </w:r>
      <w:bookmarkEnd w:id="7"/>
    </w:p>
    <w:p>
      <w:pPr>
        <w:spacing w:line="360" w:lineRule="auto"/>
        <w:jc w:val="center"/>
        <w:rPr>
          <w:rFonts w:ascii="黑体" w:hAnsi="黑体" w:eastAsia="黑体" w:cs="黑体"/>
          <w:bCs/>
          <w:color w:val="000000"/>
          <w:szCs w:val="21"/>
        </w:rPr>
      </w:pPr>
      <w:r>
        <w:rPr>
          <w:rFonts w:hint="eastAsia" w:ascii="黑体" w:hAnsi="黑体" w:eastAsia="黑体" w:cs="黑体"/>
          <w:bCs/>
          <w:color w:val="000000"/>
          <w:szCs w:val="21"/>
          <w:highlight w:val="none"/>
        </w:rPr>
        <w:t>基于蓄电池阻抗谱的在线监测装置的研制</w:t>
      </w:r>
      <w:r>
        <w:rPr>
          <w:rFonts w:hint="eastAsia" w:ascii="黑体" w:hAnsi="黑体" w:eastAsia="黑体" w:cs="黑体"/>
          <w:bCs/>
          <w:szCs w:val="21"/>
          <w:highlight w:val="none"/>
        </w:rPr>
        <w:t>试</w:t>
      </w:r>
      <w:r>
        <w:rPr>
          <w:rFonts w:hint="eastAsia" w:ascii="黑体" w:hAnsi="黑体" w:eastAsia="黑体" w:cs="黑体"/>
          <w:bCs/>
          <w:szCs w:val="21"/>
        </w:rPr>
        <w:t>验</w:t>
      </w:r>
      <w:r>
        <w:rPr>
          <w:rFonts w:hint="eastAsia" w:ascii="黑体" w:hAnsi="黑体" w:eastAsia="黑体" w:cs="黑体"/>
          <w:bCs/>
          <w:color w:val="000000"/>
          <w:szCs w:val="21"/>
        </w:rPr>
        <w:t>项目</w:t>
      </w:r>
    </w:p>
    <w:tbl>
      <w:tblPr>
        <w:tblStyle w:val="13"/>
        <w:tblW w:w="839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"/>
        <w:gridCol w:w="3799"/>
        <w:gridCol w:w="379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序号</w:t>
            </w:r>
          </w:p>
        </w:tc>
        <w:tc>
          <w:tcPr>
            <w:tcW w:w="379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项目名称</w:t>
            </w:r>
          </w:p>
        </w:tc>
        <w:tc>
          <w:tcPr>
            <w:tcW w:w="3798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试验标准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1</w:t>
            </w:r>
          </w:p>
        </w:tc>
        <w:tc>
          <w:tcPr>
            <w:tcW w:w="379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蓄电池组电压测量功能试验</w:t>
            </w:r>
          </w:p>
        </w:tc>
        <w:tc>
          <w:tcPr>
            <w:tcW w:w="3798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试验装置的电压测量需满足范围：80%～130%Ub，并达精度：±0.5%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4" w:type="dxa"/>
            <w:tcBorders>
              <w:lef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2</w:t>
            </w:r>
          </w:p>
        </w:tc>
        <w:tc>
          <w:tcPr>
            <w:tcW w:w="379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单体电池电压测量功能试验</w:t>
            </w:r>
          </w:p>
        </w:tc>
        <w:tc>
          <w:tcPr>
            <w:tcW w:w="3798" w:type="dxa"/>
            <w:tcBorders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试验装置的单体电池电压测量需满足范围：0～16V，并达精度：±0.2%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3</w:t>
            </w:r>
          </w:p>
        </w:tc>
        <w:tc>
          <w:tcPr>
            <w:tcW w:w="379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蓄电池电流测量功能试验</w:t>
            </w:r>
          </w:p>
        </w:tc>
        <w:tc>
          <w:tcPr>
            <w:tcW w:w="3798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试验装置的电流测量需满足范围：-400～+400A，并达精度：±1%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4</w:t>
            </w:r>
          </w:p>
        </w:tc>
        <w:tc>
          <w:tcPr>
            <w:tcW w:w="379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温度测量</w:t>
            </w:r>
          </w:p>
        </w:tc>
        <w:tc>
          <w:tcPr>
            <w:tcW w:w="3798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试验装置的温度测量需满足范围：0～90℃，并达精度：±1℃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lang w:val="en-US" w:eastAsia="zh-CN"/>
              </w:rPr>
              <w:t>5</w:t>
            </w:r>
          </w:p>
        </w:tc>
        <w:tc>
          <w:tcPr>
            <w:tcW w:w="379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内阻测量</w:t>
            </w:r>
          </w:p>
        </w:tc>
        <w:tc>
          <w:tcPr>
            <w:tcW w:w="3798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试验装置的内阻测量需满足范围：0～125.00mΩ，精度：±5%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lang w:val="en-US" w:eastAsia="zh-CN"/>
              </w:rPr>
              <w:t>6</w:t>
            </w:r>
          </w:p>
        </w:tc>
        <w:tc>
          <w:tcPr>
            <w:tcW w:w="379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测阻抗频率选择</w:t>
            </w:r>
          </w:p>
        </w:tc>
        <w:tc>
          <w:tcPr>
            <w:tcW w:w="3798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试验装置的阻抗测量频率提供66~1000Hz可选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Cs w:val="21"/>
                <w:lang w:val="en-US" w:eastAsia="zh-CN"/>
              </w:rPr>
            </w:pPr>
            <w:bookmarkStart w:id="8" w:name="_Toc30644"/>
            <w:r>
              <w:rPr>
                <w:rFonts w:hint="eastAsia" w:ascii="宋体" w:hAnsi="宋体" w:cs="宋体"/>
                <w:bCs/>
                <w:szCs w:val="21"/>
                <w:lang w:val="en-US" w:eastAsia="zh-CN"/>
              </w:rPr>
              <w:t>7</w:t>
            </w:r>
          </w:p>
        </w:tc>
        <w:tc>
          <w:tcPr>
            <w:tcW w:w="379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告警功能</w:t>
            </w:r>
          </w:p>
        </w:tc>
        <w:tc>
          <w:tcPr>
            <w:tcW w:w="3798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numId w:val="0"/>
              </w:numPr>
              <w:jc w:val="center"/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试验装置告警功能包含：</w:t>
            </w:r>
          </w:p>
          <w:p>
            <w:pPr>
              <w:numPr>
                <w:numId w:val="0"/>
              </w:numPr>
              <w:jc w:val="center"/>
              <w:rPr>
                <w:rFonts w:hint="default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蓄电池数据越限告警；装置故障告警。</w:t>
            </w:r>
          </w:p>
        </w:tc>
      </w:tr>
    </w:tbl>
    <w:p>
      <w:pPr>
        <w:spacing w:line="360" w:lineRule="auto"/>
        <w:outlineLvl w:val="1"/>
        <w:rPr>
          <w:rFonts w:ascii="黑体" w:hAnsi="黑体" w:eastAsia="黑体" w:cs="黑体"/>
          <w:bCs/>
          <w:sz w:val="24"/>
        </w:rPr>
      </w:pPr>
    </w:p>
    <w:p>
      <w:pPr>
        <w:spacing w:line="360" w:lineRule="auto"/>
        <w:outlineLvl w:val="1"/>
        <w:rPr>
          <w:rFonts w:hint="eastAsia" w:ascii="黑体" w:hAnsi="黑体" w:eastAsia="黑体" w:cs="黑体"/>
          <w:bCs/>
          <w:sz w:val="24"/>
        </w:rPr>
      </w:pPr>
      <w:r>
        <w:rPr>
          <w:rFonts w:hint="eastAsia" w:ascii="黑体" w:hAnsi="黑体" w:eastAsia="黑体" w:cs="黑体"/>
          <w:bCs/>
          <w:sz w:val="24"/>
        </w:rPr>
        <w:t>2.2 运输方式</w:t>
      </w:r>
      <w:bookmarkEnd w:id="8"/>
      <w:bookmarkStart w:id="9" w:name="_Toc9636"/>
      <w:bookmarkStart w:id="10" w:name="_Toc6770"/>
    </w:p>
    <w:p>
      <w:pPr>
        <w:spacing w:line="360" w:lineRule="auto"/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无要求。</w:t>
      </w:r>
    </w:p>
    <w:bookmarkEnd w:id="9"/>
    <w:bookmarkEnd w:id="10"/>
    <w:p>
      <w:pPr>
        <w:pStyle w:val="22"/>
        <w:spacing w:before="312"/>
        <w:outlineLvl w:val="0"/>
        <w:rPr>
          <w:rFonts w:ascii="黑体" w:hAnsi="黑体" w:eastAsia="黑体" w:cs="黑体"/>
          <w:sz w:val="28"/>
          <w:szCs w:val="28"/>
        </w:rPr>
      </w:pPr>
      <w:bookmarkStart w:id="11" w:name="_Toc16082"/>
      <w:r>
        <w:rPr>
          <w:rFonts w:hint="eastAsia" w:ascii="黑体" w:hAnsi="黑体" w:eastAsia="黑体" w:cs="黑体"/>
          <w:sz w:val="28"/>
          <w:szCs w:val="28"/>
        </w:rPr>
        <w:t>3  技术服务的要求</w:t>
      </w:r>
      <w:bookmarkEnd w:id="11"/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</w:rPr>
      </w:pPr>
      <w:bookmarkStart w:id="12" w:name="_Toc1749"/>
      <w:r>
        <w:rPr>
          <w:rFonts w:hint="eastAsia" w:ascii="黑体" w:hAnsi="黑体" w:eastAsia="黑体" w:cs="黑体"/>
          <w:bCs/>
          <w:sz w:val="24"/>
        </w:rPr>
        <w:t>3.1 资质要求</w:t>
      </w:r>
      <w:bookmarkEnd w:id="12"/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</w:rPr>
      </w:pPr>
      <w:bookmarkStart w:id="13" w:name="_Toc16023"/>
      <w:r>
        <w:rPr>
          <w:rFonts w:hint="eastAsia" w:ascii="黑体" w:hAnsi="黑体" w:eastAsia="黑体" w:cs="黑体"/>
          <w:bCs/>
          <w:sz w:val="24"/>
        </w:rPr>
        <w:t>3.2 人员、设备及场地要求</w:t>
      </w:r>
      <w:bookmarkEnd w:id="13"/>
    </w:p>
    <w:p>
      <w:pPr>
        <w:spacing w:line="360" w:lineRule="auto"/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</w:pPr>
      <w:bookmarkStart w:id="14" w:name="_Toc9853"/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无要求。</w:t>
      </w:r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="黑体" w:hAnsi="黑体" w:eastAsia="黑体" w:cs="黑体"/>
          <w:bCs/>
          <w:sz w:val="24"/>
        </w:rPr>
        <w:t>3.3 转包及分包要求</w:t>
      </w:r>
      <w:bookmarkEnd w:id="14"/>
      <w:bookmarkStart w:id="15" w:name="_Toc31460"/>
      <w:bookmarkStart w:id="16" w:name="_Toc27056"/>
    </w:p>
    <w:p>
      <w:pPr>
        <w:spacing w:line="360" w:lineRule="auto"/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原则上不准将业务进行转包或分包。</w:t>
      </w:r>
      <w:bookmarkEnd w:id="15"/>
      <w:bookmarkEnd w:id="16"/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</w:rPr>
      </w:pPr>
      <w:bookmarkStart w:id="17" w:name="_Toc22454"/>
      <w:r>
        <w:rPr>
          <w:rFonts w:hint="eastAsia" w:ascii="黑体" w:hAnsi="黑体" w:eastAsia="黑体" w:cs="黑体"/>
          <w:bCs/>
          <w:sz w:val="24"/>
        </w:rPr>
        <w:t>3.4 信息保密要求</w:t>
      </w:r>
      <w:bookmarkEnd w:id="17"/>
    </w:p>
    <w:p>
      <w:pPr>
        <w:spacing w:line="360" w:lineRule="auto"/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双方需签订保密协议及网络安全协议。</w:t>
      </w:r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</w:rPr>
      </w:pPr>
      <w:bookmarkStart w:id="18" w:name="_Toc23607"/>
      <w:r>
        <w:rPr>
          <w:rFonts w:hint="eastAsia" w:ascii="黑体" w:hAnsi="黑体" w:eastAsia="黑体" w:cs="黑体"/>
          <w:bCs/>
          <w:sz w:val="24"/>
        </w:rPr>
        <w:t>3.5 其他要求</w:t>
      </w:r>
      <w:bookmarkEnd w:id="18"/>
      <w:bookmarkStart w:id="19" w:name="_Toc17063"/>
      <w:bookmarkStart w:id="20" w:name="_Toc30921"/>
    </w:p>
    <w:bookmarkEnd w:id="19"/>
    <w:bookmarkEnd w:id="20"/>
    <w:p>
      <w:pPr>
        <w:spacing w:line="360" w:lineRule="auto"/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</w:pPr>
      <w:bookmarkStart w:id="21" w:name="_Toc21612"/>
      <w:bookmarkStart w:id="22" w:name="_Toc266713650"/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1、将本项目测试加工产出成果：撰写发明专利一项及撰写</w:t>
      </w:r>
      <w:bookmarkStart w:id="30" w:name="_GoBack"/>
      <w:bookmarkEnd w:id="30"/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论文一篇。</w:t>
      </w:r>
    </w:p>
    <w:p>
      <w:pPr>
        <w:spacing w:line="360" w:lineRule="auto"/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2、本项目测试加工产出成果须通过并形成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第三方测试报告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一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份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。</w:t>
      </w:r>
    </w:p>
    <w:p>
      <w:pPr>
        <w:spacing w:line="360" w:lineRule="auto"/>
        <w:rPr>
          <w:rFonts w:hint="default" w:asciiTheme="minorEastAsia" w:hAnsiTheme="minorEastAsia" w:eastAsiaTheme="minorEastAsia" w:cstheme="minorEastAsia"/>
          <w:color w:val="000000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3、本项目测试加工完成后须形成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项目总结报告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一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份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。</w:t>
      </w:r>
    </w:p>
    <w:p>
      <w:pPr>
        <w:pStyle w:val="22"/>
        <w:spacing w:before="312"/>
        <w:outlineLvl w:val="0"/>
        <w:rPr>
          <w:rFonts w:asciiTheme="minorEastAsia" w:hAnsiTheme="minorEastAsia" w:eastAsiaTheme="minorEastAsia" w:cstheme="minorEastAsia"/>
          <w:color w:val="000000"/>
        </w:rPr>
      </w:pPr>
      <w:r>
        <w:rPr>
          <w:rFonts w:hint="eastAsia" w:ascii="黑体" w:hAnsi="黑体" w:eastAsia="黑体" w:cs="黑体"/>
          <w:sz w:val="28"/>
          <w:szCs w:val="28"/>
        </w:rPr>
        <w:t>4  时间进度要求</w:t>
      </w:r>
      <w:bookmarkEnd w:id="21"/>
      <w:bookmarkEnd w:id="22"/>
      <w:bookmarkStart w:id="23" w:name="_Toc11533"/>
      <w:bookmarkStart w:id="24" w:name="_Toc27224"/>
    </w:p>
    <w:bookmarkEnd w:id="23"/>
    <w:bookmarkEnd w:id="24"/>
    <w:p>
      <w:pPr>
        <w:adjustRightInd w:val="0"/>
        <w:snapToGrid w:val="0"/>
        <w:spacing w:line="360" w:lineRule="auto"/>
        <w:ind w:firstLine="420" w:firstLineChars="0"/>
        <w:outlineLvl w:val="0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bookmarkStart w:id="25" w:name="_Toc8651"/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中标单位应在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eastAsia="zh-CN"/>
        </w:rPr>
        <w:t>10月30日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前完成本次零星采购要求的加工、系统功能开发、系统功能测试项目，并交付相关成果。</w:t>
      </w:r>
    </w:p>
    <w:p>
      <w:pPr>
        <w:pStyle w:val="22"/>
        <w:spacing w:before="312"/>
        <w:outlineLvl w:val="0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5  交付与验收</w:t>
      </w:r>
      <w:bookmarkEnd w:id="25"/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</w:rPr>
      </w:pPr>
      <w:bookmarkStart w:id="26" w:name="_Toc3677"/>
      <w:r>
        <w:rPr>
          <w:rFonts w:hint="eastAsia" w:ascii="黑体" w:hAnsi="黑体" w:eastAsia="黑体" w:cs="黑体"/>
          <w:bCs/>
          <w:sz w:val="24"/>
        </w:rPr>
        <w:t>5.1 交付形式及数量要求</w:t>
      </w:r>
      <w:bookmarkEnd w:id="26"/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</w:rPr>
      </w:pPr>
      <w:bookmarkStart w:id="27" w:name="_Toc21560"/>
      <w:r>
        <w:rPr>
          <w:rFonts w:hint="eastAsia" w:ascii="黑体" w:hAnsi="黑体" w:eastAsia="黑体" w:cs="黑体"/>
          <w:bCs/>
          <w:sz w:val="24"/>
        </w:rPr>
        <w:t>5.2 验收</w:t>
      </w:r>
      <w:bookmarkEnd w:id="27"/>
      <w:bookmarkStart w:id="28" w:name="_Toc23588"/>
      <w:bookmarkStart w:id="29" w:name="_Toc536"/>
    </w:p>
    <w:p>
      <w:pPr>
        <w:spacing w:line="360" w:lineRule="auto"/>
        <w:ind w:firstLine="480" w:firstLineChars="200"/>
        <w:rPr>
          <w:rFonts w:hint="default" w:asciiTheme="minorEastAsia" w:hAnsiTheme="minorEastAsia" w:eastAsiaTheme="minorEastAsia" w:cstheme="minorEastAsia"/>
          <w:color w:val="000000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开发基于蓄电池阻抗谱的在线监测装置1套，受理发明专利1项，录用论文1篇，第三方测试报告1份，项目总结报告1份。逾期交付成果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30天扣除10%。</w:t>
      </w:r>
    </w:p>
    <w:bookmarkEnd w:id="28"/>
    <w:bookmarkEnd w:id="29"/>
    <w:p>
      <w:pPr>
        <w:spacing w:line="360" w:lineRule="auto"/>
        <w:rPr>
          <w:rFonts w:asciiTheme="minorEastAsia" w:hAnsiTheme="minorEastAsia" w:eastAsiaTheme="minorEastAsia" w:cstheme="minorEastAsia"/>
          <w:color w:val="000000"/>
          <w:sz w:val="24"/>
          <w:highlight w:val="yellow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体">
    <w:altName w:val="宋体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9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cMibgsAgAAV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FwyJu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2C290B"/>
    <w:multiLevelType w:val="singleLevel"/>
    <w:tmpl w:val="D12C290B"/>
    <w:lvl w:ilvl="0" w:tentative="0">
      <w:start w:val="1"/>
      <w:numFmt w:val="decimal"/>
      <w:pStyle w:val="17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llZDJlNWQ4NTRiMjljNzhkY2Y1ZjViNzM1NmQwNDgifQ=="/>
  </w:docVars>
  <w:rsids>
    <w:rsidRoot w:val="56112EA9"/>
    <w:rsid w:val="000C764F"/>
    <w:rsid w:val="00DE6232"/>
    <w:rsid w:val="01D35542"/>
    <w:rsid w:val="027C11FC"/>
    <w:rsid w:val="0295401A"/>
    <w:rsid w:val="0303051E"/>
    <w:rsid w:val="047B7BC4"/>
    <w:rsid w:val="04BF0B83"/>
    <w:rsid w:val="04FE4EAD"/>
    <w:rsid w:val="05312146"/>
    <w:rsid w:val="056D4E14"/>
    <w:rsid w:val="06F52B3B"/>
    <w:rsid w:val="09F078C2"/>
    <w:rsid w:val="0A9773AF"/>
    <w:rsid w:val="0B715FA9"/>
    <w:rsid w:val="0BD1033B"/>
    <w:rsid w:val="0BFD7548"/>
    <w:rsid w:val="0C8C1EEF"/>
    <w:rsid w:val="0CD011A9"/>
    <w:rsid w:val="0D0C14ED"/>
    <w:rsid w:val="0D6039E5"/>
    <w:rsid w:val="0DDE0C6E"/>
    <w:rsid w:val="0FBF064C"/>
    <w:rsid w:val="10011F66"/>
    <w:rsid w:val="10972384"/>
    <w:rsid w:val="11402C86"/>
    <w:rsid w:val="13566E57"/>
    <w:rsid w:val="13A42991"/>
    <w:rsid w:val="14421D4B"/>
    <w:rsid w:val="147F0C66"/>
    <w:rsid w:val="1558413F"/>
    <w:rsid w:val="155E4129"/>
    <w:rsid w:val="16CE51A3"/>
    <w:rsid w:val="16F77748"/>
    <w:rsid w:val="1A316175"/>
    <w:rsid w:val="1A830B36"/>
    <w:rsid w:val="1ADD4B0E"/>
    <w:rsid w:val="1B843116"/>
    <w:rsid w:val="1BF021DF"/>
    <w:rsid w:val="1BFA3C82"/>
    <w:rsid w:val="1C672B50"/>
    <w:rsid w:val="1D8D437A"/>
    <w:rsid w:val="1DA01B05"/>
    <w:rsid w:val="1EC82A50"/>
    <w:rsid w:val="1F9E3A96"/>
    <w:rsid w:val="1FBD1E67"/>
    <w:rsid w:val="1FD9003C"/>
    <w:rsid w:val="218969F9"/>
    <w:rsid w:val="21CA3C88"/>
    <w:rsid w:val="234277A0"/>
    <w:rsid w:val="234B187D"/>
    <w:rsid w:val="23A116F1"/>
    <w:rsid w:val="24C9435F"/>
    <w:rsid w:val="24EA7C79"/>
    <w:rsid w:val="250F564D"/>
    <w:rsid w:val="252B1EB7"/>
    <w:rsid w:val="256870E0"/>
    <w:rsid w:val="25E42BF8"/>
    <w:rsid w:val="265249D6"/>
    <w:rsid w:val="270F3EE4"/>
    <w:rsid w:val="275D5D26"/>
    <w:rsid w:val="275F7D29"/>
    <w:rsid w:val="27F81146"/>
    <w:rsid w:val="28134D90"/>
    <w:rsid w:val="28BE48E2"/>
    <w:rsid w:val="29F81415"/>
    <w:rsid w:val="2A441357"/>
    <w:rsid w:val="2B6721B0"/>
    <w:rsid w:val="2C191EA0"/>
    <w:rsid w:val="2C4618E3"/>
    <w:rsid w:val="2C483380"/>
    <w:rsid w:val="2CA3124A"/>
    <w:rsid w:val="2D7977AC"/>
    <w:rsid w:val="2D8F39A1"/>
    <w:rsid w:val="2D9E1065"/>
    <w:rsid w:val="2DAC4578"/>
    <w:rsid w:val="2DB36870"/>
    <w:rsid w:val="2DEA6350"/>
    <w:rsid w:val="2E260032"/>
    <w:rsid w:val="2E2E5B4F"/>
    <w:rsid w:val="2E380045"/>
    <w:rsid w:val="2EFA1D2E"/>
    <w:rsid w:val="2F2E6BFF"/>
    <w:rsid w:val="2FC241F2"/>
    <w:rsid w:val="30045C2F"/>
    <w:rsid w:val="30DF2B6C"/>
    <w:rsid w:val="313E1E7A"/>
    <w:rsid w:val="32653DEB"/>
    <w:rsid w:val="32887BF4"/>
    <w:rsid w:val="330E4E8B"/>
    <w:rsid w:val="33161353"/>
    <w:rsid w:val="33471388"/>
    <w:rsid w:val="334E3954"/>
    <w:rsid w:val="34255CC8"/>
    <w:rsid w:val="347E10AE"/>
    <w:rsid w:val="35791EC8"/>
    <w:rsid w:val="358A1AD4"/>
    <w:rsid w:val="358B06A1"/>
    <w:rsid w:val="35DF4389"/>
    <w:rsid w:val="35E41FA9"/>
    <w:rsid w:val="360B40D3"/>
    <w:rsid w:val="365A18C7"/>
    <w:rsid w:val="3661221B"/>
    <w:rsid w:val="37A433E0"/>
    <w:rsid w:val="37AE0477"/>
    <w:rsid w:val="38004B22"/>
    <w:rsid w:val="38D05FCB"/>
    <w:rsid w:val="390A3500"/>
    <w:rsid w:val="39140E3A"/>
    <w:rsid w:val="39855B4F"/>
    <w:rsid w:val="398C2739"/>
    <w:rsid w:val="39E974DB"/>
    <w:rsid w:val="3C4C5078"/>
    <w:rsid w:val="3DDE3626"/>
    <w:rsid w:val="3EA348A3"/>
    <w:rsid w:val="401C5798"/>
    <w:rsid w:val="40754E4A"/>
    <w:rsid w:val="40794199"/>
    <w:rsid w:val="40863FCF"/>
    <w:rsid w:val="408A19B3"/>
    <w:rsid w:val="40F0643B"/>
    <w:rsid w:val="410217F6"/>
    <w:rsid w:val="419C13AE"/>
    <w:rsid w:val="41A73FEA"/>
    <w:rsid w:val="41B40E40"/>
    <w:rsid w:val="42A30678"/>
    <w:rsid w:val="42A37264"/>
    <w:rsid w:val="42DF02D2"/>
    <w:rsid w:val="442031BF"/>
    <w:rsid w:val="44C917FC"/>
    <w:rsid w:val="45AD67D6"/>
    <w:rsid w:val="45CF1EF0"/>
    <w:rsid w:val="46663298"/>
    <w:rsid w:val="47097B32"/>
    <w:rsid w:val="47194E6E"/>
    <w:rsid w:val="47382C50"/>
    <w:rsid w:val="48205CF0"/>
    <w:rsid w:val="48AE5D4E"/>
    <w:rsid w:val="49F22A9F"/>
    <w:rsid w:val="4A4B4604"/>
    <w:rsid w:val="4A566A25"/>
    <w:rsid w:val="4A7A1254"/>
    <w:rsid w:val="4A9A3B4D"/>
    <w:rsid w:val="4B18258B"/>
    <w:rsid w:val="4B23568B"/>
    <w:rsid w:val="4C3F54C3"/>
    <w:rsid w:val="4CE147A6"/>
    <w:rsid w:val="4CF766DE"/>
    <w:rsid w:val="4DBF3FC8"/>
    <w:rsid w:val="4DDB7BC5"/>
    <w:rsid w:val="4E287A4C"/>
    <w:rsid w:val="4ED137FA"/>
    <w:rsid w:val="4EDE6AF3"/>
    <w:rsid w:val="504F5AFC"/>
    <w:rsid w:val="50692104"/>
    <w:rsid w:val="50C4507C"/>
    <w:rsid w:val="50E83C80"/>
    <w:rsid w:val="50E84976"/>
    <w:rsid w:val="52D27864"/>
    <w:rsid w:val="53CD308F"/>
    <w:rsid w:val="54C17E31"/>
    <w:rsid w:val="54E75E4E"/>
    <w:rsid w:val="54EC5F00"/>
    <w:rsid w:val="55BB08CE"/>
    <w:rsid w:val="55F5265A"/>
    <w:rsid w:val="56112EA9"/>
    <w:rsid w:val="56634F6B"/>
    <w:rsid w:val="56FE5647"/>
    <w:rsid w:val="572004CE"/>
    <w:rsid w:val="576E3E36"/>
    <w:rsid w:val="57D62605"/>
    <w:rsid w:val="58F13442"/>
    <w:rsid w:val="59BD7DED"/>
    <w:rsid w:val="59E4535B"/>
    <w:rsid w:val="5A4F5CAC"/>
    <w:rsid w:val="5AE252E1"/>
    <w:rsid w:val="5BAC42C7"/>
    <w:rsid w:val="5C0D5892"/>
    <w:rsid w:val="5CBC1717"/>
    <w:rsid w:val="5E0B23A4"/>
    <w:rsid w:val="5E7F2B1D"/>
    <w:rsid w:val="5E9479C8"/>
    <w:rsid w:val="5EFF55AD"/>
    <w:rsid w:val="60446F8A"/>
    <w:rsid w:val="60A8111F"/>
    <w:rsid w:val="60B802FB"/>
    <w:rsid w:val="61633BDA"/>
    <w:rsid w:val="61B23647"/>
    <w:rsid w:val="61E33B45"/>
    <w:rsid w:val="62542CC4"/>
    <w:rsid w:val="630015B9"/>
    <w:rsid w:val="63FE5340"/>
    <w:rsid w:val="640B1F26"/>
    <w:rsid w:val="64132F2C"/>
    <w:rsid w:val="64F94C33"/>
    <w:rsid w:val="650664D0"/>
    <w:rsid w:val="65355760"/>
    <w:rsid w:val="666908C2"/>
    <w:rsid w:val="673113AB"/>
    <w:rsid w:val="67593ED7"/>
    <w:rsid w:val="68AC152E"/>
    <w:rsid w:val="695323C7"/>
    <w:rsid w:val="69EA7D86"/>
    <w:rsid w:val="6A2D0FBD"/>
    <w:rsid w:val="6B023115"/>
    <w:rsid w:val="6D2B4CBE"/>
    <w:rsid w:val="6D401C96"/>
    <w:rsid w:val="6D4A0BE9"/>
    <w:rsid w:val="6E06100F"/>
    <w:rsid w:val="6E5B1FD7"/>
    <w:rsid w:val="700C58CB"/>
    <w:rsid w:val="708F1B04"/>
    <w:rsid w:val="70E237AF"/>
    <w:rsid w:val="710C1A65"/>
    <w:rsid w:val="71497715"/>
    <w:rsid w:val="71C94BB9"/>
    <w:rsid w:val="71E95564"/>
    <w:rsid w:val="7377313A"/>
    <w:rsid w:val="73FA6E86"/>
    <w:rsid w:val="744F7DDF"/>
    <w:rsid w:val="74572EAA"/>
    <w:rsid w:val="74E106B7"/>
    <w:rsid w:val="75700D85"/>
    <w:rsid w:val="75715F41"/>
    <w:rsid w:val="76497732"/>
    <w:rsid w:val="76890F73"/>
    <w:rsid w:val="770F4753"/>
    <w:rsid w:val="78376D79"/>
    <w:rsid w:val="78D739BC"/>
    <w:rsid w:val="790428F9"/>
    <w:rsid w:val="7A126AE1"/>
    <w:rsid w:val="7ABE2378"/>
    <w:rsid w:val="7AFB3926"/>
    <w:rsid w:val="7BFC3589"/>
    <w:rsid w:val="7C185614"/>
    <w:rsid w:val="7C257594"/>
    <w:rsid w:val="7CD02D3B"/>
    <w:rsid w:val="7E352FE9"/>
    <w:rsid w:val="7E6214B0"/>
    <w:rsid w:val="7EB61EE5"/>
    <w:rsid w:val="7FCE0606"/>
    <w:rsid w:val="7FF1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tabs>
        <w:tab w:val="left" w:pos="720"/>
      </w:tabs>
      <w:adjustRightInd w:val="0"/>
      <w:spacing w:line="320" w:lineRule="atLeast"/>
      <w:ind w:left="720" w:hanging="720"/>
      <w:outlineLvl w:val="1"/>
    </w:pPr>
    <w:rPr>
      <w:rFonts w:ascii="黑体" w:hAnsi="Arial" w:eastAsia="黑体" w:cs="宋体"/>
      <w:kern w:val="0"/>
      <w:sz w:val="28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7"/>
    <w:next w:val="7"/>
    <w:qFormat/>
    <w:uiPriority w:val="0"/>
    <w:pPr>
      <w:autoSpaceDE w:val="0"/>
      <w:autoSpaceDN w:val="0"/>
      <w:spacing w:before="100" w:after="120"/>
      <w:jc w:val="left"/>
    </w:pPr>
    <w:rPr>
      <w:rFonts w:hint="eastAsia" w:ascii="仿宋体" w:eastAsia="仿宋体"/>
      <w:sz w:val="24"/>
    </w:rPr>
  </w:style>
  <w:style w:type="paragraph" w:styleId="7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8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1">
    <w:name w:val="toc 1"/>
    <w:basedOn w:val="1"/>
    <w:next w:val="1"/>
    <w:qFormat/>
    <w:uiPriority w:val="0"/>
  </w:style>
  <w:style w:type="paragraph" w:styleId="12">
    <w:name w:val="toc 2"/>
    <w:basedOn w:val="1"/>
    <w:next w:val="1"/>
    <w:qFormat/>
    <w:uiPriority w:val="0"/>
    <w:pPr>
      <w:tabs>
        <w:tab w:val="right" w:leader="dot" w:pos="8302"/>
      </w:tabs>
      <w:snapToGrid w:val="0"/>
      <w:spacing w:line="360" w:lineRule="auto"/>
      <w:ind w:left="525" w:hanging="4"/>
    </w:pPr>
    <w:rPr>
      <w:sz w:val="24"/>
      <w:szCs w:val="20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Hyperlink"/>
    <w:basedOn w:val="15"/>
    <w:qFormat/>
    <w:uiPriority w:val="0"/>
  </w:style>
  <w:style w:type="paragraph" w:customStyle="1" w:styleId="17">
    <w:name w:val="标题1"/>
    <w:basedOn w:val="3"/>
    <w:next w:val="1"/>
    <w:qFormat/>
    <w:uiPriority w:val="0"/>
    <w:pPr>
      <w:numPr>
        <w:ilvl w:val="0"/>
        <w:numId w:val="1"/>
      </w:numPr>
    </w:pPr>
    <w:rPr>
      <w:rFonts w:hAnsi="黑体"/>
    </w:rPr>
  </w:style>
  <w:style w:type="paragraph" w:customStyle="1" w:styleId="18">
    <w:name w:val="首页项目名称"/>
    <w:link w:val="20"/>
    <w:qFormat/>
    <w:uiPriority w:val="0"/>
    <w:pPr>
      <w:jc w:val="center"/>
    </w:pPr>
    <w:rPr>
      <w:rFonts w:ascii="Times New Roman" w:hAnsi="Times New Roman" w:eastAsia="隶书" w:cs="Times New Roman"/>
      <w:sz w:val="52"/>
      <w:lang w:val="en-US" w:eastAsia="zh-CN" w:bidi="ar-SA"/>
    </w:rPr>
  </w:style>
  <w:style w:type="paragraph" w:customStyle="1" w:styleId="19">
    <w:name w:val="首页日期"/>
    <w:basedOn w:val="1"/>
    <w:link w:val="21"/>
    <w:qFormat/>
    <w:uiPriority w:val="0"/>
    <w:pPr>
      <w:jc w:val="center"/>
    </w:pPr>
    <w:rPr>
      <w:rFonts w:eastAsia="楷体"/>
      <w:sz w:val="32"/>
    </w:rPr>
  </w:style>
  <w:style w:type="character" w:customStyle="1" w:styleId="20">
    <w:name w:val="首页项目名称 Char"/>
    <w:link w:val="18"/>
    <w:qFormat/>
    <w:uiPriority w:val="0"/>
    <w:rPr>
      <w:rFonts w:ascii="Times New Roman" w:hAnsi="Times New Roman" w:eastAsia="隶书"/>
      <w:sz w:val="52"/>
    </w:rPr>
  </w:style>
  <w:style w:type="character" w:customStyle="1" w:styleId="21">
    <w:name w:val="首页日期 Char"/>
    <w:link w:val="19"/>
    <w:qFormat/>
    <w:uiPriority w:val="0"/>
    <w:rPr>
      <w:rFonts w:ascii="Times New Roman" w:hAnsi="Times New Roman" w:eastAsia="楷体"/>
      <w:sz w:val="32"/>
    </w:rPr>
  </w:style>
  <w:style w:type="paragraph" w:customStyle="1" w:styleId="22">
    <w:name w:val="一标题"/>
    <w:link w:val="23"/>
    <w:qFormat/>
    <w:uiPriority w:val="0"/>
    <w:pPr>
      <w:spacing w:before="100" w:beforeLines="100" w:line="360" w:lineRule="auto"/>
    </w:pPr>
    <w:rPr>
      <w:rFonts w:ascii="宋体" w:hAnsi="宋体" w:eastAsia="宋体" w:cs="Times New Roman"/>
      <w:b/>
      <w:sz w:val="24"/>
      <w:lang w:val="en-US" w:eastAsia="zh-CN" w:bidi="ar-SA"/>
    </w:rPr>
  </w:style>
  <w:style w:type="character" w:customStyle="1" w:styleId="23">
    <w:name w:val="一标题 Char"/>
    <w:link w:val="22"/>
    <w:qFormat/>
    <w:uiPriority w:val="0"/>
    <w:rPr>
      <w:rFonts w:ascii="宋体" w:hAnsi="宋体" w:eastAsia="宋体" w:cs="Times New Roman"/>
      <w:b/>
      <w:sz w:val="24"/>
    </w:rPr>
  </w:style>
  <w:style w:type="character" w:customStyle="1" w:styleId="24">
    <w:name w:val="Subtle Emphasis"/>
    <w:basedOn w:val="15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1090</Words>
  <Characters>1211</Characters>
  <Lines>12</Lines>
  <Paragraphs>7</Paragraphs>
  <TotalTime>3</TotalTime>
  <ScaleCrop>false</ScaleCrop>
  <LinksUpToDate>false</LinksUpToDate>
  <CharactersWithSpaces>1238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2020-01-03T01:39:00Z</dcterms:created>
  <dc:creator>shenpeiyi</dc:creator>
  <cp:lastModifiedBy>SuperAdmin</cp:lastModifiedBy>
  <dcterms:modified xsi:type="dcterms:W3CDTF">2024-08-16T03:32:56Z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B630251BF1B14CA99A40F9CAB9F58DAF</vt:lpwstr>
  </property>
</Properties>
</file>