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BC085">
      <w:pPr>
        <w:spacing w:line="250" w:lineRule="auto"/>
        <w:rPr>
          <w:color w:val="auto"/>
          <w:highlight w:val="none"/>
        </w:rPr>
      </w:pPr>
    </w:p>
    <w:p w14:paraId="4E3F7082">
      <w:pPr>
        <w:spacing w:line="251" w:lineRule="auto"/>
        <w:rPr>
          <w:color w:val="auto"/>
          <w:highlight w:val="none"/>
        </w:rPr>
      </w:pPr>
    </w:p>
    <w:p w14:paraId="4AE570C2">
      <w:pPr>
        <w:spacing w:line="251" w:lineRule="auto"/>
        <w:rPr>
          <w:color w:val="auto"/>
          <w:highlight w:val="none"/>
        </w:rPr>
      </w:pPr>
    </w:p>
    <w:p w14:paraId="655124A9">
      <w:pPr>
        <w:spacing w:line="251" w:lineRule="auto"/>
        <w:rPr>
          <w:color w:val="auto"/>
          <w:highlight w:val="none"/>
        </w:rPr>
      </w:pPr>
    </w:p>
    <w:p w14:paraId="2E5C4E8D">
      <w:pPr>
        <w:spacing w:line="251" w:lineRule="auto"/>
        <w:rPr>
          <w:color w:val="auto"/>
          <w:highlight w:val="none"/>
        </w:rPr>
      </w:pPr>
    </w:p>
    <w:p w14:paraId="6C1E766B">
      <w:pPr>
        <w:spacing w:line="251" w:lineRule="auto"/>
        <w:rPr>
          <w:color w:val="auto"/>
          <w:highlight w:val="none"/>
        </w:rPr>
      </w:pPr>
    </w:p>
    <w:p w14:paraId="64F3D54E">
      <w:pPr>
        <w:spacing w:before="159" w:line="360" w:lineRule="auto"/>
        <w:ind w:firstLine="1010"/>
        <w:jc w:val="center"/>
        <w:rPr>
          <w:rFonts w:hint="eastAsia" w:ascii="宋体" w:hAnsi="宋体" w:eastAsia="宋体" w:cs="宋体"/>
          <w:b/>
          <w:bCs/>
          <w:color w:val="auto"/>
          <w:spacing w:val="13"/>
          <w:sz w:val="49"/>
          <w:szCs w:val="49"/>
          <w:highlight w:val="none"/>
          <w:lang w:val="en-US" w:eastAsia="zh-CN"/>
        </w:rPr>
      </w:pPr>
      <w:r>
        <w:rPr>
          <w:rFonts w:hint="eastAsia" w:ascii="宋体" w:hAnsi="宋体" w:eastAsia="宋体" w:cs="宋体"/>
          <w:b/>
          <w:bCs/>
          <w:color w:val="auto"/>
          <w:spacing w:val="13"/>
          <w:sz w:val="49"/>
          <w:szCs w:val="49"/>
          <w:highlight w:val="none"/>
          <w:lang w:val="en-US" w:eastAsia="zh-CN"/>
        </w:rPr>
        <w:t xml:space="preserve"> 数字能源管控装置</w:t>
      </w:r>
    </w:p>
    <w:p w14:paraId="09E15FEC">
      <w:pPr>
        <w:spacing w:before="159" w:line="360" w:lineRule="auto"/>
        <w:ind w:firstLine="1010"/>
        <w:jc w:val="center"/>
        <w:rPr>
          <w:rFonts w:ascii="宋体" w:hAnsi="宋体" w:eastAsia="宋体" w:cs="宋体"/>
          <w:b/>
          <w:bCs/>
          <w:color w:val="auto"/>
          <w:spacing w:val="15"/>
          <w:sz w:val="49"/>
          <w:szCs w:val="49"/>
          <w:highlight w:val="none"/>
        </w:rPr>
      </w:pPr>
      <w:r>
        <w:rPr>
          <w:rFonts w:hint="eastAsia" w:ascii="宋体" w:hAnsi="宋体" w:eastAsia="宋体" w:cs="宋体"/>
          <w:b/>
          <w:bCs/>
          <w:color w:val="auto"/>
          <w:spacing w:val="13"/>
          <w:sz w:val="49"/>
          <w:szCs w:val="49"/>
          <w:highlight w:val="none"/>
        </w:rPr>
        <w:t>委托生产及配套服务</w:t>
      </w:r>
      <w:r>
        <w:rPr>
          <w:rFonts w:hint="eastAsia" w:ascii="宋体" w:hAnsi="宋体" w:eastAsia="宋体" w:cs="宋体"/>
          <w:b/>
          <w:bCs/>
          <w:color w:val="auto"/>
          <w:spacing w:val="15"/>
          <w:sz w:val="49"/>
          <w:szCs w:val="49"/>
          <w:highlight w:val="none"/>
        </w:rPr>
        <w:t>技术规范书</w:t>
      </w:r>
    </w:p>
    <w:p w14:paraId="7CE4A876">
      <w:pPr>
        <w:spacing w:before="159" w:line="360" w:lineRule="auto"/>
        <w:ind w:firstLine="1014"/>
        <w:jc w:val="center"/>
        <w:rPr>
          <w:rFonts w:ascii="宋体" w:hAnsi="宋体" w:eastAsia="宋体" w:cs="宋体"/>
          <w:b/>
          <w:bCs/>
          <w:color w:val="auto"/>
          <w:spacing w:val="15"/>
          <w:sz w:val="49"/>
          <w:szCs w:val="49"/>
          <w:highlight w:val="none"/>
        </w:rPr>
      </w:pPr>
    </w:p>
    <w:p w14:paraId="23A93422">
      <w:pPr>
        <w:spacing w:before="159" w:line="360" w:lineRule="auto"/>
        <w:ind w:firstLine="1014"/>
        <w:jc w:val="center"/>
        <w:rPr>
          <w:rFonts w:ascii="宋体" w:hAnsi="宋体" w:eastAsia="宋体" w:cs="宋体"/>
          <w:b/>
          <w:bCs/>
          <w:color w:val="auto"/>
          <w:spacing w:val="15"/>
          <w:sz w:val="49"/>
          <w:szCs w:val="49"/>
          <w:highlight w:val="none"/>
        </w:rPr>
      </w:pPr>
    </w:p>
    <w:p w14:paraId="19F48F61">
      <w:pPr>
        <w:spacing w:before="159" w:line="360" w:lineRule="auto"/>
        <w:ind w:firstLine="1014"/>
        <w:jc w:val="center"/>
        <w:rPr>
          <w:rFonts w:ascii="宋体" w:hAnsi="宋体" w:eastAsia="宋体" w:cs="宋体"/>
          <w:b/>
          <w:bCs/>
          <w:color w:val="auto"/>
          <w:spacing w:val="15"/>
          <w:sz w:val="49"/>
          <w:szCs w:val="49"/>
          <w:highlight w:val="none"/>
        </w:rPr>
      </w:pPr>
    </w:p>
    <w:p w14:paraId="10246F95">
      <w:pPr>
        <w:spacing w:before="159" w:line="360" w:lineRule="auto"/>
        <w:ind w:firstLine="1014"/>
        <w:jc w:val="center"/>
        <w:rPr>
          <w:rFonts w:ascii="宋体" w:hAnsi="宋体" w:eastAsia="宋体" w:cs="宋体"/>
          <w:b/>
          <w:bCs/>
          <w:color w:val="auto"/>
          <w:spacing w:val="15"/>
          <w:sz w:val="49"/>
          <w:szCs w:val="49"/>
          <w:highlight w:val="none"/>
        </w:rPr>
      </w:pPr>
    </w:p>
    <w:p w14:paraId="38FE8EBD">
      <w:pPr>
        <w:spacing w:line="360" w:lineRule="auto"/>
        <w:jc w:val="center"/>
        <w:rPr>
          <w:rFonts w:ascii="宋体" w:hAnsi="宋体" w:eastAsia="宋体" w:cs="宋体"/>
          <w:color w:val="auto"/>
          <w:highlight w:val="none"/>
        </w:rPr>
      </w:pPr>
    </w:p>
    <w:p w14:paraId="63FB096C">
      <w:pPr>
        <w:spacing w:line="360" w:lineRule="auto"/>
        <w:jc w:val="center"/>
        <w:rPr>
          <w:rFonts w:ascii="宋体" w:hAnsi="宋体" w:eastAsia="宋体" w:cs="宋体"/>
          <w:color w:val="auto"/>
          <w:highlight w:val="none"/>
        </w:rPr>
      </w:pPr>
    </w:p>
    <w:p w14:paraId="209B2EF0">
      <w:pPr>
        <w:spacing w:before="159" w:line="360" w:lineRule="auto"/>
        <w:ind w:firstLine="673"/>
        <w:jc w:val="center"/>
        <w:rPr>
          <w:rFonts w:ascii="宋体" w:hAnsi="宋体" w:eastAsia="宋体" w:cs="宋体"/>
          <w:b/>
          <w:bCs/>
          <w:color w:val="auto"/>
          <w:spacing w:val="15"/>
          <w:sz w:val="32"/>
          <w:szCs w:val="32"/>
          <w:highlight w:val="none"/>
        </w:rPr>
      </w:pPr>
      <w:r>
        <w:rPr>
          <w:rFonts w:hint="eastAsia" w:ascii="宋体" w:hAnsi="宋体" w:eastAsia="宋体" w:cs="宋体"/>
          <w:b/>
          <w:bCs/>
          <w:color w:val="auto"/>
          <w:spacing w:val="15"/>
          <w:sz w:val="32"/>
          <w:szCs w:val="32"/>
          <w:highlight w:val="none"/>
        </w:rPr>
        <w:t>南方电网大数据服务有限公司</w:t>
      </w:r>
    </w:p>
    <w:p w14:paraId="6116577F">
      <w:pPr>
        <w:spacing w:before="159" w:line="360" w:lineRule="auto"/>
        <w:ind w:firstLine="673"/>
        <w:jc w:val="center"/>
        <w:rPr>
          <w:rFonts w:ascii="宋体" w:hAnsi="宋体" w:eastAsia="宋体" w:cs="宋体"/>
          <w:b/>
          <w:bCs/>
          <w:color w:val="auto"/>
          <w:spacing w:val="15"/>
          <w:sz w:val="32"/>
          <w:szCs w:val="32"/>
          <w:highlight w:val="none"/>
        </w:rPr>
      </w:pPr>
      <w:r>
        <w:rPr>
          <w:rFonts w:hint="eastAsia" w:ascii="宋体" w:hAnsi="宋体" w:eastAsia="宋体" w:cs="宋体"/>
          <w:b/>
          <w:bCs/>
          <w:color w:val="auto"/>
          <w:spacing w:val="15"/>
          <w:sz w:val="32"/>
          <w:szCs w:val="32"/>
          <w:highlight w:val="none"/>
        </w:rPr>
        <w:t>202</w:t>
      </w:r>
      <w:r>
        <w:rPr>
          <w:rFonts w:hint="eastAsia" w:ascii="宋体" w:hAnsi="宋体" w:eastAsia="宋体" w:cs="宋体"/>
          <w:b/>
          <w:bCs/>
          <w:color w:val="auto"/>
          <w:spacing w:val="15"/>
          <w:sz w:val="32"/>
          <w:szCs w:val="32"/>
          <w:highlight w:val="none"/>
          <w:lang w:val="en-US" w:eastAsia="zh-CN"/>
        </w:rPr>
        <w:t>4</w:t>
      </w:r>
      <w:r>
        <w:rPr>
          <w:rFonts w:hint="eastAsia" w:ascii="宋体" w:hAnsi="宋体" w:eastAsia="宋体" w:cs="宋体"/>
          <w:b/>
          <w:bCs/>
          <w:color w:val="auto"/>
          <w:spacing w:val="15"/>
          <w:sz w:val="32"/>
          <w:szCs w:val="32"/>
          <w:highlight w:val="none"/>
        </w:rPr>
        <w:t>年</w:t>
      </w:r>
      <w:r>
        <w:rPr>
          <w:rFonts w:hint="eastAsia" w:ascii="宋体" w:hAnsi="宋体" w:eastAsia="宋体" w:cs="宋体"/>
          <w:b/>
          <w:bCs/>
          <w:color w:val="auto"/>
          <w:spacing w:val="15"/>
          <w:sz w:val="32"/>
          <w:szCs w:val="32"/>
          <w:highlight w:val="none"/>
          <w:lang w:val="en-US" w:eastAsia="zh-CN"/>
        </w:rPr>
        <w:t>05</w:t>
      </w:r>
      <w:r>
        <w:rPr>
          <w:rFonts w:hint="eastAsia" w:ascii="宋体" w:hAnsi="宋体" w:eastAsia="宋体" w:cs="宋体"/>
          <w:b/>
          <w:bCs/>
          <w:color w:val="auto"/>
          <w:spacing w:val="15"/>
          <w:sz w:val="32"/>
          <w:szCs w:val="32"/>
          <w:highlight w:val="none"/>
        </w:rPr>
        <w:t>月</w:t>
      </w:r>
    </w:p>
    <w:p w14:paraId="10847216">
      <w:pPr>
        <w:spacing w:line="255" w:lineRule="auto"/>
        <w:rPr>
          <w:color w:val="auto"/>
          <w:highlight w:val="none"/>
        </w:rPr>
      </w:pPr>
    </w:p>
    <w:p w14:paraId="4ADFA96B">
      <w:pPr>
        <w:spacing w:line="255" w:lineRule="auto"/>
        <w:rPr>
          <w:color w:val="auto"/>
          <w:highlight w:val="none"/>
        </w:rPr>
      </w:pPr>
    </w:p>
    <w:p w14:paraId="732A0A02">
      <w:pPr>
        <w:spacing w:line="255" w:lineRule="auto"/>
        <w:rPr>
          <w:color w:val="auto"/>
          <w:highlight w:val="none"/>
        </w:rPr>
      </w:pPr>
    </w:p>
    <w:p w14:paraId="5845AF88">
      <w:pPr>
        <w:spacing w:line="255" w:lineRule="auto"/>
        <w:rPr>
          <w:color w:val="auto"/>
          <w:highlight w:val="none"/>
        </w:rPr>
      </w:pPr>
    </w:p>
    <w:p w14:paraId="04B9925C">
      <w:pPr>
        <w:spacing w:line="255" w:lineRule="auto"/>
        <w:rPr>
          <w:color w:val="auto"/>
          <w:highlight w:val="none"/>
        </w:rPr>
      </w:pPr>
    </w:p>
    <w:p w14:paraId="280B0316">
      <w:pPr>
        <w:spacing w:line="255" w:lineRule="auto"/>
        <w:rPr>
          <w:color w:val="auto"/>
          <w:highlight w:val="none"/>
        </w:rPr>
      </w:pPr>
    </w:p>
    <w:p w14:paraId="425EAFC7">
      <w:pPr>
        <w:spacing w:line="255" w:lineRule="auto"/>
        <w:rPr>
          <w:color w:val="auto"/>
          <w:highlight w:val="none"/>
        </w:rPr>
      </w:pPr>
    </w:p>
    <w:p w14:paraId="5E1B2443">
      <w:pPr>
        <w:spacing w:line="255" w:lineRule="auto"/>
        <w:rPr>
          <w:color w:val="auto"/>
          <w:highlight w:val="none"/>
        </w:rPr>
      </w:pPr>
    </w:p>
    <w:p w14:paraId="771E1652">
      <w:pPr>
        <w:rPr>
          <w:rFonts w:ascii="宋体" w:hAnsi="宋体" w:eastAsia="宋体" w:cs="宋体"/>
          <w:color w:val="auto"/>
          <w:highlight w:val="none"/>
        </w:rPr>
      </w:pPr>
      <w:r>
        <w:rPr>
          <w:color w:val="auto"/>
          <w:highlight w:val="none"/>
        </w:rPr>
        <w:br w:type="page"/>
      </w:r>
    </w:p>
    <w:sdt>
      <w:sdtPr>
        <w:rPr>
          <w:rFonts w:hint="eastAsia" w:ascii="宋体" w:hAnsi="宋体" w:eastAsia="宋体" w:cs="宋体"/>
          <w:b/>
          <w:bCs/>
          <w:color w:val="auto"/>
          <w:sz w:val="28"/>
          <w:szCs w:val="28"/>
          <w:highlight w:val="none"/>
        </w:rPr>
        <w:id w:val="147479650"/>
        <w15:color w:val="DBDBDB"/>
        <w:docPartObj>
          <w:docPartGallery w:val="Table of Contents"/>
          <w:docPartUnique/>
        </w:docPartObj>
      </w:sdtPr>
      <w:sdtEndPr>
        <w:rPr>
          <w:rFonts w:hint="eastAsia" w:ascii="宋体" w:hAnsi="宋体" w:eastAsia="宋体" w:cs="宋体"/>
          <w:b/>
          <w:bCs/>
          <w:color w:val="auto"/>
          <w:sz w:val="21"/>
          <w:szCs w:val="21"/>
          <w:highlight w:val="none"/>
        </w:rPr>
      </w:sdtEndPr>
      <w:sdtContent>
        <w:p w14:paraId="382808B3">
          <w:pPr>
            <w:spacing w:line="360" w:lineRule="auto"/>
            <w:ind w:firstLine="562"/>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14:paraId="2F5315E3">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_Toc7871 </w:instrText>
          </w:r>
          <w:r>
            <w:rPr>
              <w:rFonts w:hint="eastAsia" w:ascii="宋体" w:hAnsi="宋体" w:eastAsia="宋体" w:cs="宋体"/>
              <w:highlight w:val="none"/>
            </w:rPr>
            <w:fldChar w:fldCharType="separate"/>
          </w:r>
          <w:r>
            <w:rPr>
              <w:rFonts w:hint="eastAsia" w:ascii="宋体" w:hAnsi="宋体" w:eastAsia="宋体" w:cs="宋体"/>
              <w:bCs/>
              <w:spacing w:val="-13"/>
              <w:highlight w:val="none"/>
            </w:rPr>
            <w:t>1</w:t>
          </w:r>
          <w:r>
            <w:rPr>
              <w:rFonts w:hint="eastAsia" w:ascii="宋体" w:hAnsi="宋体" w:eastAsia="宋体" w:cs="宋体"/>
              <w:spacing w:val="4"/>
              <w:highlight w:val="none"/>
            </w:rPr>
            <w:t xml:space="preserve">  </w:t>
          </w:r>
          <w:r>
            <w:rPr>
              <w:rFonts w:hint="eastAsia" w:ascii="宋体" w:hAnsi="宋体" w:eastAsia="宋体" w:cs="宋体"/>
              <w:bCs/>
              <w:spacing w:val="-13"/>
              <w:highlight w:val="none"/>
            </w:rPr>
            <w:t>总</w:t>
          </w:r>
          <w:r>
            <w:rPr>
              <w:rFonts w:hint="eastAsia" w:ascii="宋体" w:hAnsi="宋体" w:eastAsia="宋体" w:cs="宋体"/>
              <w:spacing w:val="-36"/>
              <w:highlight w:val="none"/>
            </w:rPr>
            <w:t xml:space="preserve"> </w:t>
          </w:r>
          <w:r>
            <w:rPr>
              <w:rFonts w:hint="eastAsia" w:ascii="宋体" w:hAnsi="宋体" w:eastAsia="宋体" w:cs="宋体"/>
              <w:bCs/>
              <w:spacing w:val="-13"/>
              <w:highlight w:val="none"/>
            </w:rPr>
            <w:t>则</w:t>
          </w:r>
          <w:r>
            <w:tab/>
          </w:r>
          <w:r>
            <w:fldChar w:fldCharType="begin"/>
          </w:r>
          <w:r>
            <w:instrText xml:space="preserve"> PAGEREF _Toc7871 \h </w:instrText>
          </w:r>
          <w:r>
            <w:fldChar w:fldCharType="separate"/>
          </w:r>
          <w:r>
            <w:t>3</w:t>
          </w:r>
          <w:r>
            <w:fldChar w:fldCharType="end"/>
          </w:r>
          <w:r>
            <w:rPr>
              <w:rFonts w:hint="eastAsia" w:ascii="宋体" w:hAnsi="宋体" w:eastAsia="宋体" w:cs="宋体"/>
              <w:color w:val="auto"/>
              <w:highlight w:val="none"/>
            </w:rPr>
            <w:fldChar w:fldCharType="end"/>
          </w:r>
        </w:p>
        <w:p w14:paraId="0F6D26A5">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_Toc24195 </w:instrText>
          </w:r>
          <w:r>
            <w:rPr>
              <w:rFonts w:hint="eastAsia" w:ascii="宋体" w:hAnsi="宋体" w:eastAsia="宋体" w:cs="宋体"/>
              <w:highlight w:val="none"/>
            </w:rPr>
            <w:fldChar w:fldCharType="separate"/>
          </w:r>
          <w:r>
            <w:rPr>
              <w:rFonts w:hint="eastAsia" w:ascii="宋体" w:hAnsi="宋体" w:eastAsia="宋体" w:cs="宋体"/>
              <w:bCs/>
              <w:spacing w:val="5"/>
              <w:highlight w:val="none"/>
            </w:rPr>
            <w:t>2  工作范围</w:t>
          </w:r>
          <w:r>
            <w:tab/>
          </w:r>
          <w:r>
            <w:fldChar w:fldCharType="begin"/>
          </w:r>
          <w:r>
            <w:instrText xml:space="preserve"> PAGEREF _Toc24195 \h </w:instrText>
          </w:r>
          <w:r>
            <w:fldChar w:fldCharType="separate"/>
          </w:r>
          <w:r>
            <w:t>3</w:t>
          </w:r>
          <w:r>
            <w:fldChar w:fldCharType="end"/>
          </w:r>
          <w:r>
            <w:rPr>
              <w:rFonts w:hint="eastAsia" w:ascii="宋体" w:hAnsi="宋体" w:eastAsia="宋体" w:cs="宋体"/>
              <w:color w:val="auto"/>
              <w:highlight w:val="none"/>
            </w:rPr>
            <w:fldChar w:fldCharType="end"/>
          </w:r>
        </w:p>
        <w:p w14:paraId="43363942">
          <w:pPr>
            <w:pStyle w:val="15"/>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_Toc14513 </w:instrText>
          </w:r>
          <w:r>
            <w:rPr>
              <w:rFonts w:hint="eastAsia" w:ascii="宋体" w:hAnsi="宋体" w:eastAsia="宋体" w:cs="宋体"/>
              <w:highlight w:val="none"/>
            </w:rPr>
            <w:fldChar w:fldCharType="separate"/>
          </w:r>
          <w:r>
            <w:rPr>
              <w:rFonts w:hint="eastAsia" w:ascii="宋体" w:hAnsi="宋体" w:eastAsia="宋体" w:cs="宋体"/>
              <w:bCs/>
              <w:spacing w:val="3"/>
              <w:highlight w:val="none"/>
            </w:rPr>
            <w:t>2.1</w:t>
          </w:r>
          <w:r>
            <w:rPr>
              <w:rFonts w:hint="eastAsia" w:ascii="宋体" w:hAnsi="宋体" w:eastAsia="宋体" w:cs="宋体"/>
              <w:spacing w:val="19"/>
              <w:highlight w:val="none"/>
            </w:rPr>
            <w:t xml:space="preserve"> </w:t>
          </w:r>
          <w:r>
            <w:rPr>
              <w:rFonts w:hint="eastAsia" w:ascii="宋体" w:hAnsi="宋体" w:eastAsia="宋体" w:cs="宋体"/>
              <w:bCs/>
              <w:spacing w:val="3"/>
              <w:highlight w:val="none"/>
            </w:rPr>
            <w:t>范围和界限</w:t>
          </w:r>
          <w:r>
            <w:tab/>
          </w:r>
          <w:r>
            <w:fldChar w:fldCharType="begin"/>
          </w:r>
          <w:r>
            <w:instrText xml:space="preserve"> PAGEREF _Toc14513 \h </w:instrText>
          </w:r>
          <w:r>
            <w:fldChar w:fldCharType="separate"/>
          </w:r>
          <w:r>
            <w:t>3</w:t>
          </w:r>
          <w:r>
            <w:fldChar w:fldCharType="end"/>
          </w:r>
          <w:r>
            <w:rPr>
              <w:rFonts w:hint="eastAsia" w:ascii="宋体" w:hAnsi="宋体" w:eastAsia="宋体" w:cs="宋体"/>
              <w:color w:val="auto"/>
              <w:highlight w:val="none"/>
            </w:rPr>
            <w:fldChar w:fldCharType="end"/>
          </w:r>
        </w:p>
        <w:p w14:paraId="582EAF6F">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_Toc29223 </w:instrText>
          </w:r>
          <w:r>
            <w:rPr>
              <w:rFonts w:hint="eastAsia" w:ascii="宋体" w:hAnsi="宋体" w:eastAsia="宋体" w:cs="宋体"/>
              <w:highlight w:val="none"/>
            </w:rPr>
            <w:fldChar w:fldCharType="separate"/>
          </w:r>
          <w:r>
            <w:rPr>
              <w:rFonts w:hint="eastAsia" w:ascii="宋体" w:hAnsi="宋体" w:eastAsia="宋体" w:cs="宋体"/>
              <w:bCs/>
              <w:spacing w:val="7"/>
              <w:highlight w:val="none"/>
            </w:rPr>
            <w:t>3</w:t>
          </w:r>
          <w:r>
            <w:rPr>
              <w:rFonts w:hint="eastAsia" w:ascii="宋体" w:hAnsi="宋体" w:eastAsia="宋体" w:cs="宋体"/>
              <w:spacing w:val="12"/>
              <w:highlight w:val="none"/>
            </w:rPr>
            <w:t xml:space="preserve">  </w:t>
          </w:r>
          <w:r>
            <w:rPr>
              <w:rFonts w:hint="eastAsia" w:ascii="宋体" w:hAnsi="宋体" w:eastAsia="宋体" w:cs="宋体"/>
              <w:bCs/>
              <w:spacing w:val="7"/>
              <w:highlight w:val="none"/>
            </w:rPr>
            <w:t>应遵循的主要标准</w:t>
          </w:r>
          <w:r>
            <w:tab/>
          </w:r>
          <w:r>
            <w:fldChar w:fldCharType="begin"/>
          </w:r>
          <w:r>
            <w:instrText xml:space="preserve"> PAGEREF _Toc29223 \h </w:instrText>
          </w:r>
          <w:r>
            <w:fldChar w:fldCharType="separate"/>
          </w:r>
          <w:r>
            <w:t>4</w:t>
          </w:r>
          <w:r>
            <w:fldChar w:fldCharType="end"/>
          </w:r>
          <w:r>
            <w:rPr>
              <w:rFonts w:hint="eastAsia" w:ascii="宋体" w:hAnsi="宋体" w:eastAsia="宋体" w:cs="宋体"/>
              <w:color w:val="auto"/>
              <w:highlight w:val="none"/>
            </w:rPr>
            <w:fldChar w:fldCharType="end"/>
          </w:r>
        </w:p>
        <w:p w14:paraId="0BD1FF6D">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_Toc28786 </w:instrText>
          </w:r>
          <w:r>
            <w:rPr>
              <w:rFonts w:hint="eastAsia" w:ascii="宋体" w:hAnsi="宋体" w:eastAsia="宋体" w:cs="宋体"/>
              <w:highlight w:val="none"/>
            </w:rPr>
            <w:fldChar w:fldCharType="separate"/>
          </w:r>
          <w:r>
            <w:rPr>
              <w:rFonts w:hint="eastAsia" w:ascii="宋体" w:hAnsi="宋体" w:eastAsia="宋体" w:cs="宋体"/>
              <w:bCs/>
              <w:spacing w:val="28"/>
              <w:highlight w:val="none"/>
            </w:rPr>
            <w:t>4 使用条件</w:t>
          </w:r>
          <w:r>
            <w:tab/>
          </w:r>
          <w:r>
            <w:fldChar w:fldCharType="begin"/>
          </w:r>
          <w:r>
            <w:instrText xml:space="preserve"> PAGEREF _Toc28786 \h </w:instrText>
          </w:r>
          <w:r>
            <w:fldChar w:fldCharType="separate"/>
          </w:r>
          <w:r>
            <w:t>6</w:t>
          </w:r>
          <w:r>
            <w:fldChar w:fldCharType="end"/>
          </w:r>
          <w:r>
            <w:rPr>
              <w:rFonts w:hint="eastAsia" w:ascii="宋体" w:hAnsi="宋体" w:eastAsia="宋体" w:cs="宋体"/>
              <w:color w:val="auto"/>
              <w:highlight w:val="none"/>
            </w:rPr>
            <w:fldChar w:fldCharType="end"/>
          </w:r>
        </w:p>
        <w:p w14:paraId="3FC95C40">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_Toc11641 </w:instrText>
          </w:r>
          <w:r>
            <w:rPr>
              <w:rFonts w:hint="eastAsia" w:ascii="宋体" w:hAnsi="宋体" w:eastAsia="宋体" w:cs="宋体"/>
              <w:highlight w:val="none"/>
            </w:rPr>
            <w:fldChar w:fldCharType="separate"/>
          </w:r>
          <w:r>
            <w:rPr>
              <w:rFonts w:hint="eastAsia" w:ascii="宋体" w:hAnsi="宋体" w:eastAsia="宋体" w:cs="宋体"/>
              <w:bCs/>
              <w:spacing w:val="3"/>
              <w:highlight w:val="none"/>
            </w:rPr>
            <w:t>4.1 正常使用条件</w:t>
          </w:r>
          <w:r>
            <w:tab/>
          </w:r>
          <w:r>
            <w:fldChar w:fldCharType="begin"/>
          </w:r>
          <w:r>
            <w:instrText xml:space="preserve"> PAGEREF _Toc11641 \h </w:instrText>
          </w:r>
          <w:r>
            <w:fldChar w:fldCharType="separate"/>
          </w:r>
          <w:r>
            <w:t>6</w:t>
          </w:r>
          <w:r>
            <w:fldChar w:fldCharType="end"/>
          </w:r>
          <w:r>
            <w:rPr>
              <w:rFonts w:hint="eastAsia" w:ascii="宋体" w:hAnsi="宋体" w:eastAsia="宋体" w:cs="宋体"/>
              <w:color w:val="auto"/>
              <w:highlight w:val="none"/>
            </w:rPr>
            <w:fldChar w:fldCharType="end"/>
          </w:r>
        </w:p>
        <w:p w14:paraId="1C61BC5C">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_Toc26333 </w:instrText>
          </w:r>
          <w:r>
            <w:rPr>
              <w:rFonts w:hint="eastAsia" w:ascii="宋体" w:hAnsi="宋体" w:eastAsia="宋体" w:cs="宋体"/>
              <w:highlight w:val="none"/>
            </w:rPr>
            <w:fldChar w:fldCharType="separate"/>
          </w:r>
          <w:r>
            <w:rPr>
              <w:rFonts w:hint="eastAsia" w:ascii="宋体" w:hAnsi="宋体" w:eastAsia="宋体" w:cs="宋体"/>
              <w:bCs/>
              <w:spacing w:val="23"/>
              <w:highlight w:val="none"/>
            </w:rPr>
            <w:t>5 技术要求</w:t>
          </w:r>
          <w:r>
            <w:tab/>
          </w:r>
          <w:r>
            <w:fldChar w:fldCharType="begin"/>
          </w:r>
          <w:r>
            <w:instrText xml:space="preserve"> PAGEREF _Toc26333 \h </w:instrText>
          </w:r>
          <w:r>
            <w:fldChar w:fldCharType="separate"/>
          </w:r>
          <w:r>
            <w:t>7</w:t>
          </w:r>
          <w:r>
            <w:fldChar w:fldCharType="end"/>
          </w:r>
          <w:r>
            <w:rPr>
              <w:rFonts w:hint="eastAsia" w:ascii="宋体" w:hAnsi="宋体" w:eastAsia="宋体" w:cs="宋体"/>
              <w:color w:val="auto"/>
              <w:highlight w:val="none"/>
            </w:rPr>
            <w:fldChar w:fldCharType="end"/>
          </w:r>
        </w:p>
        <w:p w14:paraId="74405BAA">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_Toc24762 </w:instrText>
          </w:r>
          <w:r>
            <w:rPr>
              <w:rFonts w:hint="eastAsia" w:ascii="宋体" w:hAnsi="宋体" w:eastAsia="宋体" w:cs="宋体"/>
              <w:highlight w:val="none"/>
            </w:rPr>
            <w:fldChar w:fldCharType="separate"/>
          </w:r>
          <w:r>
            <w:rPr>
              <w:rFonts w:hint="default" w:ascii="宋体" w:hAnsi="宋体" w:eastAsia="宋体" w:cs="宋体"/>
              <w:bCs/>
              <w:spacing w:val="3"/>
              <w:highlight w:val="none"/>
              <w:lang w:val="en-US" w:eastAsia="zh-CN"/>
            </w:rPr>
            <w:t>5.1电源要求</w:t>
          </w:r>
          <w:r>
            <w:tab/>
          </w:r>
          <w:r>
            <w:fldChar w:fldCharType="begin"/>
          </w:r>
          <w:r>
            <w:instrText xml:space="preserve"> PAGEREF _Toc24762 \h </w:instrText>
          </w:r>
          <w:r>
            <w:fldChar w:fldCharType="separate"/>
          </w:r>
          <w:r>
            <w:t>7</w:t>
          </w:r>
          <w:r>
            <w:fldChar w:fldCharType="end"/>
          </w:r>
          <w:r>
            <w:rPr>
              <w:rFonts w:hint="eastAsia" w:ascii="宋体" w:hAnsi="宋体" w:eastAsia="宋体" w:cs="宋体"/>
              <w:color w:val="auto"/>
              <w:highlight w:val="none"/>
            </w:rPr>
            <w:fldChar w:fldCharType="end"/>
          </w:r>
        </w:p>
        <w:p w14:paraId="54252533">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_Toc23221 </w:instrText>
          </w:r>
          <w:r>
            <w:rPr>
              <w:rFonts w:hint="eastAsia" w:ascii="宋体" w:hAnsi="宋体" w:eastAsia="宋体" w:cs="宋体"/>
              <w:highlight w:val="none"/>
            </w:rPr>
            <w:fldChar w:fldCharType="separate"/>
          </w:r>
          <w:r>
            <w:rPr>
              <w:rFonts w:hint="eastAsia" w:ascii="宋体" w:hAnsi="宋体" w:eastAsia="宋体" w:cs="宋体"/>
              <w:bCs/>
              <w:spacing w:val="3"/>
              <w:highlight w:val="none"/>
              <w:lang w:val="en-US" w:eastAsia="zh-CN"/>
            </w:rPr>
            <w:t>5.2. 设计要求</w:t>
          </w:r>
          <w:r>
            <w:tab/>
          </w:r>
          <w:r>
            <w:fldChar w:fldCharType="begin"/>
          </w:r>
          <w:r>
            <w:instrText xml:space="preserve"> PAGEREF _Toc23221 \h </w:instrText>
          </w:r>
          <w:r>
            <w:fldChar w:fldCharType="separate"/>
          </w:r>
          <w:r>
            <w:t>7</w:t>
          </w:r>
          <w:r>
            <w:fldChar w:fldCharType="end"/>
          </w:r>
          <w:r>
            <w:rPr>
              <w:rFonts w:hint="eastAsia" w:ascii="宋体" w:hAnsi="宋体" w:eastAsia="宋体" w:cs="宋体"/>
              <w:color w:val="auto"/>
              <w:highlight w:val="none"/>
            </w:rPr>
            <w:fldChar w:fldCharType="end"/>
          </w:r>
        </w:p>
        <w:p w14:paraId="531E26A8">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_Toc26884 </w:instrText>
          </w:r>
          <w:r>
            <w:rPr>
              <w:rFonts w:hint="eastAsia" w:ascii="宋体" w:hAnsi="宋体" w:eastAsia="宋体" w:cs="宋体"/>
              <w:highlight w:val="none"/>
            </w:rPr>
            <w:fldChar w:fldCharType="separate"/>
          </w:r>
          <w:r>
            <w:rPr>
              <w:rFonts w:hint="eastAsia" w:ascii="宋体" w:hAnsi="宋体" w:eastAsia="宋体" w:cs="宋体"/>
              <w:bCs/>
              <w:spacing w:val="3"/>
              <w:highlight w:val="none"/>
              <w:lang w:val="en-US" w:eastAsia="zh-CN"/>
            </w:rPr>
            <w:t>5.3. 性能要求</w:t>
          </w:r>
          <w:r>
            <w:tab/>
          </w:r>
          <w:r>
            <w:fldChar w:fldCharType="begin"/>
          </w:r>
          <w:r>
            <w:instrText xml:space="preserve"> PAGEREF _Toc26884 \h </w:instrText>
          </w:r>
          <w:r>
            <w:fldChar w:fldCharType="separate"/>
          </w:r>
          <w:r>
            <w:t>9</w:t>
          </w:r>
          <w:r>
            <w:fldChar w:fldCharType="end"/>
          </w:r>
          <w:r>
            <w:rPr>
              <w:rFonts w:hint="eastAsia" w:ascii="宋体" w:hAnsi="宋体" w:eastAsia="宋体" w:cs="宋体"/>
              <w:color w:val="auto"/>
              <w:highlight w:val="none"/>
            </w:rPr>
            <w:fldChar w:fldCharType="end"/>
          </w:r>
        </w:p>
        <w:p w14:paraId="3C348EA7">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_Toc28807 </w:instrText>
          </w:r>
          <w:r>
            <w:rPr>
              <w:rFonts w:hint="eastAsia" w:ascii="宋体" w:hAnsi="宋体" w:eastAsia="宋体" w:cs="宋体"/>
              <w:highlight w:val="none"/>
            </w:rPr>
            <w:fldChar w:fldCharType="separate"/>
          </w:r>
          <w:r>
            <w:rPr>
              <w:rFonts w:hint="eastAsia" w:ascii="宋体" w:hAnsi="宋体" w:eastAsia="宋体" w:cs="宋体"/>
              <w:bCs/>
              <w:spacing w:val="3"/>
              <w:highlight w:val="none"/>
              <w:lang w:val="zh-CN" w:eastAsia="zh-CN"/>
            </w:rPr>
            <w:t>5</w:t>
          </w:r>
          <w:r>
            <w:rPr>
              <w:rFonts w:hint="eastAsia" w:ascii="宋体" w:hAnsi="宋体" w:eastAsia="宋体" w:cs="宋体"/>
              <w:bCs/>
              <w:spacing w:val="3"/>
              <w:highlight w:val="none"/>
              <w:lang w:val="en-US" w:eastAsia="zh-CN"/>
            </w:rPr>
            <w:t xml:space="preserve">.4 </w:t>
          </w:r>
          <w:r>
            <w:rPr>
              <w:rFonts w:hint="eastAsia" w:ascii="宋体" w:hAnsi="宋体" w:eastAsia="宋体" w:cs="宋体"/>
              <w:bCs/>
              <w:spacing w:val="3"/>
              <w:highlight w:val="none"/>
              <w:lang w:val="zh-CN" w:eastAsia="zh-CN"/>
            </w:rPr>
            <w:t>电磁兼容</w:t>
          </w:r>
          <w:r>
            <w:tab/>
          </w:r>
          <w:r>
            <w:fldChar w:fldCharType="begin"/>
          </w:r>
          <w:r>
            <w:instrText xml:space="preserve"> PAGEREF _Toc28807 \h </w:instrText>
          </w:r>
          <w:r>
            <w:fldChar w:fldCharType="separate"/>
          </w:r>
          <w:r>
            <w:t>9</w:t>
          </w:r>
          <w:r>
            <w:fldChar w:fldCharType="end"/>
          </w:r>
          <w:r>
            <w:rPr>
              <w:rFonts w:hint="eastAsia" w:ascii="宋体" w:hAnsi="宋体" w:eastAsia="宋体" w:cs="宋体"/>
              <w:color w:val="auto"/>
              <w:highlight w:val="none"/>
            </w:rPr>
            <w:fldChar w:fldCharType="end"/>
          </w:r>
        </w:p>
        <w:p w14:paraId="423D8B71">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_Toc3357 </w:instrText>
          </w:r>
          <w:r>
            <w:rPr>
              <w:rFonts w:hint="eastAsia" w:ascii="宋体" w:hAnsi="宋体" w:eastAsia="宋体" w:cs="宋体"/>
              <w:highlight w:val="none"/>
            </w:rPr>
            <w:fldChar w:fldCharType="separate"/>
          </w:r>
          <w:r>
            <w:rPr>
              <w:rFonts w:hint="eastAsia" w:ascii="宋体" w:hAnsi="宋体" w:eastAsia="宋体" w:cs="宋体"/>
              <w:bCs/>
              <w:spacing w:val="15"/>
              <w:highlight w:val="none"/>
            </w:rPr>
            <w:t>8  技术文件要求</w:t>
          </w:r>
          <w:r>
            <w:tab/>
          </w:r>
          <w:r>
            <w:fldChar w:fldCharType="begin"/>
          </w:r>
          <w:r>
            <w:instrText xml:space="preserve"> PAGEREF _Toc3357 \h </w:instrText>
          </w:r>
          <w:r>
            <w:fldChar w:fldCharType="separate"/>
          </w:r>
          <w:r>
            <w:t>13</w:t>
          </w:r>
          <w:r>
            <w:fldChar w:fldCharType="end"/>
          </w:r>
          <w:r>
            <w:rPr>
              <w:rFonts w:hint="eastAsia" w:ascii="宋体" w:hAnsi="宋体" w:eastAsia="宋体" w:cs="宋体"/>
              <w:color w:val="auto"/>
              <w:highlight w:val="none"/>
            </w:rPr>
            <w:fldChar w:fldCharType="end"/>
          </w:r>
        </w:p>
        <w:p w14:paraId="129DAADC">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_Toc32427 </w:instrText>
          </w:r>
          <w:r>
            <w:rPr>
              <w:rFonts w:hint="eastAsia" w:ascii="宋体" w:hAnsi="宋体" w:eastAsia="宋体" w:cs="宋体"/>
              <w:highlight w:val="none"/>
            </w:rPr>
            <w:fldChar w:fldCharType="separate"/>
          </w:r>
          <w:r>
            <w:rPr>
              <w:rFonts w:hint="eastAsia" w:ascii="宋体" w:hAnsi="宋体" w:eastAsia="宋体" w:cs="宋体"/>
              <w:bCs/>
              <w:spacing w:val="3"/>
              <w:highlight w:val="none"/>
            </w:rPr>
            <w:t xml:space="preserve">9  </w:t>
          </w:r>
          <w:r>
            <w:rPr>
              <w:rFonts w:hint="default" w:ascii="宋体" w:hAnsi="宋体" w:eastAsia="宋体" w:cs="宋体"/>
              <w:bCs/>
              <w:spacing w:val="15"/>
              <w:highlight w:val="none"/>
            </w:rPr>
            <w:t>技术服务、工厂检验和监造及技术培训</w:t>
          </w:r>
          <w:r>
            <w:tab/>
          </w:r>
          <w:r>
            <w:fldChar w:fldCharType="begin"/>
          </w:r>
          <w:r>
            <w:instrText xml:space="preserve"> PAGEREF _Toc32427 \h </w:instrText>
          </w:r>
          <w:r>
            <w:fldChar w:fldCharType="separate"/>
          </w:r>
          <w:r>
            <w:t>13</w:t>
          </w:r>
          <w:r>
            <w:fldChar w:fldCharType="end"/>
          </w:r>
          <w:r>
            <w:rPr>
              <w:rFonts w:hint="eastAsia" w:ascii="宋体" w:hAnsi="宋体" w:eastAsia="宋体" w:cs="宋体"/>
              <w:color w:val="auto"/>
              <w:highlight w:val="none"/>
            </w:rPr>
            <w:fldChar w:fldCharType="end"/>
          </w:r>
        </w:p>
        <w:p w14:paraId="638EFC32">
          <w:pPr>
            <w:pStyle w:val="15"/>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_Toc29189 </w:instrText>
          </w:r>
          <w:r>
            <w:rPr>
              <w:rFonts w:hint="eastAsia" w:ascii="宋体" w:hAnsi="宋体" w:eastAsia="宋体" w:cs="宋体"/>
              <w:highlight w:val="none"/>
            </w:rPr>
            <w:fldChar w:fldCharType="separate"/>
          </w:r>
          <w:r>
            <w:rPr>
              <w:rFonts w:hint="default" w:ascii="Times New Roman" w:hAnsi="Times New Roman" w:eastAsia="黑体" w:cs="Times New Roman"/>
              <w:bCs w:val="0"/>
              <w:szCs w:val="21"/>
            </w:rPr>
            <w:t xml:space="preserve">9.1 </w:t>
          </w:r>
          <w:r>
            <w:rPr>
              <w:rFonts w:hint="default" w:ascii="Times New Roman" w:hAnsi="Times New Roman" w:eastAsia="黑体" w:cs="Times New Roman"/>
              <w:bCs w:val="0"/>
              <w:szCs w:val="21"/>
              <w:highlight w:val="none"/>
            </w:rPr>
            <w:t>技术服务与联络</w:t>
          </w:r>
          <w:r>
            <w:tab/>
          </w:r>
          <w:r>
            <w:fldChar w:fldCharType="begin"/>
          </w:r>
          <w:r>
            <w:instrText xml:space="preserve"> PAGEREF _Toc29189 \h </w:instrText>
          </w:r>
          <w:r>
            <w:fldChar w:fldCharType="separate"/>
          </w:r>
          <w:r>
            <w:t>13</w:t>
          </w:r>
          <w:r>
            <w:fldChar w:fldCharType="end"/>
          </w:r>
          <w:r>
            <w:rPr>
              <w:rFonts w:hint="eastAsia" w:ascii="宋体" w:hAnsi="宋体" w:eastAsia="宋体" w:cs="宋体"/>
              <w:color w:val="auto"/>
              <w:highlight w:val="none"/>
            </w:rPr>
            <w:fldChar w:fldCharType="end"/>
          </w:r>
        </w:p>
        <w:p w14:paraId="2B9336BA">
          <w:pPr>
            <w:pStyle w:val="15"/>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_Toc9754 </w:instrText>
          </w:r>
          <w:r>
            <w:rPr>
              <w:rFonts w:hint="eastAsia" w:ascii="宋体" w:hAnsi="宋体" w:eastAsia="宋体" w:cs="宋体"/>
              <w:highlight w:val="none"/>
            </w:rPr>
            <w:fldChar w:fldCharType="separate"/>
          </w:r>
          <w:r>
            <w:rPr>
              <w:rFonts w:hint="default" w:ascii="Times New Roman" w:hAnsi="Times New Roman" w:eastAsia="黑体" w:cs="Times New Roman"/>
              <w:bCs w:val="0"/>
              <w:szCs w:val="21"/>
            </w:rPr>
            <w:t xml:space="preserve">9.2 </w:t>
          </w:r>
          <w:r>
            <w:rPr>
              <w:rFonts w:hint="default" w:ascii="Times New Roman" w:hAnsi="Times New Roman" w:eastAsia="黑体" w:cs="Times New Roman"/>
              <w:bCs w:val="0"/>
              <w:szCs w:val="21"/>
              <w:highlight w:val="none"/>
            </w:rPr>
            <w:t>工厂检验和监造</w:t>
          </w:r>
          <w:r>
            <w:tab/>
          </w:r>
          <w:r>
            <w:fldChar w:fldCharType="begin"/>
          </w:r>
          <w:r>
            <w:instrText xml:space="preserve"> PAGEREF _Toc9754 \h </w:instrText>
          </w:r>
          <w:r>
            <w:fldChar w:fldCharType="separate"/>
          </w:r>
          <w:r>
            <w:t>13</w:t>
          </w:r>
          <w:r>
            <w:fldChar w:fldCharType="end"/>
          </w:r>
          <w:r>
            <w:rPr>
              <w:rFonts w:hint="eastAsia" w:ascii="宋体" w:hAnsi="宋体" w:eastAsia="宋体" w:cs="宋体"/>
              <w:color w:val="auto"/>
              <w:highlight w:val="none"/>
            </w:rPr>
            <w:fldChar w:fldCharType="end"/>
          </w:r>
        </w:p>
        <w:p w14:paraId="4B29CA1A">
          <w:pPr>
            <w:pStyle w:val="15"/>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_Toc27870 </w:instrText>
          </w:r>
          <w:r>
            <w:rPr>
              <w:rFonts w:hint="eastAsia" w:ascii="宋体" w:hAnsi="宋体" w:eastAsia="宋体" w:cs="宋体"/>
              <w:highlight w:val="none"/>
            </w:rPr>
            <w:fldChar w:fldCharType="separate"/>
          </w:r>
          <w:r>
            <w:rPr>
              <w:rFonts w:hint="default" w:ascii="Times New Roman" w:hAnsi="Times New Roman" w:eastAsia="黑体" w:cs="Times New Roman"/>
              <w:bCs w:val="0"/>
              <w:szCs w:val="21"/>
            </w:rPr>
            <w:t xml:space="preserve">9.3 </w:t>
          </w:r>
          <w:r>
            <w:rPr>
              <w:rFonts w:hint="default" w:ascii="Times New Roman" w:hAnsi="Times New Roman" w:eastAsia="黑体" w:cs="Times New Roman"/>
              <w:bCs w:val="0"/>
              <w:szCs w:val="21"/>
              <w:highlight w:val="none"/>
            </w:rPr>
            <w:t>技术培训</w:t>
          </w:r>
          <w:r>
            <w:tab/>
          </w:r>
          <w:r>
            <w:fldChar w:fldCharType="begin"/>
          </w:r>
          <w:r>
            <w:instrText xml:space="preserve"> PAGEREF _Toc27870 \h </w:instrText>
          </w:r>
          <w:r>
            <w:fldChar w:fldCharType="separate"/>
          </w:r>
          <w:r>
            <w:t>14</w:t>
          </w:r>
          <w:r>
            <w:fldChar w:fldCharType="end"/>
          </w:r>
          <w:r>
            <w:rPr>
              <w:rFonts w:hint="eastAsia" w:ascii="宋体" w:hAnsi="宋体" w:eastAsia="宋体" w:cs="宋体"/>
              <w:color w:val="auto"/>
              <w:highlight w:val="none"/>
            </w:rPr>
            <w:fldChar w:fldCharType="end"/>
          </w:r>
        </w:p>
        <w:p w14:paraId="2E12E32D">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_Toc1851 </w:instrText>
          </w:r>
          <w:r>
            <w:rPr>
              <w:rFonts w:hint="eastAsia" w:ascii="宋体" w:hAnsi="宋体" w:eastAsia="宋体" w:cs="宋体"/>
              <w:highlight w:val="none"/>
            </w:rPr>
            <w:fldChar w:fldCharType="separate"/>
          </w:r>
          <w:r>
            <w:rPr>
              <w:rFonts w:hint="eastAsia" w:ascii="宋体" w:hAnsi="宋体" w:eastAsia="宋体" w:cs="宋体"/>
              <w:bCs/>
              <w:spacing w:val="3"/>
              <w:highlight w:val="none"/>
              <w:lang w:val="en-US" w:eastAsia="zh-CN"/>
            </w:rPr>
            <w:t>10</w:t>
          </w:r>
          <w:r>
            <w:rPr>
              <w:rFonts w:hint="eastAsia" w:ascii="宋体" w:hAnsi="宋体" w:eastAsia="宋体" w:cs="宋体"/>
              <w:bCs/>
              <w:spacing w:val="3"/>
              <w:highlight w:val="none"/>
            </w:rPr>
            <w:t xml:space="preserve">  包装、运输、安装及质量保证</w:t>
          </w:r>
          <w:r>
            <w:tab/>
          </w:r>
          <w:r>
            <w:fldChar w:fldCharType="begin"/>
          </w:r>
          <w:r>
            <w:instrText xml:space="preserve"> PAGEREF _Toc1851 \h </w:instrText>
          </w:r>
          <w:r>
            <w:fldChar w:fldCharType="separate"/>
          </w:r>
          <w:r>
            <w:t>14</w:t>
          </w:r>
          <w:r>
            <w:fldChar w:fldCharType="end"/>
          </w:r>
          <w:r>
            <w:rPr>
              <w:rFonts w:hint="eastAsia" w:ascii="宋体" w:hAnsi="宋体" w:eastAsia="宋体" w:cs="宋体"/>
              <w:color w:val="auto"/>
              <w:highlight w:val="none"/>
            </w:rPr>
            <w:fldChar w:fldCharType="end"/>
          </w:r>
        </w:p>
        <w:p w14:paraId="6B3FFA9D">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_Toc25880 </w:instrText>
          </w:r>
          <w:r>
            <w:rPr>
              <w:rFonts w:hint="eastAsia" w:ascii="宋体" w:hAnsi="宋体" w:eastAsia="宋体" w:cs="宋体"/>
              <w:highlight w:val="none"/>
            </w:rPr>
            <w:fldChar w:fldCharType="separate"/>
          </w:r>
          <w:r>
            <w:rPr>
              <w:rFonts w:hint="eastAsia" w:ascii="宋体" w:hAnsi="宋体" w:eastAsia="宋体" w:cs="宋体"/>
              <w:bCs/>
              <w:spacing w:val="-2"/>
              <w:highlight w:val="none"/>
            </w:rPr>
            <w:t>1</w:t>
          </w:r>
          <w:r>
            <w:rPr>
              <w:rFonts w:hint="eastAsia" w:ascii="宋体" w:hAnsi="宋体" w:eastAsia="宋体" w:cs="宋体"/>
              <w:bCs/>
              <w:spacing w:val="-2"/>
              <w:highlight w:val="none"/>
              <w:lang w:val="en-US" w:eastAsia="zh-CN"/>
            </w:rPr>
            <w:t>1</w:t>
          </w:r>
          <w:r>
            <w:rPr>
              <w:rFonts w:hint="eastAsia" w:ascii="宋体" w:hAnsi="宋体" w:eastAsia="宋体" w:cs="宋体"/>
              <w:spacing w:val="-8"/>
              <w:highlight w:val="none"/>
            </w:rPr>
            <w:t xml:space="preserve">  </w:t>
          </w:r>
          <w:r>
            <w:rPr>
              <w:rFonts w:hint="eastAsia" w:ascii="宋体" w:hAnsi="宋体" w:eastAsia="宋体" w:cs="宋体"/>
              <w:bCs/>
              <w:spacing w:val="-2"/>
              <w:highlight w:val="none"/>
              <w:lang w:val="en-US" w:eastAsia="zh-CN"/>
            </w:rPr>
            <w:t>装置</w:t>
          </w:r>
          <w:r>
            <w:rPr>
              <w:rFonts w:hint="eastAsia" w:ascii="宋体" w:hAnsi="宋体" w:eastAsia="宋体" w:cs="宋体"/>
              <w:bCs/>
              <w:spacing w:val="-2"/>
              <w:highlight w:val="none"/>
            </w:rPr>
            <w:t>关键技术参数和性能要求响应表</w:t>
          </w:r>
          <w:r>
            <w:tab/>
          </w:r>
          <w:r>
            <w:fldChar w:fldCharType="begin"/>
          </w:r>
          <w:r>
            <w:instrText xml:space="preserve"> PAGEREF _Toc25880 \h </w:instrText>
          </w:r>
          <w:r>
            <w:fldChar w:fldCharType="separate"/>
          </w:r>
          <w:r>
            <w:t>14</w:t>
          </w:r>
          <w:r>
            <w:fldChar w:fldCharType="end"/>
          </w:r>
          <w:r>
            <w:rPr>
              <w:rFonts w:hint="eastAsia" w:ascii="宋体" w:hAnsi="宋体" w:eastAsia="宋体" w:cs="宋体"/>
              <w:color w:val="auto"/>
              <w:highlight w:val="none"/>
            </w:rPr>
            <w:fldChar w:fldCharType="end"/>
          </w:r>
        </w:p>
        <w:p w14:paraId="0EDE12DF">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_Toc6613 </w:instrText>
          </w:r>
          <w:r>
            <w:rPr>
              <w:rFonts w:hint="eastAsia" w:ascii="宋体" w:hAnsi="宋体" w:eastAsia="宋体" w:cs="宋体"/>
              <w:highlight w:val="none"/>
            </w:rPr>
            <w:fldChar w:fldCharType="separate"/>
          </w:r>
          <w:r>
            <w:rPr>
              <w:rFonts w:hint="eastAsia" w:ascii="宋体" w:hAnsi="宋体" w:eastAsia="宋体" w:cs="宋体"/>
              <w:bCs/>
              <w:spacing w:val="-4"/>
              <w:highlight w:val="none"/>
            </w:rPr>
            <w:t>1</w:t>
          </w:r>
          <w:r>
            <w:rPr>
              <w:rFonts w:hint="eastAsia" w:ascii="宋体" w:hAnsi="宋体" w:eastAsia="宋体" w:cs="宋体"/>
              <w:bCs/>
              <w:spacing w:val="-4"/>
              <w:highlight w:val="none"/>
              <w:lang w:val="en-US" w:eastAsia="zh-CN"/>
            </w:rPr>
            <w:t>2</w:t>
          </w:r>
          <w:r>
            <w:rPr>
              <w:rFonts w:hint="eastAsia" w:ascii="宋体" w:hAnsi="宋体" w:eastAsia="宋体" w:cs="宋体"/>
              <w:spacing w:val="11"/>
              <w:highlight w:val="none"/>
            </w:rPr>
            <w:t xml:space="preserve">  </w:t>
          </w:r>
          <w:r>
            <w:rPr>
              <w:rFonts w:hint="eastAsia" w:ascii="宋体" w:hAnsi="宋体" w:eastAsia="宋体" w:cs="宋体"/>
              <w:bCs/>
              <w:spacing w:val="-4"/>
              <w:highlight w:val="none"/>
            </w:rPr>
            <w:t>主要元器件来源</w:t>
          </w:r>
          <w:r>
            <w:tab/>
          </w:r>
          <w:r>
            <w:fldChar w:fldCharType="begin"/>
          </w:r>
          <w:r>
            <w:instrText xml:space="preserve"> PAGEREF _Toc6613 \h </w:instrText>
          </w:r>
          <w:r>
            <w:fldChar w:fldCharType="separate"/>
          </w:r>
          <w:r>
            <w:t>17</w:t>
          </w:r>
          <w:r>
            <w:fldChar w:fldCharType="end"/>
          </w:r>
          <w:r>
            <w:rPr>
              <w:rFonts w:hint="eastAsia" w:ascii="宋体" w:hAnsi="宋体" w:eastAsia="宋体" w:cs="宋体"/>
              <w:color w:val="auto"/>
              <w:highlight w:val="none"/>
            </w:rPr>
            <w:fldChar w:fldCharType="end"/>
          </w:r>
        </w:p>
        <w:p w14:paraId="328D4D71">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_Toc20750 </w:instrText>
          </w:r>
          <w:r>
            <w:rPr>
              <w:rFonts w:hint="eastAsia" w:ascii="宋体" w:hAnsi="宋体" w:eastAsia="宋体" w:cs="宋体"/>
              <w:highlight w:val="none"/>
            </w:rPr>
            <w:fldChar w:fldCharType="separate"/>
          </w:r>
          <w:r>
            <w:rPr>
              <w:rFonts w:hint="eastAsia" w:ascii="宋体" w:hAnsi="宋体" w:eastAsia="宋体" w:cs="宋体"/>
              <w:bCs/>
              <w:spacing w:val="-4"/>
              <w:highlight w:val="none"/>
            </w:rPr>
            <w:t>1</w:t>
          </w:r>
          <w:r>
            <w:rPr>
              <w:rFonts w:hint="eastAsia" w:ascii="宋体" w:hAnsi="宋体" w:eastAsia="宋体" w:cs="宋体"/>
              <w:bCs/>
              <w:spacing w:val="-4"/>
              <w:highlight w:val="none"/>
              <w:lang w:val="en-US" w:eastAsia="zh-CN"/>
            </w:rPr>
            <w:t>3</w:t>
          </w:r>
          <w:r>
            <w:rPr>
              <w:rFonts w:hint="eastAsia" w:ascii="宋体" w:hAnsi="宋体" w:eastAsia="宋体" w:cs="宋体"/>
              <w:spacing w:val="18"/>
              <w:highlight w:val="none"/>
            </w:rPr>
            <w:t xml:space="preserve">  </w:t>
          </w:r>
          <w:r>
            <w:rPr>
              <w:rFonts w:hint="eastAsia" w:ascii="宋体" w:hAnsi="宋体" w:eastAsia="宋体" w:cs="宋体"/>
              <w:bCs/>
              <w:spacing w:val="-4"/>
              <w:highlight w:val="none"/>
            </w:rPr>
            <w:t>技术差异表</w:t>
          </w:r>
          <w:r>
            <w:tab/>
          </w:r>
          <w:r>
            <w:fldChar w:fldCharType="begin"/>
          </w:r>
          <w:r>
            <w:instrText xml:space="preserve"> PAGEREF _Toc20750 \h </w:instrText>
          </w:r>
          <w:r>
            <w:fldChar w:fldCharType="separate"/>
          </w:r>
          <w:r>
            <w:t>17</w:t>
          </w:r>
          <w:r>
            <w:fldChar w:fldCharType="end"/>
          </w:r>
          <w:r>
            <w:rPr>
              <w:rFonts w:hint="eastAsia" w:ascii="宋体" w:hAnsi="宋体" w:eastAsia="宋体" w:cs="宋体"/>
              <w:color w:val="auto"/>
              <w:highlight w:val="none"/>
            </w:rPr>
            <w:fldChar w:fldCharType="end"/>
          </w:r>
        </w:p>
        <w:p w14:paraId="0CA19CA0">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_Toc10691 </w:instrText>
          </w:r>
          <w:r>
            <w:rPr>
              <w:rFonts w:hint="eastAsia" w:ascii="宋体" w:hAnsi="宋体" w:eastAsia="宋体" w:cs="宋体"/>
              <w:highlight w:val="none"/>
            </w:rPr>
            <w:fldChar w:fldCharType="separate"/>
          </w:r>
          <w:r>
            <w:rPr>
              <w:rFonts w:hint="eastAsia" w:ascii="宋体" w:hAnsi="宋体" w:eastAsia="宋体" w:cs="宋体"/>
              <w:bCs/>
              <w:spacing w:val="8"/>
              <w:highlight w:val="none"/>
            </w:rPr>
            <w:t>1</w:t>
          </w:r>
          <w:r>
            <w:rPr>
              <w:rFonts w:hint="eastAsia" w:ascii="宋体" w:hAnsi="宋体" w:eastAsia="宋体" w:cs="宋体"/>
              <w:bCs/>
              <w:spacing w:val="8"/>
              <w:highlight w:val="none"/>
              <w:lang w:val="en-US" w:eastAsia="zh-CN"/>
            </w:rPr>
            <w:t>4</w:t>
          </w:r>
          <w:r>
            <w:rPr>
              <w:rFonts w:hint="eastAsia" w:ascii="宋体" w:hAnsi="宋体" w:eastAsia="宋体" w:cs="宋体"/>
              <w:bCs/>
              <w:spacing w:val="8"/>
              <w:highlight w:val="none"/>
            </w:rPr>
            <w:t xml:space="preserve">  投标方需说明的其他问题</w:t>
          </w:r>
          <w:r>
            <w:tab/>
          </w:r>
          <w:r>
            <w:fldChar w:fldCharType="begin"/>
          </w:r>
          <w:r>
            <w:instrText xml:space="preserve"> PAGEREF _Toc10691 \h </w:instrText>
          </w:r>
          <w:r>
            <w:fldChar w:fldCharType="separate"/>
          </w:r>
          <w:r>
            <w:t>19</w:t>
          </w:r>
          <w:r>
            <w:fldChar w:fldCharType="end"/>
          </w:r>
          <w:r>
            <w:rPr>
              <w:rFonts w:hint="eastAsia" w:ascii="宋体" w:hAnsi="宋体" w:eastAsia="宋体" w:cs="宋体"/>
              <w:color w:val="auto"/>
              <w:highlight w:val="none"/>
            </w:rPr>
            <w:fldChar w:fldCharType="end"/>
          </w:r>
        </w:p>
        <w:p w14:paraId="43F26BF3">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_Toc26741 </w:instrText>
          </w:r>
          <w:r>
            <w:rPr>
              <w:rFonts w:hint="eastAsia" w:ascii="宋体" w:hAnsi="宋体" w:eastAsia="宋体" w:cs="宋体"/>
              <w:highlight w:val="none"/>
            </w:rPr>
            <w:fldChar w:fldCharType="separate"/>
          </w:r>
          <w:r>
            <w:rPr>
              <w:rFonts w:hint="eastAsia" w:ascii="宋体" w:hAnsi="宋体" w:eastAsia="宋体" w:cs="宋体"/>
              <w:bCs/>
              <w:spacing w:val="7"/>
              <w:highlight w:val="none"/>
            </w:rPr>
            <w:t>1</w:t>
          </w:r>
          <w:r>
            <w:rPr>
              <w:rFonts w:hint="eastAsia" w:ascii="宋体" w:hAnsi="宋体" w:eastAsia="宋体" w:cs="宋体"/>
              <w:bCs/>
              <w:spacing w:val="7"/>
              <w:highlight w:val="none"/>
              <w:lang w:val="en-US" w:eastAsia="zh-CN"/>
            </w:rPr>
            <w:t>5</w:t>
          </w:r>
          <w:r>
            <w:rPr>
              <w:rFonts w:hint="eastAsia" w:ascii="宋体" w:hAnsi="宋体" w:eastAsia="宋体" w:cs="宋体"/>
              <w:bCs/>
              <w:spacing w:val="7"/>
              <w:highlight w:val="none"/>
            </w:rPr>
            <w:t xml:space="preserve">  附表1</w:t>
          </w:r>
          <w:r>
            <w:tab/>
          </w:r>
          <w:r>
            <w:fldChar w:fldCharType="begin"/>
          </w:r>
          <w:r>
            <w:instrText xml:space="preserve"> PAGEREF _Toc26741 \h </w:instrText>
          </w:r>
          <w:r>
            <w:fldChar w:fldCharType="separate"/>
          </w:r>
          <w:r>
            <w:t>19</w:t>
          </w:r>
          <w:r>
            <w:fldChar w:fldCharType="end"/>
          </w:r>
          <w:r>
            <w:rPr>
              <w:rFonts w:hint="eastAsia" w:ascii="宋体" w:hAnsi="宋体" w:eastAsia="宋体" w:cs="宋体"/>
              <w:color w:val="auto"/>
              <w:highlight w:val="none"/>
            </w:rPr>
            <w:fldChar w:fldCharType="end"/>
          </w:r>
        </w:p>
        <w:p w14:paraId="08DE8F26">
          <w:pPr>
            <w:pStyle w:val="14"/>
            <w:tabs>
              <w:tab w:val="right" w:leader="dot" w:pos="8362"/>
            </w:tabs>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_Toc17953 </w:instrText>
          </w:r>
          <w:r>
            <w:rPr>
              <w:rFonts w:hint="eastAsia" w:ascii="宋体" w:hAnsi="宋体" w:eastAsia="宋体" w:cs="宋体"/>
              <w:highlight w:val="none"/>
            </w:rPr>
            <w:fldChar w:fldCharType="separate"/>
          </w:r>
          <w:r>
            <w:rPr>
              <w:rFonts w:hint="eastAsia" w:ascii="宋体" w:hAnsi="宋体" w:eastAsia="宋体" w:cs="宋体"/>
              <w:bCs/>
              <w:spacing w:val="-11"/>
              <w:highlight w:val="none"/>
            </w:rPr>
            <w:t>特殊说明</w:t>
          </w:r>
          <w:r>
            <w:tab/>
          </w:r>
          <w:r>
            <w:fldChar w:fldCharType="begin"/>
          </w:r>
          <w:r>
            <w:instrText xml:space="preserve"> PAGEREF _Toc17953 \h </w:instrText>
          </w:r>
          <w:r>
            <w:fldChar w:fldCharType="separate"/>
          </w:r>
          <w:r>
            <w:t>19</w:t>
          </w:r>
          <w:r>
            <w:fldChar w:fldCharType="end"/>
          </w:r>
          <w:r>
            <w:rPr>
              <w:rFonts w:hint="eastAsia" w:ascii="宋体" w:hAnsi="宋体" w:eastAsia="宋体" w:cs="宋体"/>
              <w:color w:val="auto"/>
              <w:highlight w:val="none"/>
            </w:rPr>
            <w:fldChar w:fldCharType="end"/>
          </w:r>
        </w:p>
        <w:p w14:paraId="3AEF2779">
          <w:pPr>
            <w:spacing w:line="360" w:lineRule="auto"/>
            <w:rPr>
              <w:rFonts w:ascii="宋体" w:hAnsi="宋体" w:eastAsia="宋体" w:cs="宋体"/>
              <w:color w:val="auto"/>
              <w:highlight w:val="none"/>
            </w:rPr>
            <w:sectPr>
              <w:pgSz w:w="11910" w:h="16850"/>
              <w:pgMar w:top="1309" w:right="1786" w:bottom="0" w:left="1762" w:header="1057" w:footer="0" w:gutter="0"/>
              <w:pgNumType w:fmt="decimal"/>
              <w:cols w:space="720" w:num="1"/>
            </w:sectPr>
          </w:pPr>
          <w:r>
            <w:rPr>
              <w:rFonts w:hint="eastAsia" w:ascii="宋体" w:hAnsi="宋体" w:eastAsia="宋体" w:cs="宋体"/>
              <w:color w:val="auto"/>
              <w:highlight w:val="none"/>
            </w:rPr>
            <w:fldChar w:fldCharType="end"/>
          </w:r>
        </w:p>
      </w:sdtContent>
    </w:sdt>
    <w:p w14:paraId="58E9BE63">
      <w:pPr>
        <w:spacing w:before="65" w:line="360" w:lineRule="auto"/>
        <w:ind w:left="26" w:firstLine="396"/>
        <w:outlineLvl w:val="0"/>
        <w:rPr>
          <w:rFonts w:ascii="宋体" w:hAnsi="宋体" w:eastAsia="宋体" w:cs="宋体"/>
          <w:color w:val="auto"/>
          <w:highlight w:val="none"/>
        </w:rPr>
      </w:pPr>
      <w:bookmarkStart w:id="0" w:name="_Toc7871"/>
      <w:r>
        <w:rPr>
          <w:rFonts w:hint="eastAsia" w:ascii="宋体" w:hAnsi="宋体" w:eastAsia="宋体" w:cs="宋体"/>
          <w:b/>
          <w:bCs/>
          <w:color w:val="auto"/>
          <w:spacing w:val="-13"/>
          <w:highlight w:val="none"/>
        </w:rPr>
        <w:t>1</w:t>
      </w:r>
      <w:r>
        <w:rPr>
          <w:rFonts w:hint="eastAsia" w:ascii="宋体" w:hAnsi="宋体" w:eastAsia="宋体" w:cs="宋体"/>
          <w:color w:val="auto"/>
          <w:spacing w:val="4"/>
          <w:highlight w:val="none"/>
        </w:rPr>
        <w:t xml:space="preserve">  </w:t>
      </w:r>
      <w:r>
        <w:rPr>
          <w:rFonts w:hint="eastAsia" w:ascii="宋体" w:hAnsi="宋体" w:eastAsia="宋体" w:cs="宋体"/>
          <w:b/>
          <w:bCs/>
          <w:color w:val="auto"/>
          <w:spacing w:val="-13"/>
          <w:highlight w:val="none"/>
        </w:rPr>
        <w:t>总</w:t>
      </w:r>
      <w:r>
        <w:rPr>
          <w:rFonts w:hint="eastAsia" w:ascii="宋体" w:hAnsi="宋体" w:eastAsia="宋体" w:cs="宋体"/>
          <w:color w:val="auto"/>
          <w:spacing w:val="-36"/>
          <w:highlight w:val="none"/>
        </w:rPr>
        <w:t xml:space="preserve"> </w:t>
      </w:r>
      <w:r>
        <w:rPr>
          <w:rFonts w:hint="eastAsia" w:ascii="宋体" w:hAnsi="宋体" w:eastAsia="宋体" w:cs="宋体"/>
          <w:b/>
          <w:bCs/>
          <w:color w:val="auto"/>
          <w:spacing w:val="-13"/>
          <w:highlight w:val="none"/>
        </w:rPr>
        <w:t>则</w:t>
      </w:r>
      <w:bookmarkEnd w:id="0"/>
    </w:p>
    <w:p w14:paraId="3AAC757B">
      <w:pPr>
        <w:spacing w:line="360" w:lineRule="auto"/>
        <w:ind w:firstLine="412" w:firstLineChars="200"/>
        <w:rPr>
          <w:rFonts w:ascii="宋体" w:hAnsi="宋体" w:eastAsia="宋体" w:cs="宋体"/>
          <w:color w:val="auto"/>
          <w:highlight w:val="none"/>
        </w:rPr>
      </w:pPr>
      <w:r>
        <w:rPr>
          <w:rFonts w:hint="eastAsia" w:ascii="宋体" w:hAnsi="宋体" w:eastAsia="宋体" w:cs="宋体"/>
          <w:color w:val="auto"/>
          <w:spacing w:val="-2"/>
          <w:highlight w:val="none"/>
        </w:rPr>
        <w:t>1</w:t>
      </w:r>
      <w:r>
        <w:rPr>
          <w:rFonts w:hint="eastAsia" w:ascii="宋体" w:hAnsi="宋体" w:eastAsia="宋体" w:cs="宋体"/>
          <w:color w:val="auto"/>
          <w:highlight w:val="none"/>
        </w:rPr>
        <w:t>.1 本招标技术文件适用于南方电网大数据服务有限公司的</w:t>
      </w:r>
      <w:r>
        <w:rPr>
          <w:rFonts w:hint="eastAsia" w:ascii="宋体" w:hAnsi="宋体" w:eastAsia="宋体" w:cs="宋体"/>
          <w:b/>
          <w:bCs/>
          <w:color w:val="auto"/>
          <w:spacing w:val="-2"/>
          <w:highlight w:val="none"/>
          <w:u w:val="single"/>
          <w:lang w:val="en-US" w:eastAsia="zh-CN"/>
        </w:rPr>
        <w:t>数字能源管控装置</w:t>
      </w:r>
      <w:r>
        <w:rPr>
          <w:rFonts w:hint="eastAsia" w:ascii="宋体" w:hAnsi="宋体" w:eastAsia="宋体" w:cs="宋体"/>
          <w:b/>
          <w:bCs/>
          <w:color w:val="auto"/>
          <w:spacing w:val="-2"/>
          <w:highlight w:val="none"/>
          <w:u w:val="single"/>
        </w:rPr>
        <w:t>委托生产及配套服务</w:t>
      </w:r>
      <w:r>
        <w:rPr>
          <w:rFonts w:hint="eastAsia" w:ascii="宋体" w:hAnsi="宋体" w:eastAsia="宋体" w:cs="宋体"/>
          <w:color w:val="auto"/>
          <w:highlight w:val="none"/>
        </w:rPr>
        <w:t>，它提出了该产品本体及附属材料的功能设计、结构、性</w:t>
      </w:r>
      <w:r>
        <w:rPr>
          <w:rFonts w:hint="eastAsia" w:ascii="宋体" w:hAnsi="宋体" w:eastAsia="宋体" w:cs="宋体"/>
          <w:color w:val="auto"/>
          <w:highlight w:val="none"/>
          <w:lang w:val="en-US" w:eastAsia="zh-CN"/>
        </w:rPr>
        <w:t>能</w:t>
      </w:r>
      <w:r>
        <w:rPr>
          <w:rFonts w:hint="eastAsia" w:ascii="宋体" w:hAnsi="宋体" w:eastAsia="宋体" w:cs="宋体"/>
          <w:color w:val="auto"/>
          <w:highlight w:val="none"/>
        </w:rPr>
        <w:t>和试验等方面的技术要求。</w:t>
      </w:r>
    </w:p>
    <w:p w14:paraId="574B7C2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1.2 本招标技术文件提出的是最低限度的技术要求。凡本招标技术文件中未规定，但在相关产品的行业标准、国家标准或IEC标准中有规定的规范条文，投标方应按相应标准的条文进行产品设计、生产制造、试验和安装。对国家有关安全、环保等强制性标准，必须满足其要求。</w:t>
      </w:r>
    </w:p>
    <w:p w14:paraId="286C21B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1.3 如果投标方没有以书面形式对本招标技术文件的条</w:t>
      </w:r>
      <w:r>
        <w:rPr>
          <w:rFonts w:hint="eastAsia" w:ascii="宋体" w:hAnsi="宋体" w:eastAsia="宋体" w:cs="宋体"/>
          <w:color w:val="auto"/>
          <w:spacing w:val="-1"/>
          <w:highlight w:val="none"/>
        </w:rPr>
        <w:t>文提出异议，则意味着投标方生产的产品</w:t>
      </w:r>
      <w:r>
        <w:rPr>
          <w:rFonts w:hint="eastAsia" w:ascii="宋体" w:hAnsi="宋体" w:eastAsia="宋体" w:cs="宋体"/>
          <w:color w:val="auto"/>
          <w:spacing w:val="-1"/>
          <w:highlight w:val="none"/>
          <w:lang w:val="en-US" w:eastAsia="zh-CN"/>
        </w:rPr>
        <w:t>及提供的配套服务</w:t>
      </w:r>
      <w:r>
        <w:rPr>
          <w:rFonts w:hint="eastAsia" w:ascii="宋体" w:hAnsi="宋体" w:eastAsia="宋体" w:cs="宋体"/>
          <w:color w:val="auto"/>
          <w:spacing w:val="-1"/>
          <w:highlight w:val="none"/>
        </w:rPr>
        <w:t>完</w:t>
      </w:r>
      <w:r>
        <w:rPr>
          <w:rFonts w:hint="eastAsia" w:ascii="宋体" w:hAnsi="宋体" w:eastAsia="宋体" w:cs="宋体"/>
          <w:color w:val="auto"/>
          <w:spacing w:val="-2"/>
          <w:highlight w:val="none"/>
        </w:rPr>
        <w:t>全符合本招标技术文件的要求。</w:t>
      </w:r>
      <w:r>
        <w:rPr>
          <w:rFonts w:hint="eastAsia" w:ascii="宋体" w:hAnsi="宋体" w:eastAsia="宋体" w:cs="宋体"/>
          <w:b/>
          <w:bCs/>
          <w:color w:val="auto"/>
          <w:spacing w:val="-2"/>
          <w:highlight w:val="none"/>
          <w:u w:val="single"/>
        </w:rPr>
        <w:t>如有任何异议，都应在报价书中以“对招标技术文件的意见和</w:t>
      </w:r>
      <w:r>
        <w:rPr>
          <w:rFonts w:hint="eastAsia" w:ascii="宋体" w:hAnsi="宋体" w:eastAsia="宋体" w:cs="宋体"/>
          <w:b/>
          <w:bCs/>
          <w:color w:val="auto"/>
          <w:spacing w:val="-3"/>
          <w:highlight w:val="none"/>
          <w:u w:val="single"/>
        </w:rPr>
        <w:t>同招标技术文件的差异”为标题</w:t>
      </w:r>
      <w:r>
        <w:rPr>
          <w:rFonts w:hint="eastAsia" w:ascii="宋体" w:hAnsi="宋体" w:eastAsia="宋体" w:cs="宋体"/>
          <w:b/>
          <w:bCs/>
          <w:color w:val="auto"/>
          <w:spacing w:val="-3"/>
          <w:highlight w:val="none"/>
        </w:rPr>
        <w:t>的</w:t>
      </w:r>
      <w:r>
        <w:rPr>
          <w:rFonts w:hint="eastAsia" w:ascii="宋体" w:hAnsi="宋体" w:eastAsia="宋体" w:cs="宋体"/>
          <w:color w:val="auto"/>
          <w:spacing w:val="-3"/>
          <w:highlight w:val="none"/>
        </w:rPr>
        <w:t>专门章节中加以详细描述。</w:t>
      </w:r>
    </w:p>
    <w:p w14:paraId="0A83EE5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1.4 本招标技术文件所使用的标准如遇与投标方所执行的标准不一致时，应按较高标准执行。</w:t>
      </w:r>
    </w:p>
    <w:p w14:paraId="1563DEF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1.5 本招标技术文件经买、卖双方确认后作为订货合同的技术附件，与合同正文具有同等的法律效力。</w:t>
      </w:r>
    </w:p>
    <w:p w14:paraId="4D7D85B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1.6 本招标技术文件未尽事宜，由买、卖双方协商确定。</w:t>
      </w:r>
    </w:p>
    <w:p w14:paraId="36C1A93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根据严重程度在对下一批次招评标工作中进行综合评标分扣减或暂停投标资格。</w:t>
      </w:r>
    </w:p>
    <w:p w14:paraId="08B5CB2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1.8 投标方应在应标技术部分按本招标技术文件的要求如实详细的填写应</w:t>
      </w:r>
      <w:r>
        <w:rPr>
          <w:rFonts w:hint="eastAsia" w:ascii="宋体" w:hAnsi="宋体" w:eastAsia="宋体" w:cs="宋体"/>
          <w:color w:val="auto"/>
          <w:spacing w:val="-1"/>
          <w:highlight w:val="none"/>
        </w:rPr>
        <w:t>标物资的标准配置表，并</w:t>
      </w:r>
      <w:r>
        <w:rPr>
          <w:rFonts w:hint="eastAsia" w:ascii="宋体" w:hAnsi="宋体" w:eastAsia="宋体" w:cs="宋体"/>
          <w:color w:val="auto"/>
          <w:spacing w:val="-6"/>
          <w:highlight w:val="none"/>
        </w:rPr>
        <w:t>按此标准配置进行报价，</w:t>
      </w:r>
      <w:r>
        <w:rPr>
          <w:rFonts w:hint="eastAsia" w:ascii="宋体" w:hAnsi="宋体" w:eastAsia="宋体" w:cs="宋体"/>
          <w:b/>
          <w:bCs/>
          <w:color w:val="auto"/>
          <w:spacing w:val="-6"/>
          <w:highlight w:val="none"/>
          <w:u w:val="single"/>
        </w:rPr>
        <w:t>如发现二者有矛盾之处，将以报价表的配置为准</w:t>
      </w:r>
      <w:r>
        <w:rPr>
          <w:rFonts w:hint="eastAsia" w:ascii="宋体" w:hAnsi="宋体" w:eastAsia="宋体" w:cs="宋体"/>
          <w:b/>
          <w:bCs/>
          <w:color w:val="auto"/>
          <w:spacing w:val="-6"/>
          <w:highlight w:val="none"/>
        </w:rPr>
        <w:t>。</w:t>
      </w:r>
    </w:p>
    <w:p w14:paraId="2C5F49D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719EE87F">
      <w:pPr>
        <w:spacing w:line="360" w:lineRule="auto"/>
        <w:ind w:firstLine="420" w:firstLineChars="200"/>
        <w:rPr>
          <w:rFonts w:ascii="宋体" w:hAnsi="宋体" w:eastAsia="宋体" w:cs="宋体"/>
          <w:b/>
          <w:bCs/>
          <w:color w:val="auto"/>
          <w:spacing w:val="-4"/>
          <w:highlight w:val="none"/>
        </w:rPr>
      </w:pPr>
      <w:r>
        <w:rPr>
          <w:rFonts w:hint="eastAsia" w:ascii="宋体" w:hAnsi="宋体" w:eastAsia="宋体" w:cs="宋体"/>
          <w:color w:val="auto"/>
          <w:highlight w:val="none"/>
        </w:rPr>
        <w:t xml:space="preserve">1.10 </w:t>
      </w:r>
      <w:r>
        <w:rPr>
          <w:rFonts w:hint="eastAsia" w:ascii="宋体" w:hAnsi="宋体" w:eastAsia="宋体" w:cs="宋体"/>
          <w:color w:val="auto"/>
          <w:spacing w:val="-4"/>
          <w:highlight w:val="none"/>
        </w:rPr>
        <w:t>标注“</w:t>
      </w:r>
      <w:r>
        <w:rPr>
          <w:rFonts w:hint="eastAsia" w:ascii="宋体" w:hAnsi="宋体" w:eastAsia="宋体" w:cs="宋体"/>
          <w:b/>
          <w:bCs/>
          <w:color w:val="auto"/>
          <w:spacing w:val="-4"/>
          <w:highlight w:val="none"/>
        </w:rPr>
        <w:t>★”的条款为关键条款，作为评标时打分的重点参考。</w:t>
      </w:r>
    </w:p>
    <w:p w14:paraId="3D53B23B">
      <w:pPr>
        <w:spacing w:line="360" w:lineRule="auto"/>
        <w:ind w:firstLine="406" w:firstLineChars="200"/>
        <w:rPr>
          <w:rFonts w:ascii="宋体" w:hAnsi="宋体" w:eastAsia="宋体" w:cs="宋体"/>
          <w:b/>
          <w:bCs/>
          <w:color w:val="auto"/>
          <w:spacing w:val="-4"/>
          <w:highlight w:val="none"/>
        </w:rPr>
      </w:pPr>
    </w:p>
    <w:p w14:paraId="3F306706">
      <w:pPr>
        <w:spacing w:before="75" w:line="360" w:lineRule="auto"/>
        <w:ind w:left="26" w:firstLine="432"/>
        <w:outlineLvl w:val="0"/>
        <w:rPr>
          <w:rFonts w:ascii="宋体" w:hAnsi="宋体" w:eastAsia="宋体" w:cs="宋体"/>
          <w:color w:val="auto"/>
          <w:highlight w:val="none"/>
        </w:rPr>
      </w:pPr>
      <w:bookmarkStart w:id="1" w:name="_Toc24195"/>
      <w:r>
        <w:rPr>
          <w:rFonts w:hint="eastAsia" w:ascii="宋体" w:hAnsi="宋体" w:eastAsia="宋体" w:cs="宋体"/>
          <w:b/>
          <w:bCs/>
          <w:color w:val="auto"/>
          <w:spacing w:val="5"/>
          <w:highlight w:val="none"/>
        </w:rPr>
        <w:t>2  工作范围</w:t>
      </w:r>
      <w:bookmarkEnd w:id="1"/>
    </w:p>
    <w:p w14:paraId="4215E10D">
      <w:pPr>
        <w:spacing w:before="163" w:line="360" w:lineRule="auto"/>
        <w:ind w:left="26" w:firstLine="434" w:firstLineChars="200"/>
        <w:outlineLvl w:val="1"/>
        <w:rPr>
          <w:rFonts w:ascii="宋体" w:hAnsi="宋体" w:eastAsia="宋体" w:cs="宋体"/>
          <w:color w:val="auto"/>
          <w:highlight w:val="none"/>
        </w:rPr>
      </w:pPr>
      <w:bookmarkStart w:id="2" w:name="_Toc14513"/>
      <w:bookmarkStart w:id="3" w:name="_Toc27422"/>
      <w:r>
        <w:rPr>
          <w:rFonts w:hint="eastAsia" w:ascii="宋体" w:hAnsi="宋体" w:eastAsia="宋体" w:cs="宋体"/>
          <w:b/>
          <w:bCs/>
          <w:color w:val="auto"/>
          <w:spacing w:val="3"/>
          <w:highlight w:val="none"/>
        </w:rPr>
        <w:t>2.1</w:t>
      </w:r>
      <w:r>
        <w:rPr>
          <w:rFonts w:hint="eastAsia" w:ascii="宋体" w:hAnsi="宋体" w:eastAsia="宋体" w:cs="宋体"/>
          <w:color w:val="auto"/>
          <w:spacing w:val="19"/>
          <w:highlight w:val="none"/>
        </w:rPr>
        <w:t xml:space="preserve"> </w:t>
      </w:r>
      <w:r>
        <w:rPr>
          <w:rFonts w:hint="eastAsia" w:ascii="宋体" w:hAnsi="宋体" w:eastAsia="宋体" w:cs="宋体"/>
          <w:b/>
          <w:bCs/>
          <w:color w:val="auto"/>
          <w:spacing w:val="3"/>
          <w:highlight w:val="none"/>
        </w:rPr>
        <w:t>范围和界限</w:t>
      </w:r>
      <w:bookmarkEnd w:id="2"/>
      <w:bookmarkEnd w:id="3"/>
    </w:p>
    <w:p w14:paraId="5D662F6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(1)本技术规范书适应于</w:t>
      </w:r>
      <w:r>
        <w:rPr>
          <w:rFonts w:hint="eastAsia" w:ascii="宋体" w:hAnsi="宋体" w:eastAsia="宋体" w:cs="宋体"/>
          <w:color w:val="auto"/>
          <w:highlight w:val="none"/>
          <w:lang w:val="en-US" w:eastAsia="zh-CN"/>
        </w:rPr>
        <w:t>用户侧数字配用电、智慧能源监测、楼宇监控等场景下的数字能源管控装置产品</w:t>
      </w:r>
      <w:r>
        <w:rPr>
          <w:rFonts w:hint="eastAsia" w:ascii="宋体" w:hAnsi="宋体" w:eastAsia="宋体" w:cs="宋体"/>
          <w:color w:val="auto"/>
          <w:highlight w:val="none"/>
        </w:rPr>
        <w:t>的制造、生产装配、工厂试验、交付</w:t>
      </w:r>
      <w:r>
        <w:rPr>
          <w:rFonts w:hint="eastAsia" w:ascii="宋体" w:hAnsi="宋体" w:eastAsia="宋体" w:cs="宋体"/>
          <w:color w:val="auto"/>
          <w:highlight w:val="none"/>
          <w:lang w:val="en-US" w:eastAsia="zh-CN"/>
        </w:rPr>
        <w:t>等</w:t>
      </w:r>
      <w:r>
        <w:rPr>
          <w:rFonts w:hint="eastAsia" w:ascii="宋体" w:hAnsi="宋体" w:eastAsia="宋体" w:cs="宋体"/>
          <w:color w:val="auto"/>
          <w:highlight w:val="none"/>
        </w:rPr>
        <w:t>工作。</w:t>
      </w:r>
    </w:p>
    <w:p w14:paraId="4193774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)本标书未说明，但又与制造、生产装配、试验、运输、包装、保管、安装和运行维护有关的技术要求，按条款3所规定的有关标准执行。</w:t>
      </w:r>
    </w:p>
    <w:p w14:paraId="43E61F47">
      <w:pPr>
        <w:spacing w:line="360" w:lineRule="auto"/>
        <w:ind w:firstLine="422" w:firstLineChars="200"/>
        <w:rPr>
          <w:rFonts w:ascii="宋体" w:hAnsi="宋体" w:eastAsia="宋体" w:cs="宋体"/>
          <w:color w:val="auto"/>
          <w:highlight w:val="none"/>
        </w:rPr>
      </w:pPr>
      <w:bookmarkStart w:id="4" w:name="_Toc17952"/>
      <w:r>
        <w:rPr>
          <w:rFonts w:hint="eastAsia" w:ascii="宋体" w:hAnsi="宋体" w:eastAsia="宋体" w:cs="宋体"/>
          <w:b/>
          <w:bCs/>
          <w:color w:val="auto"/>
          <w:highlight w:val="none"/>
        </w:rPr>
        <w:t>2.2 服务范围(报价表内容)</w:t>
      </w:r>
      <w:bookmarkEnd w:id="4"/>
    </w:p>
    <w:p w14:paraId="4E717DB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 投标方应按本标书的要求生产制造全新的、合格的</w:t>
      </w:r>
      <w:r>
        <w:rPr>
          <w:rFonts w:hint="eastAsia" w:ascii="宋体" w:hAnsi="宋体" w:eastAsia="宋体" w:cs="宋体"/>
          <w:color w:val="auto"/>
          <w:highlight w:val="none"/>
          <w:lang w:val="en-US" w:eastAsia="zh-CN"/>
        </w:rPr>
        <w:t>数字能源管控装置</w:t>
      </w:r>
      <w:r>
        <w:rPr>
          <w:rFonts w:hint="eastAsia" w:ascii="宋体" w:hAnsi="宋体" w:eastAsia="宋体" w:cs="宋体"/>
          <w:color w:val="auto"/>
          <w:highlight w:val="none"/>
        </w:rPr>
        <w:t>以及必要的备品备件(如有)、专用工具(如有)和仪器(如有)。投标方所提供的组件或附件如需向第三方外购时，投标方应对质量向招标方负责，并提供相应出厂和验收证明。</w:t>
      </w:r>
    </w:p>
    <w:p w14:paraId="79D5453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(2)供货范围一览表</w:t>
      </w:r>
    </w:p>
    <w:p w14:paraId="7060AD6B">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投标方</w:t>
      </w:r>
      <w:r>
        <w:rPr>
          <w:rFonts w:hint="eastAsia" w:ascii="宋体" w:hAnsi="宋体" w:eastAsia="宋体" w:cs="宋体"/>
          <w:color w:val="auto"/>
          <w:highlight w:val="none"/>
          <w:lang w:val="en-US" w:eastAsia="zh-CN"/>
        </w:rPr>
        <w:t>按照招标方提供的图纸资料和技术参数，代工生产</w:t>
      </w:r>
      <w:r>
        <w:rPr>
          <w:rFonts w:hint="eastAsia" w:ascii="宋体" w:hAnsi="宋体" w:eastAsia="宋体" w:cs="宋体"/>
          <w:color w:val="auto"/>
          <w:highlight w:val="none"/>
        </w:rPr>
        <w:t>的</w:t>
      </w:r>
      <w:r>
        <w:rPr>
          <w:rFonts w:hint="eastAsia" w:ascii="宋体" w:hAnsi="宋体" w:eastAsia="宋体" w:cs="宋体"/>
          <w:b/>
          <w:bCs/>
          <w:color w:val="auto"/>
          <w:spacing w:val="-2"/>
          <w:highlight w:val="none"/>
          <w:u w:val="single"/>
          <w:lang w:eastAsia="zh-CN"/>
        </w:rPr>
        <w:t>数字能源管控装置</w:t>
      </w:r>
      <w:r>
        <w:rPr>
          <w:rFonts w:hint="eastAsia" w:ascii="宋体" w:hAnsi="宋体" w:eastAsia="宋体" w:cs="宋体"/>
          <w:color w:val="auto"/>
          <w:spacing w:val="1"/>
          <w:highlight w:val="none"/>
        </w:rPr>
        <w:t>物资的具体规格见表2.1。投标方应如</w:t>
      </w:r>
      <w:r>
        <w:rPr>
          <w:rFonts w:hint="eastAsia" w:ascii="宋体" w:hAnsi="宋体" w:eastAsia="宋体" w:cs="宋体"/>
          <w:color w:val="auto"/>
          <w:spacing w:val="-4"/>
          <w:highlight w:val="none"/>
        </w:rPr>
        <w:t>实填写“投标方保证”栏。</w:t>
      </w:r>
    </w:p>
    <w:p w14:paraId="1263B1C2">
      <w:pPr>
        <w:spacing w:before="65" w:line="360" w:lineRule="auto"/>
        <w:ind w:firstLine="442"/>
        <w:jc w:val="center"/>
        <w:rPr>
          <w:rFonts w:ascii="宋体" w:hAnsi="宋体" w:eastAsia="宋体" w:cs="宋体"/>
          <w:color w:val="auto"/>
          <w:highlight w:val="none"/>
        </w:rPr>
      </w:pPr>
      <w:r>
        <w:rPr>
          <w:rFonts w:hint="eastAsia" w:ascii="宋体" w:hAnsi="宋体" w:eastAsia="宋体" w:cs="宋体"/>
          <w:b/>
          <w:bCs/>
          <w:color w:val="auto"/>
          <w:spacing w:val="10"/>
          <w:highlight w:val="none"/>
        </w:rPr>
        <w:t>表2.1供货范围及物资需求一览表</w:t>
      </w:r>
    </w:p>
    <w:tbl>
      <w:tblPr>
        <w:tblStyle w:val="21"/>
        <w:tblW w:w="8700"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3"/>
        <w:gridCol w:w="988"/>
        <w:gridCol w:w="1000"/>
        <w:gridCol w:w="3117"/>
        <w:gridCol w:w="616"/>
        <w:gridCol w:w="617"/>
        <w:gridCol w:w="500"/>
        <w:gridCol w:w="1299"/>
      </w:tblGrid>
      <w:tr w14:paraId="18CC4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563" w:type="dxa"/>
            <w:vAlign w:val="center"/>
          </w:tcPr>
          <w:p w14:paraId="6E651E9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6"/>
                <w:highlight w:val="none"/>
              </w:rPr>
              <w:t>序号</w:t>
            </w:r>
          </w:p>
        </w:tc>
        <w:tc>
          <w:tcPr>
            <w:tcW w:w="988" w:type="dxa"/>
            <w:vAlign w:val="center"/>
          </w:tcPr>
          <w:p w14:paraId="65A9E555">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物资名称</w:t>
            </w:r>
          </w:p>
        </w:tc>
        <w:tc>
          <w:tcPr>
            <w:tcW w:w="1000" w:type="dxa"/>
            <w:vAlign w:val="center"/>
          </w:tcPr>
          <w:p w14:paraId="1FC254A6">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3"/>
                <w:highlight w:val="none"/>
              </w:rPr>
              <w:t>规格型号</w:t>
            </w:r>
          </w:p>
        </w:tc>
        <w:tc>
          <w:tcPr>
            <w:tcW w:w="3117" w:type="dxa"/>
            <w:vAlign w:val="center"/>
          </w:tcPr>
          <w:p w14:paraId="6014DDC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主要参数</w:t>
            </w:r>
          </w:p>
        </w:tc>
        <w:tc>
          <w:tcPr>
            <w:tcW w:w="616" w:type="dxa"/>
            <w:vAlign w:val="center"/>
          </w:tcPr>
          <w:p w14:paraId="5E7FB2F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3"/>
                <w:highlight w:val="none"/>
              </w:rPr>
              <w:t>单位</w:t>
            </w:r>
          </w:p>
        </w:tc>
        <w:tc>
          <w:tcPr>
            <w:tcW w:w="617" w:type="dxa"/>
            <w:vAlign w:val="center"/>
          </w:tcPr>
          <w:p w14:paraId="78614F8B">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3"/>
                <w:highlight w:val="none"/>
              </w:rPr>
              <w:t>数量</w:t>
            </w:r>
          </w:p>
        </w:tc>
        <w:tc>
          <w:tcPr>
            <w:tcW w:w="500" w:type="dxa"/>
            <w:vAlign w:val="center"/>
          </w:tcPr>
          <w:p w14:paraId="7FC09B22">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5"/>
                <w:highlight w:val="none"/>
              </w:rPr>
              <w:t>备注</w:t>
            </w:r>
          </w:p>
        </w:tc>
        <w:tc>
          <w:tcPr>
            <w:tcW w:w="1299" w:type="dxa"/>
            <w:vAlign w:val="center"/>
          </w:tcPr>
          <w:p w14:paraId="0574DBD9">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2"/>
                <w:position w:val="21"/>
                <w:highlight w:val="none"/>
              </w:rPr>
              <w:t>承诺供货周期</w:t>
            </w:r>
          </w:p>
          <w:p w14:paraId="58655C7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spacing w:val="9"/>
                <w:highlight w:val="none"/>
              </w:rPr>
              <w:t>(自然日)</w:t>
            </w:r>
          </w:p>
        </w:tc>
      </w:tr>
      <w:tr w14:paraId="406BF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563" w:type="dxa"/>
            <w:vAlign w:val="center"/>
          </w:tcPr>
          <w:p w14:paraId="250E277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highlight w:val="none"/>
              </w:rPr>
              <w:t>1</w:t>
            </w:r>
          </w:p>
        </w:tc>
        <w:tc>
          <w:tcPr>
            <w:tcW w:w="988" w:type="dxa"/>
            <w:vAlign w:val="center"/>
          </w:tcPr>
          <w:p w14:paraId="6BD331CC">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spacing w:val="1"/>
                <w:highlight w:val="none"/>
                <w:lang w:eastAsia="zh-CN"/>
              </w:rPr>
              <w:t>数字能源管控装置</w:t>
            </w:r>
          </w:p>
        </w:tc>
        <w:tc>
          <w:tcPr>
            <w:tcW w:w="1000" w:type="dxa"/>
            <w:vAlign w:val="center"/>
          </w:tcPr>
          <w:p w14:paraId="03125E13">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SHS-i24</w:t>
            </w:r>
          </w:p>
        </w:tc>
        <w:tc>
          <w:tcPr>
            <w:tcW w:w="3117" w:type="dxa"/>
            <w:vAlign w:val="center"/>
          </w:tcPr>
          <w:p w14:paraId="4AD9149D">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国产主控芯片，Cortex-A7及以上架构，1GB内存，8GB存储；8路RS485口，2路RJ45以太网口，1路4G接口。</w:t>
            </w:r>
          </w:p>
        </w:tc>
        <w:tc>
          <w:tcPr>
            <w:tcW w:w="616" w:type="dxa"/>
            <w:vAlign w:val="center"/>
          </w:tcPr>
          <w:p w14:paraId="5FD6FE78">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r>
              <w:rPr>
                <w:rFonts w:hint="eastAsia" w:ascii="宋体" w:hAnsi="宋体" w:eastAsia="宋体" w:cs="宋体"/>
                <w:color w:val="auto"/>
                <w:highlight w:val="none"/>
              </w:rPr>
              <w:t>套</w:t>
            </w:r>
          </w:p>
        </w:tc>
        <w:tc>
          <w:tcPr>
            <w:tcW w:w="617" w:type="dxa"/>
            <w:vAlign w:val="center"/>
          </w:tcPr>
          <w:p w14:paraId="3147AA47">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bookmarkStart w:id="83" w:name="_GoBack"/>
            <w:bookmarkEnd w:id="83"/>
          </w:p>
        </w:tc>
        <w:tc>
          <w:tcPr>
            <w:tcW w:w="500" w:type="dxa"/>
            <w:vAlign w:val="center"/>
          </w:tcPr>
          <w:p w14:paraId="59E5C889">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highlight w:val="none"/>
              </w:rPr>
            </w:pPr>
          </w:p>
        </w:tc>
        <w:tc>
          <w:tcPr>
            <w:tcW w:w="1299" w:type="dxa"/>
            <w:vAlign w:val="center"/>
          </w:tcPr>
          <w:p w14:paraId="422ADD3B">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w:t>
            </w:r>
          </w:p>
        </w:tc>
      </w:tr>
    </w:tbl>
    <w:p w14:paraId="72CAADE6">
      <w:pPr>
        <w:spacing w:before="51" w:line="360" w:lineRule="auto"/>
        <w:ind w:left="94" w:firstLine="426"/>
        <w:rPr>
          <w:rFonts w:ascii="宋体" w:hAnsi="宋体" w:eastAsia="宋体" w:cs="宋体"/>
          <w:b/>
          <w:bCs/>
          <w:color w:val="auto"/>
          <w:highlight w:val="none"/>
        </w:rPr>
      </w:pPr>
      <w:r>
        <w:rPr>
          <w:rFonts w:hint="eastAsia" w:ascii="宋体" w:hAnsi="宋体" w:eastAsia="宋体" w:cs="宋体"/>
          <w:color w:val="auto"/>
          <w:spacing w:val="3"/>
          <w:highlight w:val="none"/>
        </w:rPr>
        <w:t>表格备注：承诺供货周期：自接到供货通知开始至物资送达指定地点的</w:t>
      </w:r>
      <w:r>
        <w:rPr>
          <w:rFonts w:hint="eastAsia" w:ascii="宋体" w:hAnsi="宋体" w:eastAsia="宋体" w:cs="宋体"/>
          <w:color w:val="auto"/>
          <w:spacing w:val="2"/>
          <w:highlight w:val="none"/>
        </w:rPr>
        <w:t>时间。</w:t>
      </w:r>
    </w:p>
    <w:p w14:paraId="2837BAC7">
      <w:pPr>
        <w:spacing w:line="360" w:lineRule="auto"/>
        <w:ind w:firstLine="408" w:firstLineChars="200"/>
        <w:rPr>
          <w:rFonts w:ascii="宋体" w:hAnsi="宋体" w:eastAsia="宋体" w:cs="宋体"/>
          <w:color w:val="auto"/>
          <w:highlight w:val="none"/>
        </w:rPr>
      </w:pPr>
      <w:r>
        <w:rPr>
          <w:rFonts w:hint="eastAsia" w:ascii="宋体" w:hAnsi="宋体" w:eastAsia="宋体" w:cs="宋体"/>
          <w:color w:val="auto"/>
          <w:spacing w:val="-3"/>
          <w:highlight w:val="none"/>
        </w:rPr>
        <w:t>(</w:t>
      </w:r>
      <w:r>
        <w:rPr>
          <w:rFonts w:hint="eastAsia" w:ascii="宋体" w:hAnsi="宋体" w:eastAsia="宋体" w:cs="宋体"/>
          <w:color w:val="auto"/>
          <w:highlight w:val="none"/>
        </w:rPr>
        <w:t xml:space="preserve">3) </w:t>
      </w:r>
      <w:r>
        <w:rPr>
          <w:rFonts w:hint="eastAsia" w:ascii="宋体" w:hAnsi="宋体" w:eastAsia="宋体" w:cs="宋体"/>
          <w:b/>
          <w:bCs/>
          <w:color w:val="auto"/>
          <w:highlight w:val="none"/>
        </w:rPr>
        <w:t>现场安装</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调试由</w:t>
      </w:r>
      <w:r>
        <w:rPr>
          <w:rFonts w:hint="eastAsia" w:ascii="宋体" w:hAnsi="宋体" w:eastAsia="宋体" w:cs="宋体"/>
          <w:b/>
          <w:bCs/>
          <w:color w:val="auto"/>
          <w:highlight w:val="none"/>
        </w:rPr>
        <w:t>招标方</w:t>
      </w:r>
      <w:r>
        <w:rPr>
          <w:rFonts w:hint="eastAsia" w:ascii="宋体" w:hAnsi="宋体" w:eastAsia="宋体" w:cs="宋体"/>
          <w:b/>
          <w:bCs/>
          <w:color w:val="auto"/>
          <w:highlight w:val="none"/>
          <w:lang w:val="en-US" w:eastAsia="zh-CN"/>
        </w:rPr>
        <w:t>负责</w:t>
      </w:r>
      <w:r>
        <w:rPr>
          <w:rFonts w:hint="eastAsia" w:ascii="宋体" w:hAnsi="宋体" w:eastAsia="宋体" w:cs="宋体"/>
          <w:color w:val="auto"/>
          <w:highlight w:val="none"/>
        </w:rPr>
        <w:t>。投标方配合招标方按标准检查安装质量，处理安装调试投运过程中出现的问题，并提供备品、备件，做好产品服务工作。安装督导、培训等详细要求见</w:t>
      </w:r>
      <w:r>
        <w:rPr>
          <w:rFonts w:hint="eastAsia" w:ascii="宋体" w:hAnsi="宋体" w:eastAsia="宋体" w:cs="宋体"/>
          <w:b/>
          <w:bCs/>
          <w:color w:val="auto"/>
          <w:highlight w:val="none"/>
        </w:rPr>
        <w:t>附表</w:t>
      </w:r>
      <w:r>
        <w:rPr>
          <w:rFonts w:hint="eastAsia" w:ascii="宋体" w:hAnsi="宋体" w:eastAsia="宋体" w:cs="宋体"/>
          <w:color w:val="auto"/>
          <w:highlight w:val="none"/>
        </w:rPr>
        <w:t>。</w:t>
      </w:r>
    </w:p>
    <w:p w14:paraId="40408ED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(4)投标方应协助招标方解决物资运行中出现的问题。</w:t>
      </w:r>
    </w:p>
    <w:p w14:paraId="027EFBB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(5)产品安装、调试和性能试验合格后方可投运或使用。产品投运或使用并稳定运行后，投标方和招标方(业主)双方应根据相关法律、法规和公司管理制度签署合同物资的验收证明书。该证明书共两份，双方各执一份。</w:t>
      </w:r>
    </w:p>
    <w:p w14:paraId="393C35C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(6)如果安装、调试、性能试验、试运行及质保期内技术指标一项或多项不能满足合同技术部分要求，由投标方向招标方提供原因分析报告，供招标方参考，分清责任，如属制造方面的原因，或涉及索赔部分，按商务部分有关条款执行。</w:t>
      </w:r>
    </w:p>
    <w:p w14:paraId="32F15814">
      <w:pPr>
        <w:spacing w:line="360" w:lineRule="auto"/>
        <w:ind w:firstLine="420" w:firstLineChars="200"/>
        <w:rPr>
          <w:rFonts w:ascii="宋体" w:hAnsi="宋体" w:eastAsia="宋体" w:cs="宋体"/>
          <w:color w:val="auto"/>
          <w:highlight w:val="none"/>
        </w:rPr>
      </w:pPr>
    </w:p>
    <w:p w14:paraId="516F60C1">
      <w:pPr>
        <w:spacing w:before="65" w:line="360" w:lineRule="auto"/>
        <w:ind w:firstLine="436"/>
        <w:outlineLvl w:val="0"/>
        <w:rPr>
          <w:rFonts w:ascii="宋体" w:hAnsi="宋体" w:eastAsia="宋体" w:cs="宋体"/>
          <w:color w:val="auto"/>
          <w:highlight w:val="none"/>
        </w:rPr>
      </w:pPr>
      <w:bookmarkStart w:id="5" w:name="_Toc29223"/>
      <w:r>
        <w:rPr>
          <w:rFonts w:hint="eastAsia" w:ascii="宋体" w:hAnsi="宋体" w:eastAsia="宋体" w:cs="宋体"/>
          <w:b/>
          <w:bCs/>
          <w:color w:val="auto"/>
          <w:spacing w:val="7"/>
          <w:highlight w:val="none"/>
        </w:rPr>
        <w:t>3</w:t>
      </w:r>
      <w:r>
        <w:rPr>
          <w:rFonts w:hint="eastAsia" w:ascii="宋体" w:hAnsi="宋体" w:eastAsia="宋体" w:cs="宋体"/>
          <w:color w:val="auto"/>
          <w:spacing w:val="12"/>
          <w:highlight w:val="none"/>
        </w:rPr>
        <w:t xml:space="preserve">  </w:t>
      </w:r>
      <w:r>
        <w:rPr>
          <w:rFonts w:hint="eastAsia" w:ascii="宋体" w:hAnsi="宋体" w:eastAsia="宋体" w:cs="宋体"/>
          <w:b/>
          <w:bCs/>
          <w:color w:val="auto"/>
          <w:spacing w:val="7"/>
          <w:highlight w:val="none"/>
        </w:rPr>
        <w:t>应遵循的主要标准</w:t>
      </w:r>
      <w:bookmarkEnd w:id="5"/>
    </w:p>
    <w:p w14:paraId="281A67D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除本标书特殊规定外，投标方所提供的物资均按规定的标准和规程的最新版本进行生产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人处获得书面的认可才能使用。提交供审查的标准应为中文或英文版本。主要引用标准如下：</w:t>
      </w:r>
    </w:p>
    <w:p w14:paraId="322A6C19">
      <w:pPr>
        <w:spacing w:line="360" w:lineRule="auto"/>
        <w:ind w:firstLine="420" w:firstLineChars="200"/>
        <w:rPr>
          <w:rFonts w:ascii="宋体" w:hAnsi="宋体" w:cs="宋体"/>
          <w:color w:val="000000"/>
          <w:szCs w:val="21"/>
        </w:rPr>
      </w:pPr>
      <w:r>
        <w:rPr>
          <w:rFonts w:hint="eastAsia" w:ascii="宋体" w:hAnsi="宋体" w:cs="宋体"/>
          <w:color w:val="000000"/>
          <w:szCs w:val="21"/>
        </w:rPr>
        <w:t>GB/T 191        包装储运图示标志</w:t>
      </w:r>
    </w:p>
    <w:p w14:paraId="3CC52406">
      <w:pPr>
        <w:spacing w:line="360" w:lineRule="auto"/>
        <w:ind w:firstLine="420" w:firstLineChars="200"/>
        <w:rPr>
          <w:rFonts w:ascii="宋体" w:hAnsi="宋体" w:cs="宋体"/>
          <w:color w:val="000000"/>
          <w:szCs w:val="21"/>
        </w:rPr>
      </w:pPr>
      <w:r>
        <w:rPr>
          <w:rFonts w:hint="eastAsia" w:ascii="宋体" w:hAnsi="宋体" w:cs="宋体"/>
          <w:color w:val="000000"/>
          <w:szCs w:val="21"/>
        </w:rPr>
        <w:t>GB/T2423.1</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电工电子产品环境试验第2部分：试验方法A：低温</w:t>
      </w:r>
    </w:p>
    <w:p w14:paraId="084D7AA0">
      <w:pPr>
        <w:spacing w:line="360" w:lineRule="auto"/>
        <w:ind w:firstLine="420" w:firstLineChars="200"/>
        <w:rPr>
          <w:rFonts w:ascii="宋体" w:hAnsi="宋体" w:cs="宋体"/>
          <w:color w:val="000000"/>
          <w:szCs w:val="21"/>
        </w:rPr>
      </w:pPr>
      <w:r>
        <w:rPr>
          <w:rFonts w:hint="eastAsia" w:ascii="宋体" w:hAnsi="宋体" w:cs="宋体"/>
          <w:color w:val="000000"/>
          <w:szCs w:val="21"/>
        </w:rPr>
        <w:t>GB/T2423.2</w:t>
      </w:r>
      <w:r>
        <w:rPr>
          <w:rFonts w:hint="eastAsia" w:ascii="宋体" w:hAnsi="宋体" w:cs="宋体"/>
          <w:color w:val="000000"/>
          <w:szCs w:val="21"/>
        </w:rPr>
        <w:tab/>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电工电子产品环境试验第2部分：试验方法B：高温</w:t>
      </w:r>
    </w:p>
    <w:p w14:paraId="7AE84881">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 xml:space="preserve">GB/T2423.4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 xml:space="preserve"> 电工电子产品环境试验第2部分：试验方法试验Db：交变湿热试验方法</w:t>
      </w:r>
    </w:p>
    <w:p w14:paraId="0EBFC63E">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 xml:space="preserve">GB/T2423.8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电工电子产品环境试验 第 2 部分:试验方法 试验 Ed: 自由跌落</w:t>
      </w:r>
    </w:p>
    <w:p w14:paraId="79107A07">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 xml:space="preserve">GB/T2423.2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 xml:space="preserve"> 电工电子产品环境试验 第 2 部分:试验方法 试验Cab：恒定湿热试验</w:t>
      </w:r>
    </w:p>
    <w:p w14:paraId="33BDFB0C">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 xml:space="preserve">GB/T2423.10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电工电子产品环境试验 第 2 部分:试验方法 试验Fc 和导则:振动(正弦）</w:t>
      </w:r>
    </w:p>
    <w:p w14:paraId="5AAF1027">
      <w:pPr>
        <w:spacing w:line="360" w:lineRule="auto"/>
        <w:ind w:firstLine="420" w:firstLineChars="200"/>
        <w:rPr>
          <w:rFonts w:ascii="宋体" w:hAnsi="宋体" w:cs="宋体"/>
          <w:color w:val="000000"/>
          <w:szCs w:val="21"/>
        </w:rPr>
      </w:pPr>
      <w:r>
        <w:rPr>
          <w:rFonts w:hint="eastAsia" w:ascii="宋体" w:hAnsi="宋体" w:cs="宋体"/>
          <w:color w:val="000000"/>
          <w:szCs w:val="21"/>
        </w:rPr>
        <w:t>GB/T 9254.1     信息技术设备、多媒体设备和接收机电磁兼容</w:t>
      </w:r>
    </w:p>
    <w:p w14:paraId="19998D1B">
      <w:pPr>
        <w:spacing w:line="360" w:lineRule="auto"/>
        <w:ind w:firstLine="420" w:firstLineChars="200"/>
        <w:rPr>
          <w:rFonts w:ascii="宋体" w:hAnsi="宋体" w:cs="宋体"/>
          <w:color w:val="000000"/>
          <w:szCs w:val="21"/>
        </w:rPr>
      </w:pPr>
      <w:r>
        <w:rPr>
          <w:rFonts w:hint="eastAsia" w:ascii="宋体" w:hAnsi="宋体" w:cs="宋体"/>
          <w:color w:val="000000"/>
          <w:szCs w:val="21"/>
        </w:rPr>
        <w:t>GB/T17626.2     电磁兼容试验和测量技术静电放电抗扰度试验</w:t>
      </w:r>
    </w:p>
    <w:p w14:paraId="076D02DF">
      <w:pPr>
        <w:spacing w:line="360" w:lineRule="auto"/>
        <w:ind w:firstLine="420" w:firstLineChars="200"/>
        <w:rPr>
          <w:rFonts w:ascii="宋体" w:hAnsi="宋体" w:cs="宋体"/>
          <w:color w:val="000000"/>
          <w:szCs w:val="21"/>
        </w:rPr>
      </w:pPr>
      <w:r>
        <w:rPr>
          <w:rFonts w:hint="eastAsia" w:ascii="宋体" w:hAnsi="宋体" w:cs="宋体"/>
          <w:color w:val="000000"/>
          <w:szCs w:val="21"/>
        </w:rPr>
        <w:t>GB/T17626.3</w:t>
      </w:r>
      <w:r>
        <w:rPr>
          <w:rFonts w:hint="eastAsia" w:ascii="宋体" w:hAnsi="宋体" w:cs="宋体"/>
          <w:color w:val="000000"/>
          <w:szCs w:val="21"/>
        </w:rPr>
        <w:tab/>
      </w:r>
      <w:r>
        <w:rPr>
          <w:rFonts w:hint="eastAsia" w:ascii="宋体" w:hAnsi="宋体" w:cs="宋体"/>
          <w:color w:val="000000"/>
          <w:szCs w:val="21"/>
        </w:rPr>
        <w:t xml:space="preserve">    电磁兼容试验和测量技术射频电磁场辐射抗扰度试验</w:t>
      </w:r>
    </w:p>
    <w:p w14:paraId="1031117C">
      <w:pPr>
        <w:spacing w:line="360" w:lineRule="auto"/>
        <w:ind w:firstLine="420" w:firstLineChars="200"/>
        <w:rPr>
          <w:rFonts w:ascii="宋体" w:hAnsi="宋体" w:cs="宋体"/>
          <w:color w:val="000000"/>
          <w:szCs w:val="21"/>
        </w:rPr>
      </w:pPr>
      <w:r>
        <w:rPr>
          <w:rFonts w:hint="eastAsia" w:ascii="宋体" w:hAnsi="宋体" w:cs="宋体"/>
          <w:color w:val="000000"/>
          <w:szCs w:val="21"/>
        </w:rPr>
        <w:t>GB/T17626.4</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电磁兼容试验和测量技术电快速瞬变脉冲群抗扰度检验</w:t>
      </w:r>
    </w:p>
    <w:p w14:paraId="591265BE">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GB/T17626.5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 xml:space="preserve"> 电磁兼容试验和测量技术浪涌(冲击)抗扰度试验</w:t>
      </w:r>
    </w:p>
    <w:p w14:paraId="17538EEA">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GB/T17626.6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 xml:space="preserve"> 电磁兼容试验和测量技术射频场感应的传导骚扰抗扰度</w:t>
      </w:r>
    </w:p>
    <w:p w14:paraId="46A8D9F4">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GB/T17626.8     电磁兼容试验和测量技术工频磁场抗扰度试验</w:t>
      </w:r>
    </w:p>
    <w:p w14:paraId="19D8B0B5">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 xml:space="preserve">GB/T17626.9   </w:t>
      </w:r>
      <w:r>
        <w:rPr>
          <w:rFonts w:hint="eastAsia" w:ascii="宋体" w:hAnsi="宋体" w:eastAsia="宋体" w:cs="宋体"/>
          <w:color w:val="000000"/>
          <w:szCs w:val="21"/>
          <w:lang w:val="en-US" w:eastAsia="zh-CN"/>
        </w:rPr>
        <w:t xml:space="preserve"> </w:t>
      </w:r>
      <w:r>
        <w:rPr>
          <w:rFonts w:hint="eastAsia" w:ascii="宋体" w:hAnsi="宋体" w:cs="宋体"/>
          <w:color w:val="000000"/>
          <w:szCs w:val="21"/>
        </w:rPr>
        <w:t xml:space="preserve"> 电磁兼容_试验和测量技术_脉冲磁场抗扰度试验</w:t>
      </w:r>
    </w:p>
    <w:p w14:paraId="015C3374">
      <w:pPr>
        <w:pStyle w:val="2"/>
        <w:ind w:firstLine="440" w:firstLineChars="200"/>
      </w:pPr>
      <w:r>
        <w:rPr>
          <w:rFonts w:ascii="宋体"/>
          <w:sz w:val="22"/>
        </w:rPr>
        <w:t>GB/T17626.11</w:t>
      </w:r>
      <w:r>
        <w:rPr>
          <w:rFonts w:hint="eastAsia" w:ascii="宋体"/>
          <w:sz w:val="22"/>
        </w:rPr>
        <w:t xml:space="preserve">   </w:t>
      </w:r>
      <w:r>
        <w:rPr>
          <w:rFonts w:ascii="宋体"/>
          <w:sz w:val="22"/>
        </w:rPr>
        <w:t>电磁兼容试验和测量技术电压暂降、短时中断和电压变化的抗扰度试验</w:t>
      </w:r>
    </w:p>
    <w:p w14:paraId="6C5F0858">
      <w:pPr>
        <w:spacing w:line="360" w:lineRule="auto"/>
        <w:ind w:left="2975" w:leftChars="203" w:hanging="2549" w:hangingChars="1214"/>
        <w:rPr>
          <w:rFonts w:ascii="宋体" w:hAnsi="宋体" w:cs="宋体"/>
          <w:color w:val="000000"/>
          <w:szCs w:val="21"/>
        </w:rPr>
      </w:pPr>
      <w:r>
        <w:rPr>
          <w:rFonts w:hint="eastAsia" w:ascii="宋体" w:hAnsi="宋体" w:cs="宋体"/>
          <w:color w:val="000000"/>
          <w:szCs w:val="21"/>
        </w:rPr>
        <w:t>GB/T17626.12    电磁兼容试验和测量技术阻尼振荡波抗扰度试验</w:t>
      </w:r>
    </w:p>
    <w:p w14:paraId="2C7A70EB">
      <w:pPr>
        <w:spacing w:line="360" w:lineRule="auto"/>
        <w:ind w:firstLine="420" w:firstLineChars="200"/>
        <w:rPr>
          <w:rFonts w:ascii="宋体" w:hAnsi="宋体" w:cs="宋体"/>
          <w:color w:val="000000"/>
          <w:szCs w:val="21"/>
        </w:rPr>
      </w:pPr>
      <w:r>
        <w:rPr>
          <w:rFonts w:hint="eastAsia" w:ascii="宋体" w:hAnsi="宋体" w:cs="宋体"/>
          <w:color w:val="000000"/>
          <w:szCs w:val="21"/>
        </w:rPr>
        <w:t>GB 4208</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外壳防护等级（IP代码）</w:t>
      </w:r>
    </w:p>
    <w:p w14:paraId="3F937BF5">
      <w:pPr>
        <w:snapToGrid w:val="0"/>
        <w:spacing w:line="360" w:lineRule="auto"/>
        <w:ind w:firstLine="440" w:firstLineChars="200"/>
        <w:jc w:val="left"/>
        <w:rPr>
          <w:rFonts w:ascii="宋体"/>
          <w:sz w:val="22"/>
        </w:rPr>
      </w:pPr>
      <w:r>
        <w:rPr>
          <w:rFonts w:ascii="宋体"/>
          <w:sz w:val="22"/>
        </w:rPr>
        <w:t>GB/T12325</w:t>
      </w:r>
      <w:r>
        <w:rPr>
          <w:rFonts w:hint="eastAsia" w:ascii="宋体"/>
          <w:sz w:val="22"/>
        </w:rPr>
        <w:t xml:space="preserve">      </w:t>
      </w:r>
      <w:r>
        <w:rPr>
          <w:rFonts w:ascii="宋体"/>
          <w:sz w:val="22"/>
        </w:rPr>
        <w:t>电能质量供电电压允许偏差</w:t>
      </w:r>
    </w:p>
    <w:p w14:paraId="436E8FAA">
      <w:pPr>
        <w:snapToGrid w:val="0"/>
        <w:spacing w:line="360" w:lineRule="auto"/>
        <w:ind w:firstLine="440" w:firstLineChars="200"/>
        <w:jc w:val="left"/>
        <w:rPr>
          <w:rFonts w:ascii="宋体"/>
          <w:sz w:val="22"/>
        </w:rPr>
      </w:pPr>
      <w:r>
        <w:rPr>
          <w:rFonts w:ascii="宋体"/>
          <w:sz w:val="22"/>
        </w:rPr>
        <w:t>GB/T15153.1</w:t>
      </w:r>
      <w:r>
        <w:rPr>
          <w:rFonts w:hint="eastAsia" w:ascii="宋体"/>
          <w:sz w:val="22"/>
        </w:rPr>
        <w:t xml:space="preserve">    </w:t>
      </w:r>
      <w:r>
        <w:rPr>
          <w:rFonts w:ascii="宋体"/>
          <w:sz w:val="22"/>
        </w:rPr>
        <w:t>远动设备及系统第2部分:工作条件第1篇：电源和电磁兼容性</w:t>
      </w:r>
    </w:p>
    <w:p w14:paraId="4EC05EA0">
      <w:pPr>
        <w:snapToGrid w:val="0"/>
        <w:spacing w:line="360" w:lineRule="auto"/>
        <w:ind w:firstLine="440" w:firstLineChars="200"/>
        <w:jc w:val="left"/>
        <w:rPr>
          <w:rFonts w:ascii="宋体"/>
          <w:sz w:val="22"/>
        </w:rPr>
      </w:pPr>
      <w:r>
        <w:rPr>
          <w:rFonts w:ascii="宋体"/>
          <w:sz w:val="22"/>
        </w:rPr>
        <w:t>GB/T15945</w:t>
      </w:r>
      <w:r>
        <w:rPr>
          <w:rFonts w:hint="eastAsia" w:ascii="宋体"/>
          <w:sz w:val="22"/>
        </w:rPr>
        <w:t xml:space="preserve">      </w:t>
      </w:r>
      <w:r>
        <w:rPr>
          <w:rFonts w:ascii="宋体"/>
          <w:sz w:val="22"/>
        </w:rPr>
        <w:t>电能质量电力系统频率允许偏差</w:t>
      </w:r>
    </w:p>
    <w:p w14:paraId="34882572">
      <w:pPr>
        <w:snapToGrid w:val="0"/>
        <w:spacing w:line="360" w:lineRule="auto"/>
        <w:ind w:firstLine="440" w:firstLineChars="200"/>
        <w:jc w:val="left"/>
        <w:rPr>
          <w:rFonts w:ascii="宋体"/>
          <w:sz w:val="22"/>
        </w:rPr>
      </w:pPr>
      <w:r>
        <w:rPr>
          <w:rFonts w:ascii="宋体"/>
          <w:sz w:val="22"/>
        </w:rPr>
        <w:t>GB/T12326</w:t>
      </w:r>
      <w:r>
        <w:rPr>
          <w:rFonts w:hint="eastAsia" w:ascii="宋体"/>
          <w:sz w:val="22"/>
        </w:rPr>
        <w:t xml:space="preserve">      </w:t>
      </w:r>
      <w:r>
        <w:rPr>
          <w:rFonts w:ascii="宋体"/>
          <w:sz w:val="22"/>
        </w:rPr>
        <w:t>电能质量电压波动和闪变</w:t>
      </w:r>
    </w:p>
    <w:p w14:paraId="42320B76">
      <w:pPr>
        <w:snapToGrid w:val="0"/>
        <w:spacing w:line="360" w:lineRule="auto"/>
        <w:ind w:firstLine="440" w:firstLineChars="200"/>
        <w:jc w:val="left"/>
      </w:pPr>
      <w:r>
        <w:rPr>
          <w:rFonts w:ascii="宋体"/>
          <w:sz w:val="22"/>
        </w:rPr>
        <w:t>GB13955</w:t>
      </w:r>
      <w:r>
        <w:rPr>
          <w:rFonts w:hint="eastAsia" w:ascii="宋体"/>
          <w:sz w:val="22"/>
        </w:rPr>
        <w:t xml:space="preserve">        </w:t>
      </w:r>
      <w:r>
        <w:rPr>
          <w:rFonts w:ascii="宋体"/>
          <w:sz w:val="22"/>
        </w:rPr>
        <w:t>剩余电流动作保护装置安装和运行</w:t>
      </w:r>
    </w:p>
    <w:p w14:paraId="2B996EBB">
      <w:pPr>
        <w:spacing w:line="360" w:lineRule="auto"/>
        <w:ind w:firstLine="420" w:firstLineChars="200"/>
        <w:rPr>
          <w:rFonts w:ascii="宋体" w:hAnsi="宋体" w:cs="宋体"/>
          <w:color w:val="000000"/>
          <w:szCs w:val="21"/>
        </w:rPr>
      </w:pPr>
      <w:r>
        <w:rPr>
          <w:rFonts w:hint="eastAsia" w:ascii="宋体" w:hAnsi="宋体" w:cs="宋体"/>
          <w:color w:val="000000"/>
          <w:szCs w:val="21"/>
        </w:rPr>
        <w:t>DL/T 721—2013  配电网自动化远方终端</w:t>
      </w:r>
    </w:p>
    <w:p w14:paraId="3F312BBF">
      <w:pPr>
        <w:spacing w:line="360" w:lineRule="auto"/>
        <w:ind w:firstLine="420" w:firstLineChars="200"/>
        <w:rPr>
          <w:rFonts w:ascii="宋体" w:hAnsi="宋体" w:cs="宋体"/>
          <w:color w:val="000000"/>
          <w:szCs w:val="21"/>
        </w:rPr>
      </w:pPr>
      <w:r>
        <w:rPr>
          <w:rFonts w:hint="eastAsia" w:ascii="宋体" w:hAnsi="宋体" w:cs="宋体"/>
          <w:color w:val="000000"/>
          <w:szCs w:val="21"/>
        </w:rPr>
        <w:t>DL/T 634.5104   远动设备及系统 第5-104部分：传输规约 采用标准传输协议子集</w:t>
      </w:r>
    </w:p>
    <w:p w14:paraId="128DBD34">
      <w:pPr>
        <w:spacing w:line="360" w:lineRule="auto"/>
        <w:ind w:firstLine="420" w:firstLineChars="200"/>
        <w:rPr>
          <w:rFonts w:ascii="宋体" w:hAnsi="宋体" w:cs="宋体"/>
          <w:color w:val="000000"/>
          <w:szCs w:val="21"/>
        </w:rPr>
      </w:pPr>
      <w:r>
        <w:rPr>
          <w:rFonts w:hint="eastAsia" w:ascii="宋体" w:hAnsi="宋体" w:cs="宋体"/>
          <w:color w:val="000000"/>
          <w:szCs w:val="21"/>
        </w:rPr>
        <w:t>DL/T 645-2007   多功能电能表通信规约</w:t>
      </w:r>
    </w:p>
    <w:p w14:paraId="4966A5A8">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DL/T 743-2001   电能量远方终端   </w:t>
      </w:r>
    </w:p>
    <w:p w14:paraId="3A7E3A45">
      <w:pPr>
        <w:spacing w:line="360" w:lineRule="auto"/>
        <w:ind w:firstLine="420" w:firstLineChars="200"/>
        <w:rPr>
          <w:rFonts w:ascii="宋体" w:hAnsi="宋体" w:cs="宋体"/>
          <w:color w:val="000000"/>
          <w:szCs w:val="21"/>
        </w:rPr>
      </w:pPr>
      <w:r>
        <w:rPr>
          <w:rFonts w:hint="eastAsia" w:ascii="宋体" w:hAnsi="宋体" w:cs="宋体"/>
          <w:color w:val="000000"/>
          <w:szCs w:val="21"/>
        </w:rPr>
        <w:t>DL/T 645－2007  多功能电能表通信规约</w:t>
      </w:r>
    </w:p>
    <w:p w14:paraId="2AC2D782">
      <w:pPr>
        <w:spacing w:line="360" w:lineRule="auto"/>
        <w:ind w:firstLine="420" w:firstLineChars="200"/>
        <w:rPr>
          <w:rFonts w:ascii="宋体" w:hAnsi="宋体" w:cs="宋体"/>
          <w:color w:val="000000"/>
          <w:szCs w:val="21"/>
        </w:rPr>
      </w:pPr>
      <w:r>
        <w:rPr>
          <w:rFonts w:hint="eastAsia" w:ascii="宋体" w:hAnsi="宋体" w:cs="宋体"/>
          <w:color w:val="000000"/>
          <w:szCs w:val="21"/>
        </w:rPr>
        <w:t>DL/T 860        电力自动化通信网络和系统</w:t>
      </w:r>
    </w:p>
    <w:p w14:paraId="4F9B0D45">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cs="宋体"/>
          <w:color w:val="000000"/>
          <w:szCs w:val="21"/>
        </w:rPr>
        <w:t>Q/CSG1204009-2015 中国南方电网电力监控系统安全防护技术规</w:t>
      </w:r>
      <w:r>
        <w:rPr>
          <w:rFonts w:hint="eastAsia" w:ascii="宋体" w:hAnsi="宋体" w:eastAsia="宋体" w:cs="宋体"/>
          <w:color w:val="000000"/>
          <w:szCs w:val="21"/>
          <w:lang w:val="en-US" w:eastAsia="zh-CN"/>
        </w:rPr>
        <w:t>范</w:t>
      </w:r>
    </w:p>
    <w:p w14:paraId="1804E657">
      <w:pPr>
        <w:spacing w:line="360" w:lineRule="auto"/>
        <w:ind w:firstLine="420" w:firstLineChars="200"/>
        <w:rPr>
          <w:rFonts w:ascii="宋体" w:hAnsi="宋体" w:cs="宋体"/>
          <w:color w:val="000000"/>
          <w:szCs w:val="21"/>
        </w:rPr>
      </w:pPr>
      <w:r>
        <w:rPr>
          <w:rFonts w:hint="eastAsia" w:ascii="宋体" w:hAnsi="宋体" w:cs="宋体"/>
          <w:color w:val="000000"/>
          <w:szCs w:val="21"/>
        </w:rPr>
        <w:t>Q/CSG 113013-2011 中国南方电网有限责任公司多功能电能表通信协议扩展协议</w:t>
      </w:r>
    </w:p>
    <w:p w14:paraId="1E2A0433">
      <w:pPr>
        <w:snapToGrid w:val="0"/>
        <w:spacing w:line="360" w:lineRule="auto"/>
        <w:ind w:firstLine="440" w:firstLineChars="200"/>
        <w:jc w:val="left"/>
        <w:rPr>
          <w:rFonts w:ascii="宋体"/>
          <w:sz w:val="22"/>
        </w:rPr>
      </w:pPr>
      <w:r>
        <w:rPr>
          <w:rFonts w:ascii="宋体"/>
          <w:sz w:val="22"/>
        </w:rPr>
        <w:t>GB/T30137</w:t>
      </w:r>
      <w:r>
        <w:rPr>
          <w:rFonts w:hint="eastAsia" w:ascii="宋体"/>
          <w:sz w:val="22"/>
        </w:rPr>
        <w:t xml:space="preserve">        </w:t>
      </w:r>
      <w:r>
        <w:rPr>
          <w:rFonts w:ascii="宋体"/>
          <w:sz w:val="22"/>
        </w:rPr>
        <w:t>电能质量电压暂降与短时中断</w:t>
      </w:r>
    </w:p>
    <w:p w14:paraId="14939DA2">
      <w:pPr>
        <w:snapToGrid w:val="0"/>
        <w:spacing w:line="360" w:lineRule="auto"/>
        <w:ind w:firstLine="440" w:firstLineChars="200"/>
        <w:jc w:val="left"/>
        <w:rPr>
          <w:rFonts w:ascii="宋体"/>
          <w:sz w:val="22"/>
        </w:rPr>
      </w:pPr>
      <w:r>
        <w:rPr>
          <w:rFonts w:ascii="宋体"/>
          <w:sz w:val="22"/>
        </w:rPr>
        <w:t>GB50057</w:t>
      </w:r>
      <w:r>
        <w:rPr>
          <w:rFonts w:hint="eastAsia" w:ascii="宋体"/>
          <w:sz w:val="22"/>
        </w:rPr>
        <w:t xml:space="preserve">          </w:t>
      </w:r>
      <w:r>
        <w:rPr>
          <w:rFonts w:ascii="宋体"/>
          <w:sz w:val="22"/>
        </w:rPr>
        <w:t>建筑物防雷设计规范</w:t>
      </w:r>
    </w:p>
    <w:p w14:paraId="65ABC0E4">
      <w:pPr>
        <w:snapToGrid w:val="0"/>
        <w:spacing w:line="360" w:lineRule="auto"/>
        <w:ind w:firstLine="440" w:firstLineChars="200"/>
        <w:jc w:val="left"/>
        <w:rPr>
          <w:rFonts w:hint="eastAsia" w:ascii="宋体" w:hAnsi="宋体" w:eastAsia="宋体" w:cs="宋体"/>
          <w:color w:val="auto"/>
          <w:highlight w:val="none"/>
        </w:rPr>
      </w:pPr>
      <w:r>
        <w:rPr>
          <w:rFonts w:ascii="宋体"/>
          <w:sz w:val="22"/>
        </w:rPr>
        <w:t>DL/T620</w:t>
      </w:r>
      <w:r>
        <w:rPr>
          <w:rFonts w:hint="eastAsia" w:ascii="宋体"/>
          <w:sz w:val="22"/>
        </w:rPr>
        <w:t xml:space="preserve">          </w:t>
      </w:r>
      <w:r>
        <w:rPr>
          <w:rFonts w:ascii="宋体"/>
          <w:sz w:val="22"/>
        </w:rPr>
        <w:t>交流电气装置的过电压保护和绝缘配合</w:t>
      </w:r>
    </w:p>
    <w:p w14:paraId="49489573">
      <w:pPr>
        <w:spacing w:line="360" w:lineRule="auto"/>
        <w:rPr>
          <w:rFonts w:ascii="宋体" w:hAnsi="宋体" w:eastAsia="宋体" w:cs="宋体"/>
          <w:color w:val="auto"/>
          <w:spacing w:val="5"/>
          <w:highlight w:val="none"/>
        </w:rPr>
      </w:pPr>
      <w:r>
        <w:rPr>
          <w:rFonts w:hint="eastAsia" w:ascii="宋体" w:hAnsi="宋体" w:eastAsia="宋体" w:cs="宋体"/>
          <w:color w:val="auto"/>
          <w:highlight w:val="none"/>
        </w:rPr>
        <w:t>以上标准如</w:t>
      </w:r>
      <w:r>
        <w:rPr>
          <w:rFonts w:hint="eastAsia" w:ascii="宋体" w:hAnsi="宋体" w:eastAsia="宋体" w:cs="宋体"/>
          <w:color w:val="auto"/>
          <w:spacing w:val="5"/>
          <w:highlight w:val="none"/>
        </w:rPr>
        <w:t>有新版本，按最新版本执行。</w:t>
      </w:r>
    </w:p>
    <w:p w14:paraId="5E13FE27">
      <w:pPr>
        <w:spacing w:line="360" w:lineRule="auto"/>
        <w:ind w:firstLine="430"/>
        <w:rPr>
          <w:rFonts w:ascii="宋体" w:hAnsi="宋体" w:eastAsia="宋体" w:cs="宋体"/>
          <w:color w:val="auto"/>
          <w:spacing w:val="5"/>
          <w:highlight w:val="none"/>
        </w:rPr>
      </w:pPr>
    </w:p>
    <w:p w14:paraId="53E5DB38">
      <w:pPr>
        <w:spacing w:before="65" w:line="360" w:lineRule="auto"/>
        <w:ind w:left="2" w:firstLine="478"/>
        <w:outlineLvl w:val="0"/>
        <w:rPr>
          <w:rFonts w:ascii="宋体" w:hAnsi="宋体" w:eastAsia="宋体" w:cs="宋体"/>
          <w:color w:val="auto"/>
          <w:highlight w:val="none"/>
        </w:rPr>
      </w:pPr>
      <w:bookmarkStart w:id="6" w:name="_Toc28786"/>
      <w:r>
        <w:rPr>
          <w:rFonts w:hint="eastAsia" w:ascii="宋体" w:hAnsi="宋体" w:eastAsia="宋体" w:cs="宋体"/>
          <w:b/>
          <w:bCs/>
          <w:color w:val="auto"/>
          <w:spacing w:val="28"/>
          <w:highlight w:val="none"/>
        </w:rPr>
        <w:t>4 使用条件</w:t>
      </w:r>
      <w:bookmarkEnd w:id="6"/>
    </w:p>
    <w:p w14:paraId="1D09810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本技术规范书要求的</w:t>
      </w:r>
      <w:r>
        <w:rPr>
          <w:rFonts w:hint="eastAsia" w:ascii="宋体" w:hAnsi="宋体" w:eastAsia="宋体" w:cs="宋体"/>
          <w:b/>
          <w:bCs/>
          <w:color w:val="auto"/>
          <w:spacing w:val="-2"/>
          <w:highlight w:val="none"/>
          <w:u w:val="single"/>
          <w:lang w:val="en-US" w:eastAsia="zh-CN"/>
        </w:rPr>
        <w:t>数字能源管控装置</w:t>
      </w:r>
      <w:r>
        <w:rPr>
          <w:rFonts w:hint="eastAsia" w:ascii="宋体" w:hAnsi="宋体" w:eastAsia="宋体" w:cs="宋体"/>
          <w:color w:val="auto"/>
          <w:highlight w:val="none"/>
        </w:rPr>
        <w:t>，投标方应保证对所</w:t>
      </w:r>
      <w:r>
        <w:rPr>
          <w:rFonts w:hint="eastAsia" w:ascii="宋体" w:hAnsi="宋体" w:eastAsia="宋体" w:cs="宋体"/>
          <w:color w:val="auto"/>
          <w:highlight w:val="none"/>
          <w:lang w:val="en-US" w:eastAsia="zh-CN"/>
        </w:rPr>
        <w:t>代工</w:t>
      </w:r>
      <w:r>
        <w:rPr>
          <w:rFonts w:hint="eastAsia" w:ascii="宋体" w:hAnsi="宋体" w:eastAsia="宋体" w:cs="宋体"/>
          <w:color w:val="auto"/>
          <w:highlight w:val="none"/>
        </w:rPr>
        <w:t>生产制造的产品不仅满足本标书要求的技术条款要求，而且还应对在实际安装、使用地点的外部条件(正常使用条件及特殊使用条件)下的相关性能参数进行校验、核对，使所供物资满足实际外部条件要求及全工况运行要求。</w:t>
      </w:r>
    </w:p>
    <w:p w14:paraId="50AFE42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投标方应对正常使用条件之外的特殊使用条件涉及的相关事项，应在投标文件及供货中特</w:t>
      </w:r>
    </w:p>
    <w:p w14:paraId="14841F28">
      <w:pPr>
        <w:spacing w:line="360" w:lineRule="auto"/>
        <w:rPr>
          <w:rFonts w:ascii="宋体" w:hAnsi="宋体" w:eastAsia="宋体" w:cs="宋体"/>
          <w:color w:val="auto"/>
          <w:highlight w:val="none"/>
        </w:rPr>
      </w:pPr>
      <w:r>
        <w:rPr>
          <w:rFonts w:hint="eastAsia" w:ascii="宋体" w:hAnsi="宋体" w:eastAsia="宋体" w:cs="宋体"/>
          <w:color w:val="auto"/>
          <w:highlight w:val="none"/>
        </w:rPr>
        <w:t>别说明。</w:t>
      </w:r>
    </w:p>
    <w:p w14:paraId="3941EF6A">
      <w:pPr>
        <w:spacing w:before="68" w:line="360" w:lineRule="auto"/>
        <w:ind w:firstLine="428"/>
        <w:outlineLvl w:val="0"/>
        <w:rPr>
          <w:rFonts w:ascii="宋体" w:hAnsi="宋体" w:eastAsia="宋体" w:cs="宋体"/>
          <w:color w:val="auto"/>
          <w:highlight w:val="none"/>
        </w:rPr>
      </w:pPr>
      <w:bookmarkStart w:id="7" w:name="_Toc2353"/>
      <w:bookmarkStart w:id="8" w:name="_Toc11641"/>
      <w:r>
        <w:rPr>
          <w:rFonts w:hint="eastAsia" w:ascii="宋体" w:hAnsi="宋体" w:eastAsia="宋体" w:cs="宋体"/>
          <w:b/>
          <w:bCs/>
          <w:color w:val="auto"/>
          <w:spacing w:val="3"/>
          <w:highlight w:val="none"/>
        </w:rPr>
        <w:t>4.1 正常使用条件</w:t>
      </w:r>
      <w:bookmarkEnd w:id="7"/>
      <w:bookmarkEnd w:id="8"/>
    </w:p>
    <w:p w14:paraId="5703335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本招标技术规范书所规定的技术条款和参数要求，适用下列环境条件使用。</w:t>
      </w:r>
    </w:p>
    <w:p w14:paraId="735B313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9" w:name="_Toc3949"/>
      <w:r>
        <w:rPr>
          <w:rFonts w:hint="eastAsia" w:ascii="宋体" w:hAnsi="宋体" w:eastAsia="宋体" w:cs="宋体"/>
          <w:color w:val="auto"/>
          <w:highlight w:val="none"/>
        </w:rPr>
        <w:t>4.1.1.周围空气温度</w:t>
      </w:r>
      <w:bookmarkEnd w:id="9"/>
    </w:p>
    <w:p w14:paraId="75D8D5F6">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最高温度：70℃</w:t>
      </w:r>
    </w:p>
    <w:p w14:paraId="0259C8FD">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最低温度：-</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0℃</w:t>
      </w:r>
    </w:p>
    <w:p w14:paraId="1FD67C4E">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平均温度：38℃</w:t>
      </w:r>
    </w:p>
    <w:p w14:paraId="305346C2">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最大日温差：30K</w:t>
      </w:r>
    </w:p>
    <w:p w14:paraId="120E8595">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日照强度：0.1W/cm2 (风速0.5m/s)</w:t>
      </w:r>
    </w:p>
    <w:p w14:paraId="7BF185C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0" w:name="_Toc12465"/>
      <w:r>
        <w:rPr>
          <w:rFonts w:hint="eastAsia" w:ascii="宋体" w:hAnsi="宋体" w:eastAsia="宋体" w:cs="宋体"/>
          <w:color w:val="auto"/>
          <w:highlight w:val="none"/>
        </w:rPr>
        <w:t>4.1.2.海拔高度：≤1000m</w:t>
      </w:r>
      <w:bookmarkEnd w:id="10"/>
    </w:p>
    <w:p w14:paraId="6A46E7C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1" w:name="_Toc22383"/>
      <w:r>
        <w:rPr>
          <w:rFonts w:hint="eastAsia" w:ascii="宋体" w:hAnsi="宋体" w:eastAsia="宋体" w:cs="宋体"/>
          <w:color w:val="auto"/>
          <w:highlight w:val="none"/>
        </w:rPr>
        <w:t>4.1.3.最大风速：35m/s</w:t>
      </w:r>
      <w:bookmarkEnd w:id="11"/>
    </w:p>
    <w:p w14:paraId="30D43C7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2" w:name="_Toc4163"/>
      <w:r>
        <w:rPr>
          <w:rFonts w:hint="eastAsia" w:ascii="宋体" w:hAnsi="宋体" w:eastAsia="宋体" w:cs="宋体"/>
          <w:color w:val="auto"/>
          <w:highlight w:val="none"/>
        </w:rPr>
        <w:t xml:space="preserve">4.1.4.环境相对湿度(在25℃时) </w:t>
      </w:r>
    </w:p>
    <w:p w14:paraId="40FCD9C0">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日平均值：95%</w:t>
      </w:r>
      <w:bookmarkEnd w:id="12"/>
    </w:p>
    <w:p w14:paraId="6F3E6663">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月平均值：90%</w:t>
      </w:r>
    </w:p>
    <w:p w14:paraId="45BD244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3" w:name="_Toc14479"/>
      <w:r>
        <w:rPr>
          <w:rFonts w:hint="eastAsia" w:ascii="宋体" w:hAnsi="宋体" w:eastAsia="宋体" w:cs="宋体"/>
          <w:color w:val="auto"/>
          <w:highlight w:val="none"/>
        </w:rPr>
        <w:t>4.1.5.降雨量</w:t>
      </w:r>
      <w:bookmarkEnd w:id="13"/>
    </w:p>
    <w:p w14:paraId="38DE2689">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年最大：2600mm</w:t>
      </w:r>
    </w:p>
    <w:p w14:paraId="3746070A">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日最大：300mm</w:t>
      </w:r>
    </w:p>
    <w:p w14:paraId="2F30E9F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4" w:name="_Toc31110"/>
      <w:r>
        <w:rPr>
          <w:rFonts w:hint="eastAsia" w:ascii="宋体" w:hAnsi="宋体" w:eastAsia="宋体" w:cs="宋体"/>
          <w:color w:val="auto"/>
          <w:highlight w:val="none"/>
        </w:rPr>
        <w:t>4.1.6.雷暴日：100日/年</w:t>
      </w:r>
      <w:bookmarkEnd w:id="14"/>
    </w:p>
    <w:p w14:paraId="17ACCC4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5" w:name="_Toc12926"/>
      <w:r>
        <w:rPr>
          <w:rFonts w:hint="eastAsia" w:ascii="宋体" w:hAnsi="宋体" w:eastAsia="宋体" w:cs="宋体"/>
          <w:color w:val="auto"/>
          <w:highlight w:val="none"/>
        </w:rPr>
        <w:t xml:space="preserve">4.1.7.地震烈度：8度 </w:t>
      </w:r>
    </w:p>
    <w:p w14:paraId="13BD72E4">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水平分量：0.25g</w:t>
      </w:r>
      <w:bookmarkEnd w:id="15"/>
    </w:p>
    <w:p w14:paraId="01B58C5F">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ascii="宋体" w:hAnsi="宋体" w:eastAsia="宋体" w:cs="宋体"/>
          <w:color w:val="auto"/>
          <w:highlight w:val="none"/>
        </w:rPr>
      </w:pPr>
      <w:r>
        <w:rPr>
          <w:rFonts w:hint="eastAsia" w:ascii="宋体" w:hAnsi="宋体" w:eastAsia="宋体" w:cs="宋体"/>
          <w:color w:val="auto"/>
          <w:highlight w:val="none"/>
        </w:rPr>
        <w:t>垂直分量：0.125g</w:t>
      </w:r>
    </w:p>
    <w:p w14:paraId="598D0D1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r>
        <w:rPr>
          <w:rFonts w:hint="eastAsia" w:ascii="宋体" w:hAnsi="宋体" w:eastAsia="宋体" w:cs="宋体"/>
          <w:color w:val="auto"/>
          <w:highlight w:val="none"/>
        </w:rPr>
        <w:t>本产品应能承受用三周正弦波的0.25g水平加速度和0.125g 垂直加速度同时施加于支持结</w:t>
      </w:r>
    </w:p>
    <w:p w14:paraId="3D6616D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构最低部分时，在共振条件下所发生的动态地震应力，并且安全系数应大于1.67。</w:t>
      </w:r>
    </w:p>
    <w:p w14:paraId="6E4B095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6" w:name="_Toc22447"/>
      <w:r>
        <w:rPr>
          <w:rFonts w:hint="eastAsia" w:ascii="宋体" w:hAnsi="宋体" w:eastAsia="宋体" w:cs="宋体"/>
          <w:color w:val="auto"/>
          <w:highlight w:val="none"/>
        </w:rPr>
        <w:t>4.1.8.污秽条件</w:t>
      </w:r>
      <w:bookmarkEnd w:id="16"/>
      <w:r>
        <w:rPr>
          <w:rFonts w:hint="eastAsia" w:ascii="宋体" w:hAnsi="宋体" w:eastAsia="宋体" w:cs="宋体"/>
          <w:color w:val="auto"/>
          <w:highlight w:val="none"/>
        </w:rPr>
        <w:t>：污秽等级：IV 级</w:t>
      </w:r>
    </w:p>
    <w:p w14:paraId="679CA8C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7" w:name="_Toc27842"/>
      <w:r>
        <w:rPr>
          <w:rFonts w:hint="eastAsia" w:ascii="宋体" w:hAnsi="宋体" w:eastAsia="宋体" w:cs="宋体"/>
          <w:color w:val="auto"/>
          <w:highlight w:val="none"/>
        </w:rPr>
        <w:t>4.1.9.覆冰厚度：5 mm (风速不大于15 m/s 时 )</w:t>
      </w:r>
      <w:bookmarkEnd w:id="17"/>
    </w:p>
    <w:p w14:paraId="6E53F67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宋体" w:hAnsi="宋体" w:eastAsia="宋体" w:cs="宋体"/>
          <w:color w:val="auto"/>
          <w:highlight w:val="none"/>
        </w:rPr>
      </w:pPr>
      <w:bookmarkStart w:id="18" w:name="_Toc196"/>
      <w:r>
        <w:rPr>
          <w:rFonts w:hint="eastAsia" w:ascii="宋体" w:hAnsi="宋体" w:eastAsia="宋体" w:cs="宋体"/>
          <w:color w:val="auto"/>
          <w:highlight w:val="none"/>
        </w:rPr>
        <w:t>4.1.10.设备安装地点：电房门等户外</w:t>
      </w:r>
      <w:bookmarkEnd w:id="18"/>
      <w:r>
        <w:rPr>
          <w:rFonts w:hint="eastAsia" w:ascii="宋体" w:hAnsi="宋体" w:eastAsia="宋体" w:cs="宋体"/>
          <w:color w:val="auto"/>
          <w:highlight w:val="none"/>
        </w:rPr>
        <w:t>环境、机房等室内环境</w:t>
      </w:r>
    </w:p>
    <w:p w14:paraId="4F342482">
      <w:pPr>
        <w:spacing w:line="360" w:lineRule="auto"/>
        <w:ind w:firstLine="422"/>
        <w:rPr>
          <w:rFonts w:ascii="宋体" w:hAnsi="宋体" w:eastAsia="宋体" w:cs="宋体"/>
          <w:b/>
          <w:bCs/>
          <w:color w:val="auto"/>
          <w:highlight w:val="none"/>
        </w:rPr>
      </w:pPr>
      <w:bookmarkStart w:id="19" w:name="_Toc26490"/>
      <w:r>
        <w:rPr>
          <w:rFonts w:hint="eastAsia" w:ascii="宋体" w:hAnsi="宋体" w:eastAsia="宋体" w:cs="宋体"/>
          <w:b/>
          <w:bCs/>
          <w:color w:val="auto"/>
          <w:highlight w:val="none"/>
        </w:rPr>
        <w:t>4.2 特殊使用条件要求(如有)</w:t>
      </w:r>
      <w:bookmarkEnd w:id="19"/>
    </w:p>
    <w:p w14:paraId="1AAE5D2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凡不满足4.1条正常使用条件之外的特殊条件，应在招标书的相应技术条款及表11中对有关技术参数及要求加以修正、说明。</w:t>
      </w:r>
    </w:p>
    <w:p w14:paraId="0745E8C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4.2.1.凡是需要满足4.1条规定的正常环境条件之外的特殊使用条件，应在投标文件及供货中说明。</w:t>
      </w:r>
    </w:p>
    <w:p w14:paraId="2323E49B">
      <w:pPr>
        <w:spacing w:line="360" w:lineRule="auto"/>
        <w:ind w:firstLine="420" w:firstLineChars="200"/>
        <w:rPr>
          <w:rFonts w:ascii="宋体" w:hAnsi="宋体" w:eastAsia="宋体" w:cs="宋体"/>
          <w:color w:val="auto"/>
          <w:highlight w:val="none"/>
        </w:rPr>
      </w:pPr>
    </w:p>
    <w:p w14:paraId="4C42AD74">
      <w:pPr>
        <w:spacing w:before="69" w:line="360" w:lineRule="auto"/>
        <w:ind w:firstLine="468"/>
        <w:outlineLvl w:val="0"/>
        <w:rPr>
          <w:rFonts w:hint="eastAsia" w:ascii="宋体" w:hAnsi="宋体" w:eastAsia="宋体" w:cs="宋体"/>
          <w:b/>
          <w:bCs/>
          <w:color w:val="auto"/>
          <w:spacing w:val="23"/>
          <w:highlight w:val="none"/>
          <w:lang w:eastAsia="zh-CN"/>
        </w:rPr>
      </w:pPr>
      <w:bookmarkStart w:id="20" w:name="_Toc26333"/>
      <w:r>
        <w:rPr>
          <w:rFonts w:hint="eastAsia" w:ascii="宋体" w:hAnsi="宋体" w:eastAsia="宋体" w:cs="宋体"/>
          <w:b/>
          <w:bCs/>
          <w:color w:val="auto"/>
          <w:spacing w:val="23"/>
          <w:highlight w:val="none"/>
        </w:rPr>
        <w:t>5 技术要求</w:t>
      </w:r>
      <w:bookmarkEnd w:id="20"/>
      <w:r>
        <w:rPr>
          <w:rFonts w:hint="eastAsia" w:ascii="宋体" w:hAnsi="宋体" w:eastAsia="宋体" w:cs="宋体"/>
          <w:b/>
          <w:bCs/>
          <w:color w:val="auto"/>
          <w:spacing w:val="23"/>
          <w:highlight w:val="none"/>
          <w:lang w:eastAsia="zh-CN"/>
        </w:rPr>
        <w:t>（</w:t>
      </w:r>
      <w:r>
        <w:rPr>
          <w:rFonts w:hint="eastAsia" w:ascii="宋体" w:hAnsi="宋体" w:eastAsia="宋体" w:cs="宋体"/>
          <w:b/>
          <w:bCs/>
          <w:color w:val="auto"/>
          <w:spacing w:val="23"/>
          <w:highlight w:val="none"/>
          <w:lang w:val="en-US" w:eastAsia="zh-CN"/>
        </w:rPr>
        <w:t>宜支持不代表必须满足，但具备后续可扩展能力</w:t>
      </w:r>
      <w:r>
        <w:rPr>
          <w:rFonts w:hint="eastAsia" w:ascii="宋体" w:hAnsi="宋体" w:eastAsia="宋体" w:cs="宋体"/>
          <w:b/>
          <w:bCs/>
          <w:color w:val="auto"/>
          <w:spacing w:val="23"/>
          <w:highlight w:val="none"/>
          <w:lang w:eastAsia="zh-CN"/>
        </w:rPr>
        <w:t>）</w:t>
      </w:r>
    </w:p>
    <w:p w14:paraId="7CE045A6">
      <w:pPr>
        <w:spacing w:before="68" w:line="360" w:lineRule="auto"/>
        <w:ind w:firstLine="428"/>
        <w:outlineLvl w:val="0"/>
        <w:rPr>
          <w:rFonts w:hint="default" w:ascii="宋体" w:hAnsi="宋体" w:eastAsia="宋体" w:cs="宋体"/>
          <w:b/>
          <w:bCs/>
          <w:color w:val="auto"/>
          <w:spacing w:val="3"/>
          <w:highlight w:val="none"/>
          <w:lang w:val="en-US" w:eastAsia="zh-CN"/>
        </w:rPr>
      </w:pPr>
      <w:bookmarkStart w:id="21" w:name="_Toc24762"/>
      <w:bookmarkStart w:id="22" w:name="_Toc165995277"/>
      <w:r>
        <w:rPr>
          <w:rFonts w:hint="default" w:ascii="宋体" w:hAnsi="宋体" w:eastAsia="宋体" w:cs="宋体"/>
          <w:b/>
          <w:bCs/>
          <w:color w:val="auto"/>
          <w:spacing w:val="3"/>
          <w:highlight w:val="none"/>
          <w:lang w:val="en-US" w:eastAsia="zh-CN"/>
        </w:rPr>
        <w:t>5.1电源要求</w:t>
      </w:r>
      <w:bookmarkEnd w:id="21"/>
      <w:bookmarkEnd w:id="22"/>
    </w:p>
    <w:p w14:paraId="3B7A17E0">
      <w:pPr>
        <w:spacing w:line="360" w:lineRule="auto"/>
        <w:ind w:firstLine="420" w:firstLineChars="20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5.1.1</w:t>
      </w:r>
      <w:r>
        <w:rPr>
          <w:rFonts w:hint="eastAsia" w:ascii="宋体" w:hAnsi="宋体" w:eastAsia="宋体" w:cs="宋体"/>
          <w:color w:val="auto"/>
          <w:highlight w:val="none"/>
          <w:lang w:val="en-US" w:eastAsia="zh-CN"/>
        </w:rPr>
        <w:t xml:space="preserve"> </w:t>
      </w:r>
      <w:r>
        <w:rPr>
          <w:rFonts w:hint="default" w:ascii="宋体" w:hAnsi="宋体" w:eastAsia="宋体" w:cs="宋体"/>
          <w:color w:val="auto"/>
          <w:highlight w:val="none"/>
          <w:lang w:val="en-US" w:eastAsia="zh-CN"/>
        </w:rPr>
        <w:t>电源供电方式</w:t>
      </w:r>
    </w:p>
    <w:p w14:paraId="5670A575">
      <w:pPr>
        <w:numPr>
          <w:ilvl w:val="0"/>
          <w:numId w:val="3"/>
        </w:num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装置支持交流或者直流供电方式；</w:t>
      </w:r>
    </w:p>
    <w:p w14:paraId="12845DAC">
      <w:pPr>
        <w:numPr>
          <w:ilvl w:val="0"/>
          <w:numId w:val="3"/>
        </w:numPr>
        <w:spacing w:line="360" w:lineRule="auto"/>
        <w:ind w:firstLine="406"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当采用直流供电时，需支持宽压供电（9~36V），宜支持到48V供电；并配备高性能可靠的开关电源，用于支持交流直接供电。</w:t>
      </w:r>
    </w:p>
    <w:p w14:paraId="10DF35A0">
      <w:pPr>
        <w:numPr>
          <w:ilvl w:val="0"/>
          <w:numId w:val="3"/>
        </w:numPr>
        <w:spacing w:line="360" w:lineRule="auto"/>
        <w:ind w:firstLine="406" w:firstLineChars="200"/>
        <w:rPr>
          <w:rFonts w:hint="default"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default" w:ascii="宋体" w:hAnsi="宋体" w:eastAsia="宋体" w:cs="宋体"/>
          <w:color w:val="auto"/>
          <w:highlight w:val="none"/>
          <w:lang w:val="en-US" w:eastAsia="zh-CN"/>
        </w:rPr>
        <w:t>具有备用超级电容，</w:t>
      </w:r>
      <w:r>
        <w:rPr>
          <w:rFonts w:hint="default"/>
          <w:lang w:val="en-US" w:eastAsia="zh-CN"/>
        </w:rPr>
        <w:t>在外部电源掉电的情况下，至少能够支持设备正常运行时间不低于10S</w:t>
      </w:r>
      <w:r>
        <w:rPr>
          <w:rFonts w:hint="eastAsia"/>
          <w:lang w:val="en-US" w:eastAsia="zh-CN"/>
        </w:rPr>
        <w:t>，并具备</w:t>
      </w:r>
      <w:r>
        <w:rPr>
          <w:rFonts w:hint="default" w:ascii="宋体" w:hAnsi="宋体" w:eastAsia="宋体" w:cs="宋体"/>
          <w:color w:val="auto"/>
          <w:highlight w:val="none"/>
          <w:lang w:val="en-US" w:eastAsia="zh-CN"/>
        </w:rPr>
        <w:t>掉电提醒功能。</w:t>
      </w:r>
    </w:p>
    <w:p w14:paraId="395B3D33">
      <w:pPr>
        <w:spacing w:before="68" w:line="360" w:lineRule="auto"/>
        <w:ind w:firstLine="428"/>
        <w:outlineLvl w:val="0"/>
        <w:rPr>
          <w:rFonts w:hint="eastAsia" w:ascii="宋体" w:hAnsi="宋体" w:eastAsia="宋体" w:cs="宋体"/>
          <w:b/>
          <w:bCs/>
          <w:color w:val="auto"/>
          <w:spacing w:val="3"/>
          <w:highlight w:val="none"/>
          <w:lang w:val="en-US" w:eastAsia="zh-CN"/>
        </w:rPr>
      </w:pPr>
      <w:bookmarkStart w:id="23" w:name="_Toc23221"/>
      <w:r>
        <w:rPr>
          <w:rFonts w:hint="eastAsia" w:ascii="宋体" w:hAnsi="宋体" w:eastAsia="宋体" w:cs="宋体"/>
          <w:b/>
          <w:bCs/>
          <w:color w:val="auto"/>
          <w:spacing w:val="3"/>
          <w:highlight w:val="none"/>
          <w:lang w:val="en-US" w:eastAsia="zh-CN"/>
        </w:rPr>
        <w:t>5.2. 设计要求</w:t>
      </w:r>
      <w:bookmarkEnd w:id="23"/>
    </w:p>
    <w:p w14:paraId="6F92342E">
      <w:pPr>
        <w:spacing w:line="360" w:lineRule="auto"/>
        <w:ind w:firstLine="422"/>
        <w:rPr>
          <w:rFonts w:hint="default"/>
          <w:lang w:val="en-US" w:eastAsia="zh-CN"/>
        </w:rPr>
      </w:pPr>
      <w:r>
        <w:rPr>
          <w:rFonts w:hint="eastAsia" w:ascii="宋体" w:hAnsi="宋体" w:eastAsia="宋体" w:cs="宋体"/>
          <w:b/>
          <w:bCs/>
          <w:color w:val="auto"/>
          <w:spacing w:val="-4"/>
          <w:highlight w:val="none"/>
        </w:rPr>
        <w:t>★</w:t>
      </w:r>
      <w:r>
        <w:rPr>
          <w:rFonts w:hint="eastAsia"/>
          <w:lang w:val="en-US" w:eastAsia="zh-CN"/>
        </w:rPr>
        <w:t>核心芯片采用国产芯片，如主处理器、RAM存储器、Flash存储器、无线模组等，其他非核心器件宜采用国产化芯片。</w:t>
      </w:r>
    </w:p>
    <w:p w14:paraId="0C1BE4F3">
      <w:pPr>
        <w:spacing w:line="360" w:lineRule="auto"/>
        <w:ind w:firstLine="422"/>
        <w:rPr>
          <w:rFonts w:hint="default"/>
          <w:b/>
          <w:bCs/>
          <w:lang w:val="en-US" w:eastAsia="zh-CN"/>
        </w:rPr>
      </w:pPr>
      <w:r>
        <w:rPr>
          <w:rFonts w:hint="eastAsia"/>
          <w:b/>
          <w:bCs/>
          <w:lang w:val="en-US" w:eastAsia="zh-CN"/>
        </w:rPr>
        <w:t>5.2.1 硬件要求</w:t>
      </w:r>
    </w:p>
    <w:p w14:paraId="46258039">
      <w:pPr>
        <w:spacing w:line="360" w:lineRule="auto"/>
        <w:ind w:firstLine="406" w:firstLineChars="200"/>
        <w:rPr>
          <w:rFonts w:hint="default"/>
          <w:lang w:val="en-US" w:eastAsia="zh-CN"/>
        </w:rPr>
      </w:pPr>
      <w:r>
        <w:rPr>
          <w:rFonts w:hint="eastAsia" w:ascii="宋体" w:hAnsi="宋体" w:eastAsia="宋体" w:cs="宋体"/>
          <w:b/>
          <w:bCs/>
          <w:color w:val="auto"/>
          <w:spacing w:val="-4"/>
          <w:highlight w:val="none"/>
        </w:rPr>
        <w:t>★</w:t>
      </w:r>
      <w:r>
        <w:rPr>
          <w:rFonts w:hint="eastAsia"/>
          <w:lang w:val="en-US" w:eastAsia="zh-CN"/>
        </w:rPr>
        <w:t>1）处理器采用国产控制芯片，处理器架构不低于Cortex-A7，主频不低于1.2GHz，RAM存储不低于1GB，Flash存储不低于4GB。</w:t>
      </w:r>
    </w:p>
    <w:p w14:paraId="255A480D">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2）以太网口</w:t>
      </w:r>
    </w:p>
    <w:p w14:paraId="6608961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zh-CN"/>
        </w:rPr>
        <w:t>具有</w:t>
      </w:r>
      <w:r>
        <w:rPr>
          <w:rFonts w:hint="eastAsia" w:ascii="宋体" w:hAnsi="宋体" w:eastAsia="宋体" w:cs="宋体"/>
          <w:color w:val="auto"/>
          <w:highlight w:val="none"/>
        </w:rPr>
        <w:t>两路以上独立的以太网通信接口，支持10/100Mbit/s自适应</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宜支持1000Mbit</w:t>
      </w:r>
      <w:r>
        <w:rPr>
          <w:rFonts w:hint="eastAsia" w:ascii="宋体" w:hAnsi="宋体" w:eastAsia="宋体" w:cs="宋体"/>
          <w:color w:val="auto"/>
          <w:highlight w:val="none"/>
        </w:rPr>
        <w:t>；</w:t>
      </w:r>
    </w:p>
    <w:p w14:paraId="25E21266">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eastAsia="zh-CN"/>
        </w:rPr>
        <w:t>串口</w:t>
      </w:r>
    </w:p>
    <w:p w14:paraId="48A4340C">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具有8路RS485通信接口，</w:t>
      </w:r>
      <w:r>
        <w:rPr>
          <w:rFonts w:hint="eastAsia" w:ascii="宋体" w:hAnsi="宋体" w:eastAsia="宋体" w:cs="宋体"/>
          <w:color w:val="auto"/>
          <w:highlight w:val="none"/>
          <w:lang w:val="zh-CN" w:eastAsia="zh-CN"/>
        </w:rPr>
        <w:t>可支持</w:t>
      </w:r>
      <w:r>
        <w:rPr>
          <w:rFonts w:hint="eastAsia" w:ascii="宋体" w:hAnsi="宋体" w:eastAsia="宋体" w:cs="宋体"/>
          <w:color w:val="auto"/>
          <w:highlight w:val="none"/>
          <w:lang w:val="en-US" w:eastAsia="zh-CN"/>
        </w:rPr>
        <w:t>1200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2400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4800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9600bps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19200bps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115200bps</w:t>
      </w:r>
      <w:r>
        <w:rPr>
          <w:rFonts w:hint="eastAsia" w:ascii="宋体" w:hAnsi="宋体" w:eastAsia="宋体" w:cs="宋体"/>
          <w:color w:val="auto"/>
          <w:highlight w:val="none"/>
          <w:lang w:val="zh-CN" w:eastAsia="zh-CN"/>
        </w:rPr>
        <w:t>等波特率</w:t>
      </w:r>
      <w:r>
        <w:rPr>
          <w:rFonts w:hint="eastAsia" w:ascii="宋体" w:hAnsi="宋体" w:eastAsia="宋体" w:cs="宋体"/>
          <w:color w:val="auto"/>
          <w:highlight w:val="none"/>
          <w:lang w:val="en-US" w:eastAsia="zh-CN"/>
        </w:rPr>
        <w:t>；</w:t>
      </w:r>
    </w:p>
    <w:p w14:paraId="2D306AFD">
      <w:pPr>
        <w:spacing w:line="360" w:lineRule="auto"/>
        <w:ind w:firstLine="422"/>
        <w:rPr>
          <w:rFonts w:hint="eastAsia" w:ascii="宋体" w:hAnsi="宋体" w:eastAsia="宋体" w:cs="宋体"/>
          <w:color w:val="auto"/>
          <w:highlight w:val="none"/>
          <w:lang w:val="zh-CN"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4）远程</w:t>
      </w:r>
      <w:r>
        <w:rPr>
          <w:rFonts w:hint="eastAsia" w:ascii="宋体" w:hAnsi="宋体" w:eastAsia="宋体" w:cs="宋体"/>
          <w:color w:val="auto"/>
          <w:highlight w:val="none"/>
          <w:lang w:val="zh-CN" w:eastAsia="zh-CN"/>
        </w:rPr>
        <w:t>无线通信接口</w:t>
      </w:r>
    </w:p>
    <w:p w14:paraId="199520AC">
      <w:pPr>
        <w:spacing w:line="360" w:lineRule="auto"/>
        <w:ind w:firstLine="420" w:firstLineChars="200"/>
        <w:rPr>
          <w:rFonts w:hint="eastAsia" w:ascii="宋体" w:hAnsi="宋体" w:eastAsia="宋体" w:cs="宋体"/>
          <w:color w:val="auto"/>
          <w:highlight w:val="none"/>
          <w:lang w:val="zh-CN"/>
        </w:rPr>
      </w:pPr>
      <w:bookmarkStart w:id="24" w:name="_Hlk32702641"/>
      <w:r>
        <w:rPr>
          <w:rFonts w:hint="eastAsia" w:ascii="宋体" w:hAnsi="宋体" w:eastAsia="宋体" w:cs="宋体"/>
          <w:color w:val="auto"/>
          <w:highlight w:val="none"/>
          <w:lang w:val="zh-CN"/>
        </w:rPr>
        <w:t>具有</w:t>
      </w:r>
      <w:r>
        <w:rPr>
          <w:rFonts w:hint="eastAsia" w:ascii="宋体" w:hAnsi="宋体" w:eastAsia="宋体" w:cs="宋体"/>
          <w:color w:val="auto"/>
          <w:highlight w:val="none"/>
          <w:lang w:val="en-US" w:eastAsia="zh-CN"/>
        </w:rPr>
        <w:t>至少1路</w:t>
      </w:r>
      <w:r>
        <w:rPr>
          <w:rFonts w:hint="eastAsia" w:ascii="宋体" w:hAnsi="宋体" w:eastAsia="宋体" w:cs="宋体"/>
          <w:color w:val="auto"/>
          <w:highlight w:val="none"/>
          <w:lang w:val="zh-CN"/>
        </w:rPr>
        <w:t>4G无线通信接口，</w:t>
      </w:r>
      <w:r>
        <w:rPr>
          <w:rFonts w:hint="eastAsia" w:ascii="宋体" w:hAnsi="宋体" w:eastAsia="宋体" w:cs="宋体"/>
          <w:color w:val="auto"/>
          <w:highlight w:val="none"/>
          <w:lang w:val="en-US" w:eastAsia="zh-CN"/>
        </w:rPr>
        <w:t>宜支持5G</w:t>
      </w: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支持全网通</w:t>
      </w:r>
      <w:r>
        <w:rPr>
          <w:rFonts w:hint="eastAsia" w:ascii="宋体" w:hAnsi="宋体" w:eastAsia="宋体" w:cs="宋体"/>
          <w:color w:val="auto"/>
          <w:highlight w:val="none"/>
          <w:lang w:val="zh-CN"/>
        </w:rPr>
        <w:t>，</w:t>
      </w:r>
      <w:bookmarkEnd w:id="24"/>
      <w:r>
        <w:rPr>
          <w:rFonts w:hint="eastAsia" w:ascii="宋体" w:hAnsi="宋体" w:eastAsia="宋体" w:cs="宋体"/>
          <w:color w:val="auto"/>
          <w:highlight w:val="none"/>
          <w:lang w:val="zh-CN"/>
        </w:rPr>
        <w:t>内嵌加密模块；支持国密SM2加密通信。</w:t>
      </w:r>
    </w:p>
    <w:p w14:paraId="57943761">
      <w:pPr>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5）CAN要求</w:t>
      </w:r>
    </w:p>
    <w:p w14:paraId="3005C6C6">
      <w:pPr>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具有2路CAN通信接口</w:t>
      </w:r>
    </w:p>
    <w:p w14:paraId="65AB7401">
      <w:pPr>
        <w:spacing w:line="360" w:lineRule="auto"/>
        <w:ind w:firstLine="422"/>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6）开入开出</w:t>
      </w:r>
      <w:r>
        <w:rPr>
          <w:rFonts w:hint="eastAsia" w:ascii="宋体" w:hAnsi="宋体" w:eastAsia="宋体" w:cs="宋体"/>
          <w:color w:val="auto"/>
          <w:highlight w:val="none"/>
          <w:lang w:val="zh-CN" w:eastAsia="zh-CN"/>
        </w:rPr>
        <w:t>接口</w:t>
      </w:r>
    </w:p>
    <w:p w14:paraId="7F2AB5DE">
      <w:pPr>
        <w:spacing w:line="360" w:lineRule="auto"/>
        <w:ind w:firstLine="422"/>
        <w:rPr>
          <w:rFonts w:hint="default" w:eastAsia="宋体"/>
          <w:lang w:val="en-US" w:eastAsia="zh-CN"/>
        </w:rPr>
      </w:pPr>
      <w:r>
        <w:rPr>
          <w:rFonts w:hint="eastAsia" w:eastAsia="宋体"/>
          <w:lang w:val="en-US" w:eastAsia="zh-CN"/>
        </w:rPr>
        <w:t>宜具有开入量、开出量接口，用于接入烟感、水浸等IO量传感器，及IO输出告警。</w:t>
      </w:r>
    </w:p>
    <w:p w14:paraId="4A38E551">
      <w:pPr>
        <w:spacing w:line="360" w:lineRule="auto"/>
        <w:ind w:firstLine="422"/>
        <w:rPr>
          <w:rFonts w:hint="eastAsia"/>
          <w:lang w:val="zh-CN"/>
        </w:rPr>
      </w:pPr>
      <w:r>
        <w:rPr>
          <w:rFonts w:hint="eastAsia" w:ascii="宋体" w:hAnsi="宋体" w:eastAsia="宋体" w:cs="宋体"/>
          <w:color w:val="auto"/>
          <w:highlight w:val="none"/>
          <w:lang w:val="en-US" w:eastAsia="zh-CN"/>
        </w:rPr>
        <w:t>7）调试</w:t>
      </w:r>
      <w:r>
        <w:rPr>
          <w:rFonts w:hint="eastAsia" w:ascii="宋体" w:hAnsi="宋体" w:eastAsia="宋体" w:cs="宋体"/>
          <w:color w:val="auto"/>
          <w:highlight w:val="none"/>
          <w:lang w:val="zh-CN" w:eastAsia="zh-CN"/>
        </w:rPr>
        <w:t>接口</w:t>
      </w:r>
    </w:p>
    <w:p w14:paraId="746C3486">
      <w:pPr>
        <w:spacing w:line="360" w:lineRule="auto"/>
        <w:ind w:firstLine="420" w:firstLineChars="200"/>
        <w:rPr>
          <w:rFonts w:hint="eastAsia" w:ascii="宋体" w:hAnsi="宋体" w:eastAsia="宋体" w:cs="宋体"/>
          <w:lang w:val="zh-CN"/>
        </w:rPr>
      </w:pPr>
      <w:r>
        <w:rPr>
          <w:rFonts w:hint="eastAsia" w:ascii="宋体" w:hAnsi="宋体" w:eastAsia="宋体" w:cs="宋体"/>
          <w:lang w:val="en-US" w:eastAsia="zh-CN"/>
        </w:rPr>
        <w:t>宜</w:t>
      </w:r>
      <w:r>
        <w:rPr>
          <w:rFonts w:hint="eastAsia" w:ascii="宋体" w:hAnsi="宋体" w:eastAsia="宋体" w:cs="宋体"/>
          <w:lang w:val="zh-CN"/>
        </w:rPr>
        <w:t>具有本地维护通信接口。</w:t>
      </w:r>
      <w:r>
        <w:rPr>
          <w:rFonts w:hint="eastAsia" w:ascii="宋体" w:hAnsi="宋体" w:eastAsia="宋体" w:cs="宋体"/>
          <w:lang w:val="en-US" w:eastAsia="zh-CN"/>
        </w:rPr>
        <w:t>宜</w:t>
      </w:r>
      <w:r>
        <w:rPr>
          <w:rFonts w:hint="eastAsia" w:ascii="宋体" w:hAnsi="宋体" w:eastAsia="宋体" w:cs="宋体"/>
          <w:lang w:val="zh-CN"/>
        </w:rPr>
        <w:t>配置1个RS232接口或1个USB接口，作为</w:t>
      </w:r>
      <w:r>
        <w:rPr>
          <w:rFonts w:hint="eastAsia" w:ascii="宋体" w:hAnsi="宋体" w:cs="宋体"/>
          <w:lang w:val="zh-CN"/>
        </w:rPr>
        <w:t>数字能源管控装置</w:t>
      </w:r>
      <w:r>
        <w:rPr>
          <w:rFonts w:hint="eastAsia" w:ascii="宋体" w:hAnsi="宋体" w:eastAsia="宋体" w:cs="宋体"/>
          <w:lang w:val="zh-CN"/>
        </w:rPr>
        <w:t>本地参数设置、软件程序升级、本地测试和数据导出等；</w:t>
      </w:r>
    </w:p>
    <w:p w14:paraId="55F654DF">
      <w:pPr>
        <w:spacing w:line="360" w:lineRule="auto"/>
        <w:ind w:firstLine="422"/>
        <w:rPr>
          <w:rFonts w:hint="eastAsia"/>
          <w:b/>
          <w:bCs/>
          <w:lang w:val="en-US" w:eastAsia="zh-CN"/>
        </w:rPr>
      </w:pPr>
      <w:r>
        <w:rPr>
          <w:rFonts w:hint="eastAsia"/>
          <w:b/>
          <w:bCs/>
          <w:lang w:val="en-US" w:eastAsia="zh-CN"/>
        </w:rPr>
        <w:t xml:space="preserve">5.2.2  </w:t>
      </w:r>
      <w:r>
        <w:rPr>
          <w:rFonts w:hint="eastAsia" w:ascii="宋体" w:hAnsi="宋体" w:eastAsia="宋体" w:cs="宋体"/>
          <w:b/>
          <w:bCs/>
          <w:color w:val="auto"/>
          <w:spacing w:val="-4"/>
          <w:highlight w:val="none"/>
          <w:lang w:val="en-US" w:eastAsia="zh-CN"/>
        </w:rPr>
        <w:t>功能</w:t>
      </w:r>
      <w:r>
        <w:rPr>
          <w:rFonts w:hint="eastAsia"/>
          <w:b/>
          <w:bCs/>
          <w:lang w:val="en-US" w:eastAsia="zh-CN"/>
        </w:rPr>
        <w:t>要求</w:t>
      </w:r>
    </w:p>
    <w:p w14:paraId="2796EF0A">
      <w:pPr>
        <w:spacing w:line="360" w:lineRule="auto"/>
        <w:ind w:firstLine="422"/>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zh-CN" w:eastAsia="zh-CN"/>
        </w:rPr>
        <w:t>1）</w:t>
      </w:r>
      <w:bookmarkStart w:id="25" w:name="_Toc7255"/>
      <w:bookmarkStart w:id="26" w:name="_Toc22403"/>
      <w:bookmarkStart w:id="27" w:name="_Toc4690"/>
      <w:bookmarkStart w:id="28" w:name="_Toc26041"/>
      <w:bookmarkStart w:id="29" w:name="_Toc6414"/>
      <w:bookmarkStart w:id="30" w:name="_Toc10792"/>
      <w:bookmarkStart w:id="31" w:name="_Toc5601"/>
      <w:bookmarkStart w:id="32" w:name="_Toc5575"/>
      <w:bookmarkStart w:id="33" w:name="_Toc32356"/>
      <w:bookmarkStart w:id="34" w:name="_Toc5103"/>
      <w:r>
        <w:rPr>
          <w:rFonts w:hint="default" w:ascii="宋体" w:hAnsi="宋体" w:eastAsia="宋体" w:cs="宋体"/>
          <w:b/>
          <w:bCs/>
          <w:color w:val="auto"/>
          <w:highlight w:val="none"/>
          <w:lang w:val="en-US" w:eastAsia="zh-CN"/>
        </w:rPr>
        <w:t>数据采集需求</w:t>
      </w:r>
      <w:bookmarkEnd w:id="25"/>
      <w:bookmarkEnd w:id="26"/>
      <w:bookmarkEnd w:id="27"/>
      <w:bookmarkEnd w:id="28"/>
      <w:bookmarkEnd w:id="29"/>
      <w:bookmarkEnd w:id="30"/>
      <w:bookmarkEnd w:id="31"/>
      <w:bookmarkEnd w:id="32"/>
      <w:bookmarkEnd w:id="33"/>
      <w:bookmarkEnd w:id="34"/>
    </w:p>
    <w:p w14:paraId="1CF82D05">
      <w:pPr>
        <w:numPr>
          <w:ilvl w:val="0"/>
          <w:numId w:val="4"/>
        </w:numPr>
        <w:spacing w:line="360" w:lineRule="auto"/>
        <w:ind w:left="420" w:leftChars="0" w:hanging="420" w:firstLineChars="0"/>
        <w:rPr>
          <w:rFonts w:hint="default" w:ascii="宋体" w:hAnsi="宋体" w:eastAsia="宋体" w:cs="宋体"/>
          <w:lang w:val="en-US" w:eastAsia="zh-CN"/>
        </w:rPr>
      </w:pPr>
      <w:r>
        <w:rPr>
          <w:rFonts w:hint="default" w:ascii="宋体" w:hAnsi="宋体" w:eastAsia="宋体" w:cs="宋体"/>
          <w:lang w:val="en-US" w:eastAsia="zh-CN"/>
        </w:rPr>
        <w:t>支持</w:t>
      </w:r>
      <w:r>
        <w:rPr>
          <w:rFonts w:hint="eastAsia" w:ascii="宋体" w:hAnsi="宋体" w:eastAsia="宋体" w:cs="宋体"/>
          <w:lang w:val="en-US" w:eastAsia="zh-CN"/>
        </w:rPr>
        <w:t>表计类实时</w:t>
      </w:r>
      <w:r>
        <w:rPr>
          <w:rFonts w:hint="default" w:ascii="宋体" w:hAnsi="宋体" w:eastAsia="宋体" w:cs="宋体"/>
          <w:lang w:val="en-US" w:eastAsia="zh-CN"/>
        </w:rPr>
        <w:t>数据</w:t>
      </w:r>
      <w:r>
        <w:rPr>
          <w:rFonts w:hint="eastAsia" w:ascii="宋体" w:hAnsi="宋体" w:eastAsia="宋体" w:cs="宋体"/>
          <w:lang w:val="en-US" w:eastAsia="zh-CN"/>
        </w:rPr>
        <w:t>的采集</w:t>
      </w:r>
      <w:r>
        <w:rPr>
          <w:rFonts w:hint="default" w:ascii="宋体" w:hAnsi="宋体" w:eastAsia="宋体" w:cs="宋体"/>
          <w:lang w:val="en-US" w:eastAsia="zh-CN"/>
        </w:rPr>
        <w:t>：电压/电流有效值</w:t>
      </w:r>
      <w:r>
        <w:rPr>
          <w:rFonts w:hint="eastAsia" w:ascii="宋体" w:hAnsi="宋体" w:eastAsia="宋体" w:cs="宋体"/>
          <w:lang w:val="en-US" w:eastAsia="zh-CN"/>
        </w:rPr>
        <w:t>、频率</w:t>
      </w:r>
      <w:r>
        <w:rPr>
          <w:rFonts w:hint="default" w:ascii="宋体" w:hAnsi="宋体" w:eastAsia="宋体" w:cs="宋体"/>
          <w:lang w:val="en-US" w:eastAsia="zh-CN"/>
        </w:rPr>
        <w:t>、有功功率、无功功率、视在功率、功率因数、电压线频率等电气量数据</w:t>
      </w:r>
      <w:r>
        <w:rPr>
          <w:rFonts w:hint="eastAsia" w:ascii="宋体" w:hAnsi="宋体" w:eastAsia="宋体" w:cs="宋体"/>
          <w:lang w:val="en-US" w:eastAsia="zh-CN"/>
        </w:rPr>
        <w:t>以及设备状态类数据；</w:t>
      </w:r>
    </w:p>
    <w:p w14:paraId="360BAC2F">
      <w:pPr>
        <w:numPr>
          <w:ilvl w:val="0"/>
          <w:numId w:val="4"/>
        </w:numPr>
        <w:spacing w:line="360" w:lineRule="auto"/>
        <w:ind w:left="420" w:leftChars="0" w:hanging="420" w:firstLineChars="0"/>
        <w:rPr>
          <w:rFonts w:hint="default" w:ascii="宋体" w:hAnsi="宋体" w:eastAsia="宋体" w:cs="宋体"/>
          <w:lang w:val="en-US" w:eastAsia="zh-CN"/>
        </w:rPr>
      </w:pPr>
      <w:r>
        <w:rPr>
          <w:rFonts w:hint="eastAsia" w:ascii="宋体" w:hAnsi="宋体" w:eastAsia="宋体" w:cs="宋体"/>
          <w:lang w:val="en-US" w:eastAsia="zh-CN"/>
        </w:rPr>
        <w:t>支持电房内设备与传感器的采集：</w:t>
      </w:r>
      <w:r>
        <w:rPr>
          <w:rFonts w:hint="default" w:ascii="宋体" w:hAnsi="宋体" w:eastAsia="宋体" w:cs="宋体"/>
          <w:lang w:val="en-US" w:eastAsia="zh-CN"/>
        </w:rPr>
        <w:t>单/双向多功能表、微机保护、断路器（10kV断路器、框架断路器、塑壳断路器）、无功补偿装置、直流屏、无线测温采集器、环境类传感器、状态监测类传感器等</w:t>
      </w:r>
      <w:r>
        <w:rPr>
          <w:rFonts w:hint="eastAsia" w:ascii="宋体" w:hAnsi="宋体" w:eastAsia="宋体" w:cs="宋体"/>
          <w:lang w:val="en-US" w:eastAsia="zh-CN"/>
        </w:rPr>
        <w:t>；</w:t>
      </w:r>
    </w:p>
    <w:p w14:paraId="4296AA52">
      <w:pPr>
        <w:numPr>
          <w:ilvl w:val="0"/>
          <w:numId w:val="4"/>
        </w:numPr>
        <w:spacing w:line="360" w:lineRule="auto"/>
        <w:ind w:left="420" w:leftChars="0" w:hanging="420" w:firstLineChars="0"/>
        <w:rPr>
          <w:rFonts w:hint="eastAsia" w:ascii="宋体" w:hAnsi="宋体" w:eastAsia="宋体" w:cs="宋体"/>
          <w:lang w:val="en-US" w:eastAsia="zh-CN"/>
        </w:rPr>
      </w:pPr>
      <w:r>
        <w:rPr>
          <w:rFonts w:hint="eastAsia" w:ascii="宋体" w:hAnsi="宋体" w:eastAsia="宋体" w:cs="宋体"/>
          <w:lang w:val="en-US" w:eastAsia="zh-CN"/>
        </w:rPr>
        <w:t>支持楼宇监测设备和传感器的采集：</w:t>
      </w:r>
      <w:r>
        <w:rPr>
          <w:rFonts w:hint="default" w:ascii="宋体" w:hAnsi="宋体" w:eastAsia="宋体" w:cs="宋体"/>
          <w:lang w:val="en-US" w:eastAsia="zh-CN"/>
        </w:rPr>
        <w:t>空调机组、新风机组、智能灯控、环境类监测等</w:t>
      </w:r>
      <w:r>
        <w:rPr>
          <w:rFonts w:hint="eastAsia" w:ascii="宋体" w:hAnsi="宋体" w:eastAsia="宋体" w:cs="宋体"/>
          <w:lang w:val="en-US" w:eastAsia="zh-CN"/>
        </w:rPr>
        <w:t>；</w:t>
      </w:r>
    </w:p>
    <w:p w14:paraId="2CCB3C81">
      <w:pPr>
        <w:numPr>
          <w:ilvl w:val="0"/>
          <w:numId w:val="4"/>
        </w:numPr>
        <w:spacing w:line="360" w:lineRule="auto"/>
        <w:ind w:left="420" w:leftChars="0" w:hanging="420" w:firstLineChars="0"/>
        <w:rPr>
          <w:rFonts w:hint="eastAsia" w:ascii="宋体" w:hAnsi="宋体" w:eastAsia="宋体" w:cs="宋体"/>
          <w:lang w:val="en-US" w:eastAsia="zh-CN"/>
        </w:rPr>
      </w:pPr>
      <w:r>
        <w:rPr>
          <w:rFonts w:hint="eastAsia" w:ascii="宋体" w:hAnsi="宋体" w:eastAsia="宋体" w:cs="宋体"/>
          <w:lang w:val="en-US" w:eastAsia="zh-CN"/>
        </w:rPr>
        <w:t>支持新能源设备的采集：</w:t>
      </w:r>
      <w:r>
        <w:rPr>
          <w:rFonts w:hint="default" w:ascii="宋体" w:hAnsi="宋体" w:eastAsia="宋体" w:cs="宋体"/>
          <w:lang w:val="en-US" w:eastAsia="zh-CN"/>
        </w:rPr>
        <w:t>风光储充设备、柔性负载</w:t>
      </w:r>
      <w:r>
        <w:rPr>
          <w:rFonts w:hint="eastAsia" w:ascii="宋体" w:hAnsi="宋体" w:eastAsia="宋体" w:cs="宋体"/>
          <w:lang w:val="en-US" w:eastAsia="zh-CN"/>
        </w:rPr>
        <w:t>；</w:t>
      </w:r>
    </w:p>
    <w:p w14:paraId="21B416E7">
      <w:pPr>
        <w:numPr>
          <w:ilvl w:val="0"/>
          <w:numId w:val="4"/>
        </w:numPr>
        <w:spacing w:line="360" w:lineRule="auto"/>
        <w:ind w:left="420" w:leftChars="0" w:hanging="420" w:firstLineChars="0"/>
        <w:rPr>
          <w:rFonts w:hint="default" w:ascii="Times New Roman" w:hAnsi="Times New Roman" w:eastAsia="新宋体" w:cs="Times New Roman"/>
          <w:b w:val="0"/>
          <w:bCs w:val="0"/>
          <w:lang w:val="en-US" w:eastAsia="zh-CN"/>
        </w:rPr>
      </w:pPr>
      <w:r>
        <w:rPr>
          <w:rFonts w:hint="eastAsia" w:ascii="宋体" w:hAnsi="宋体" w:eastAsia="宋体" w:cs="宋体"/>
          <w:b/>
          <w:bCs/>
          <w:color w:val="auto"/>
          <w:spacing w:val="-4"/>
          <w:highlight w:val="none"/>
        </w:rPr>
        <w:t>★</w:t>
      </w:r>
      <w:r>
        <w:rPr>
          <w:rFonts w:hint="eastAsia" w:cs="Times New Roman"/>
          <w:b w:val="0"/>
          <w:bCs w:val="0"/>
          <w:lang w:val="en-US" w:eastAsia="zh-CN"/>
        </w:rPr>
        <w:t>支持的</w:t>
      </w:r>
      <w:r>
        <w:rPr>
          <w:rFonts w:hint="default" w:ascii="Times New Roman" w:hAnsi="Times New Roman" w:eastAsia="新宋体" w:cs="Times New Roman"/>
          <w:b w:val="0"/>
          <w:bCs w:val="0"/>
          <w:lang w:val="en-US" w:eastAsia="zh-CN"/>
        </w:rPr>
        <w:t>采集协议</w:t>
      </w:r>
      <w:r>
        <w:rPr>
          <w:rFonts w:hint="eastAsia" w:cs="Times New Roman"/>
          <w:b w:val="0"/>
          <w:bCs w:val="0"/>
          <w:lang w:val="en-US" w:eastAsia="zh-CN"/>
        </w:rPr>
        <w:t>包括</w:t>
      </w:r>
      <w:r>
        <w:rPr>
          <w:rFonts w:hint="default" w:ascii="Times New Roman" w:hAnsi="Times New Roman" w:eastAsia="新宋体" w:cs="Times New Roman"/>
          <w:b w:val="0"/>
          <w:bCs w:val="0"/>
          <w:lang w:val="en-US" w:eastAsia="zh-CN"/>
        </w:rPr>
        <w:t>：Modbus-RTU、Modbus-TCP、DLT645、IEC104。</w:t>
      </w:r>
      <w:r>
        <w:rPr>
          <w:rFonts w:hint="eastAsia" w:ascii="Times New Roman" w:hAnsi="Times New Roman" w:eastAsia="新宋体" w:cs="Times New Roman"/>
          <w:b w:val="0"/>
          <w:bCs w:val="0"/>
          <w:lang w:val="en-US" w:eastAsia="zh-CN"/>
        </w:rPr>
        <w:t>宜支持协议插件或规约库的方式配置采集；</w:t>
      </w:r>
    </w:p>
    <w:p w14:paraId="1503A344">
      <w:pPr>
        <w:numPr>
          <w:ilvl w:val="0"/>
          <w:numId w:val="4"/>
        </w:numPr>
        <w:spacing w:line="360" w:lineRule="auto"/>
        <w:ind w:left="420" w:leftChars="0" w:hanging="420" w:firstLineChars="0"/>
        <w:rPr>
          <w:rFonts w:hint="default" w:ascii="Times New Roman" w:hAnsi="Times New Roman" w:eastAsia="新宋体" w:cs="Times New Roman"/>
          <w:b w:val="0"/>
          <w:bCs w:val="0"/>
          <w:lang w:val="en-US" w:eastAsia="zh-CN"/>
        </w:rPr>
      </w:pPr>
      <w:r>
        <w:rPr>
          <w:rFonts w:hint="eastAsia" w:ascii="宋体" w:hAnsi="宋体" w:eastAsia="宋体" w:cs="宋体"/>
          <w:b/>
          <w:bCs/>
          <w:color w:val="auto"/>
          <w:spacing w:val="-4"/>
          <w:highlight w:val="none"/>
        </w:rPr>
        <w:t>★</w:t>
      </w:r>
      <w:r>
        <w:rPr>
          <w:rFonts w:hint="default" w:ascii="Times New Roman" w:hAnsi="Times New Roman" w:eastAsia="新宋体" w:cs="Times New Roman"/>
          <w:b w:val="0"/>
          <w:bCs w:val="0"/>
          <w:lang w:val="en-US" w:eastAsia="zh-CN"/>
        </w:rPr>
        <w:t>设备接入量不低于300个，采用模型化配置</w:t>
      </w:r>
      <w:r>
        <w:rPr>
          <w:rFonts w:hint="eastAsia" w:cs="Times New Roman"/>
          <w:b w:val="0"/>
          <w:bCs w:val="0"/>
          <w:lang w:val="en-US" w:eastAsia="zh-CN"/>
        </w:rPr>
        <w:t>的方式快速批量接入园区设备</w:t>
      </w:r>
      <w:r>
        <w:rPr>
          <w:rFonts w:hint="default" w:ascii="Times New Roman" w:hAnsi="Times New Roman" w:eastAsia="新宋体" w:cs="Times New Roman"/>
          <w:b w:val="0"/>
          <w:bCs w:val="0"/>
          <w:lang w:val="en-US" w:eastAsia="zh-CN"/>
        </w:rPr>
        <w:t>。</w:t>
      </w:r>
    </w:p>
    <w:p w14:paraId="5AC1D348">
      <w:pPr>
        <w:numPr>
          <w:ilvl w:val="0"/>
          <w:numId w:val="5"/>
        </w:numPr>
        <w:spacing w:line="360" w:lineRule="auto"/>
        <w:ind w:firstLine="422"/>
        <w:rPr>
          <w:rFonts w:hint="default" w:ascii="宋体" w:hAnsi="宋体" w:eastAsia="宋体" w:cs="宋体"/>
          <w:b/>
          <w:bCs/>
          <w:color w:val="auto"/>
          <w:highlight w:val="none"/>
          <w:lang w:val="en-US" w:eastAsia="zh-CN"/>
        </w:rPr>
      </w:pPr>
      <w:bookmarkStart w:id="35" w:name="_Toc4902"/>
      <w:bookmarkStart w:id="36" w:name="_Toc24691"/>
      <w:bookmarkStart w:id="37" w:name="_Toc15197"/>
      <w:bookmarkStart w:id="38" w:name="_Toc14965"/>
      <w:bookmarkStart w:id="39" w:name="_Toc19176"/>
      <w:bookmarkStart w:id="40" w:name="_Toc16651"/>
      <w:bookmarkStart w:id="41" w:name="_Toc6565"/>
      <w:bookmarkStart w:id="42" w:name="_Toc10467"/>
      <w:bookmarkStart w:id="43" w:name="_Toc28556"/>
      <w:r>
        <w:rPr>
          <w:rFonts w:hint="default" w:ascii="宋体" w:hAnsi="宋体" w:eastAsia="宋体" w:cs="宋体"/>
          <w:b/>
          <w:bCs/>
          <w:color w:val="auto"/>
          <w:highlight w:val="none"/>
          <w:lang w:val="en-US" w:eastAsia="zh-CN"/>
        </w:rPr>
        <w:t>设备控制需求</w:t>
      </w:r>
      <w:bookmarkEnd w:id="35"/>
      <w:bookmarkEnd w:id="36"/>
      <w:bookmarkEnd w:id="37"/>
      <w:bookmarkEnd w:id="38"/>
      <w:bookmarkEnd w:id="39"/>
      <w:bookmarkEnd w:id="40"/>
      <w:bookmarkEnd w:id="41"/>
      <w:bookmarkEnd w:id="42"/>
      <w:bookmarkEnd w:id="43"/>
    </w:p>
    <w:p w14:paraId="44E43DBF">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支持对园区内光伏、风电、储能、柔性负荷等设备进行能量调控；支持对园区楼宇照明等灯控设备进行控制。</w:t>
      </w:r>
    </w:p>
    <w:p w14:paraId="63A15577">
      <w:pPr>
        <w:numPr>
          <w:ilvl w:val="0"/>
          <w:numId w:val="5"/>
        </w:numPr>
        <w:spacing w:line="360" w:lineRule="auto"/>
        <w:ind w:firstLine="422"/>
        <w:rPr>
          <w:rFonts w:hint="default" w:ascii="宋体" w:hAnsi="宋体" w:eastAsia="宋体" w:cs="宋体"/>
          <w:b/>
          <w:bCs/>
          <w:color w:val="auto"/>
          <w:highlight w:val="none"/>
          <w:lang w:val="en-US" w:eastAsia="zh-CN"/>
        </w:rPr>
      </w:pPr>
      <w:bookmarkStart w:id="44" w:name="_Toc22557"/>
      <w:bookmarkStart w:id="45" w:name="_Toc15190"/>
      <w:bookmarkStart w:id="46" w:name="_Toc5935"/>
      <w:bookmarkStart w:id="47" w:name="_Toc27900"/>
      <w:bookmarkStart w:id="48" w:name="_Toc6533"/>
      <w:bookmarkStart w:id="49" w:name="_Toc25867"/>
      <w:bookmarkStart w:id="50" w:name="_Toc15037"/>
      <w:bookmarkStart w:id="51" w:name="_Toc18188"/>
      <w:bookmarkStart w:id="52" w:name="_Toc5442"/>
      <w:bookmarkStart w:id="53" w:name="_Toc26164"/>
      <w:r>
        <w:rPr>
          <w:rFonts w:hint="eastAsia" w:ascii="宋体" w:hAnsi="宋体" w:eastAsia="宋体" w:cs="宋体"/>
          <w:b/>
          <w:bCs/>
          <w:color w:val="auto"/>
          <w:spacing w:val="-4"/>
          <w:highlight w:val="none"/>
        </w:rPr>
        <w:t>★</w:t>
      </w:r>
      <w:r>
        <w:rPr>
          <w:rFonts w:hint="default" w:ascii="宋体" w:hAnsi="宋体" w:eastAsia="宋体" w:cs="宋体"/>
          <w:b/>
          <w:bCs/>
          <w:color w:val="auto"/>
          <w:highlight w:val="none"/>
          <w:lang w:val="en-US" w:eastAsia="zh-CN"/>
        </w:rPr>
        <w:t>主站接入</w:t>
      </w:r>
      <w:bookmarkEnd w:id="44"/>
      <w:bookmarkEnd w:id="45"/>
      <w:bookmarkEnd w:id="46"/>
      <w:bookmarkEnd w:id="47"/>
      <w:bookmarkEnd w:id="48"/>
      <w:bookmarkEnd w:id="49"/>
      <w:bookmarkEnd w:id="50"/>
      <w:bookmarkEnd w:id="51"/>
      <w:bookmarkEnd w:id="52"/>
      <w:bookmarkEnd w:id="53"/>
    </w:p>
    <w:p w14:paraId="18E77F50">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装置支持挑点上送至北向主站，支持方便快捷的配置选择所需上报的采集数据进行上送到主站，并支持多个主站同时上送，支持以下主站类型的接入：</w:t>
      </w:r>
    </w:p>
    <w:p w14:paraId="6409944F">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1、</w:t>
      </w:r>
      <w:r>
        <w:rPr>
          <w:rFonts w:hint="eastAsia" w:ascii="宋体" w:hAnsi="宋体" w:eastAsia="宋体" w:cs="宋体"/>
          <w:lang w:val="en-US" w:eastAsia="zh-CN"/>
        </w:rPr>
        <w:t>物联网平台的接入</w:t>
      </w:r>
    </w:p>
    <w:p w14:paraId="067BB983">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2、IEC104主站</w:t>
      </w:r>
    </w:p>
    <w:p w14:paraId="723716AF">
      <w:pPr>
        <w:spacing w:line="360" w:lineRule="auto"/>
        <w:ind w:firstLine="420" w:firstLineChars="200"/>
        <w:rPr>
          <w:rFonts w:hint="default" w:ascii="宋体" w:hAnsi="宋体" w:eastAsia="宋体" w:cs="宋体"/>
          <w:b/>
          <w:bCs/>
          <w:color w:val="auto"/>
          <w:highlight w:val="none"/>
          <w:lang w:val="en-US" w:eastAsia="zh-CN"/>
        </w:rPr>
      </w:pPr>
      <w:r>
        <w:rPr>
          <w:rFonts w:hint="default" w:ascii="宋体" w:hAnsi="宋体" w:eastAsia="宋体" w:cs="宋体"/>
          <w:lang w:val="en-US" w:eastAsia="zh-CN"/>
        </w:rPr>
        <w:t>3、Modbus-TCP主站</w:t>
      </w:r>
    </w:p>
    <w:p w14:paraId="0969C25E">
      <w:pPr>
        <w:numPr>
          <w:ilvl w:val="0"/>
          <w:numId w:val="5"/>
        </w:numPr>
        <w:spacing w:line="360" w:lineRule="auto"/>
        <w:ind w:firstLine="422"/>
        <w:rPr>
          <w:rFonts w:hint="default" w:ascii="宋体" w:hAnsi="宋体" w:eastAsia="宋体" w:cs="宋体"/>
          <w:b/>
          <w:bCs/>
          <w:color w:val="auto"/>
          <w:highlight w:val="none"/>
          <w:lang w:val="en-US" w:eastAsia="zh-CN"/>
        </w:rPr>
      </w:pPr>
      <w:bookmarkStart w:id="54" w:name="_Toc21153"/>
      <w:bookmarkStart w:id="55" w:name="_Toc4300"/>
      <w:bookmarkStart w:id="56" w:name="_Toc13624"/>
      <w:bookmarkStart w:id="57" w:name="_Toc9127"/>
      <w:bookmarkStart w:id="58" w:name="_Toc7965"/>
      <w:bookmarkStart w:id="59" w:name="_Toc32682"/>
      <w:bookmarkStart w:id="60" w:name="_Toc15821"/>
      <w:bookmarkStart w:id="61" w:name="_Toc32550"/>
      <w:bookmarkStart w:id="62" w:name="_Toc8921"/>
      <w:bookmarkStart w:id="63" w:name="_Toc30569"/>
      <w:r>
        <w:rPr>
          <w:rFonts w:hint="eastAsia" w:ascii="宋体" w:hAnsi="宋体" w:eastAsia="宋体" w:cs="宋体"/>
          <w:b/>
          <w:bCs/>
          <w:color w:val="auto"/>
          <w:spacing w:val="-4"/>
          <w:highlight w:val="none"/>
        </w:rPr>
        <w:t>★</w:t>
      </w:r>
      <w:r>
        <w:rPr>
          <w:rFonts w:hint="default" w:ascii="宋体" w:hAnsi="宋体" w:eastAsia="宋体" w:cs="宋体"/>
          <w:b/>
          <w:bCs/>
          <w:color w:val="auto"/>
          <w:highlight w:val="none"/>
          <w:lang w:val="en-US" w:eastAsia="zh-CN"/>
        </w:rPr>
        <w:t>人机交互与便捷运维</w:t>
      </w:r>
      <w:bookmarkEnd w:id="54"/>
      <w:bookmarkEnd w:id="55"/>
      <w:bookmarkEnd w:id="56"/>
      <w:bookmarkEnd w:id="57"/>
      <w:bookmarkEnd w:id="58"/>
      <w:bookmarkEnd w:id="59"/>
      <w:bookmarkEnd w:id="60"/>
      <w:bookmarkEnd w:id="61"/>
      <w:bookmarkEnd w:id="62"/>
      <w:bookmarkEnd w:id="63"/>
    </w:p>
    <w:p w14:paraId="2D21C7FC">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支持</w:t>
      </w:r>
      <w:r>
        <w:rPr>
          <w:rFonts w:hint="eastAsia" w:ascii="宋体" w:hAnsi="宋体" w:eastAsia="宋体" w:cs="宋体"/>
          <w:lang w:val="en-US" w:eastAsia="zh-CN"/>
        </w:rPr>
        <w:t>通过可视化运维管理工具</w:t>
      </w:r>
      <w:r>
        <w:rPr>
          <w:rFonts w:hint="default" w:ascii="宋体" w:hAnsi="宋体" w:eastAsia="宋体" w:cs="宋体"/>
          <w:lang w:val="en-US" w:eastAsia="zh-CN"/>
        </w:rPr>
        <w:t>查看各类设备的运行数据</w:t>
      </w:r>
      <w:r>
        <w:rPr>
          <w:rFonts w:hint="eastAsia" w:ascii="宋体" w:hAnsi="宋体" w:eastAsia="宋体" w:cs="宋体"/>
          <w:lang w:val="en-US" w:eastAsia="zh-CN"/>
        </w:rPr>
        <w:t>、通讯报文等</w:t>
      </w:r>
      <w:r>
        <w:rPr>
          <w:rFonts w:hint="default" w:ascii="宋体" w:hAnsi="宋体" w:eastAsia="宋体" w:cs="宋体"/>
          <w:lang w:val="en-US" w:eastAsia="zh-CN"/>
        </w:rPr>
        <w:t>。</w:t>
      </w:r>
    </w:p>
    <w:p w14:paraId="729349BD">
      <w:pPr>
        <w:spacing w:line="360" w:lineRule="auto"/>
        <w:ind w:firstLine="420" w:firstLineChars="200"/>
        <w:rPr>
          <w:rFonts w:hint="default" w:ascii="宋体" w:hAnsi="宋体" w:eastAsia="宋体" w:cs="宋体"/>
          <w:lang w:val="en-US" w:eastAsia="zh-CN"/>
        </w:rPr>
      </w:pPr>
      <w:r>
        <w:rPr>
          <w:rFonts w:hint="eastAsia" w:ascii="宋体" w:hAnsi="宋体" w:eastAsia="宋体" w:cs="宋体"/>
          <w:lang w:val="en-US" w:eastAsia="zh-CN"/>
        </w:rPr>
        <w:t>支持通过可视化运维管理工具快速</w:t>
      </w:r>
      <w:r>
        <w:rPr>
          <w:rFonts w:hint="default" w:ascii="宋体" w:hAnsi="宋体" w:eastAsia="宋体" w:cs="宋体"/>
          <w:lang w:val="en-US" w:eastAsia="zh-CN"/>
        </w:rPr>
        <w:t>接入</w:t>
      </w:r>
      <w:r>
        <w:rPr>
          <w:rFonts w:hint="eastAsia" w:ascii="宋体" w:hAnsi="宋体" w:eastAsia="宋体" w:cs="宋体"/>
          <w:lang w:val="en-US" w:eastAsia="zh-CN"/>
        </w:rPr>
        <w:t>采集</w:t>
      </w:r>
      <w:r>
        <w:rPr>
          <w:rFonts w:hint="default" w:ascii="宋体" w:hAnsi="宋体" w:eastAsia="宋体" w:cs="宋体"/>
          <w:lang w:val="en-US" w:eastAsia="zh-CN"/>
        </w:rPr>
        <w:t>设备，</w:t>
      </w:r>
      <w:r>
        <w:rPr>
          <w:rFonts w:hint="eastAsia" w:ascii="宋体" w:hAnsi="宋体" w:eastAsia="宋体" w:cs="宋体"/>
          <w:lang w:val="en-US" w:eastAsia="zh-CN"/>
        </w:rPr>
        <w:t>支持模型化</w:t>
      </w:r>
      <w:r>
        <w:rPr>
          <w:rFonts w:hint="default" w:ascii="宋体" w:hAnsi="宋体" w:eastAsia="宋体" w:cs="宋体"/>
          <w:lang w:val="en-US" w:eastAsia="zh-CN"/>
        </w:rPr>
        <w:t>配置管理，方便对园区各类设备进行快速的接入配置。</w:t>
      </w:r>
    </w:p>
    <w:p w14:paraId="01FB3120">
      <w:pPr>
        <w:pStyle w:val="2"/>
        <w:rPr>
          <w:rFonts w:hint="eastAsia"/>
          <w:lang w:val="zh-CN"/>
        </w:rPr>
      </w:pPr>
    </w:p>
    <w:p w14:paraId="489B2F96">
      <w:pPr>
        <w:spacing w:line="360" w:lineRule="auto"/>
        <w:ind w:firstLine="422"/>
        <w:rPr>
          <w:rFonts w:hint="eastAsia"/>
          <w:b/>
          <w:bCs/>
          <w:lang w:val="en-US" w:eastAsia="zh-CN"/>
        </w:rPr>
      </w:pPr>
      <w:r>
        <w:rPr>
          <w:rFonts w:hint="eastAsia"/>
          <w:b/>
          <w:bCs/>
          <w:lang w:val="en-US" w:eastAsia="zh-CN"/>
        </w:rPr>
        <w:t>5.2.3  外观结构要求</w:t>
      </w:r>
    </w:p>
    <w:p w14:paraId="5FCDB95F">
      <w:pPr>
        <w:spacing w:line="360" w:lineRule="auto"/>
        <w:ind w:firstLine="420" w:firstLineChars="200"/>
      </w:pPr>
      <w:r>
        <w:t>机箱尺寸应符合GB/T19520.12规定。</w:t>
      </w:r>
    </w:p>
    <w:p w14:paraId="780EB09A">
      <w:pPr>
        <w:spacing w:line="360" w:lineRule="auto"/>
        <w:ind w:firstLine="420" w:firstLineChars="200"/>
      </w:pPr>
      <w:r>
        <w:t>设备应采取必要的电磁兼容性措施。</w:t>
      </w:r>
    </w:p>
    <w:p w14:paraId="13AB3C6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金属结构件应有防锈措施。安装在室内设备其外壳防护等级不得低于GB/T 4208中IP20的规定。</w:t>
      </w:r>
    </w:p>
    <w:p w14:paraId="0DA3D464">
      <w:pPr>
        <w:spacing w:line="360" w:lineRule="auto"/>
        <w:ind w:firstLine="406" w:firstLineChars="200"/>
        <w:rPr>
          <w:rFonts w:hint="eastAsia" w:eastAsia="宋体"/>
          <w:lang w:val="en-US" w:eastAsia="zh-CN"/>
        </w:rPr>
      </w:pPr>
      <w:r>
        <w:rPr>
          <w:rFonts w:hint="eastAsia" w:ascii="宋体" w:hAnsi="宋体" w:eastAsia="宋体" w:cs="宋体"/>
          <w:b/>
          <w:bCs/>
          <w:color w:val="auto"/>
          <w:spacing w:val="-4"/>
          <w:highlight w:val="none"/>
        </w:rPr>
        <w:t>★</w:t>
      </w:r>
      <w:r>
        <w:rPr>
          <w:rFonts w:hint="eastAsia" w:eastAsia="宋体"/>
          <w:lang w:val="en-US" w:eastAsia="zh-CN"/>
        </w:rPr>
        <w:t>机械尺寸不得大于：185*130*56mm。</w:t>
      </w:r>
    </w:p>
    <w:p w14:paraId="27BDC8EC">
      <w:pPr>
        <w:pStyle w:val="2"/>
        <w:rPr>
          <w:rFonts w:hint="eastAsia"/>
          <w:lang w:val="en-US" w:eastAsia="zh-CN"/>
        </w:rPr>
      </w:pPr>
    </w:p>
    <w:p w14:paraId="4DFC9322">
      <w:pPr>
        <w:spacing w:before="68" w:line="360" w:lineRule="auto"/>
        <w:ind w:firstLine="428"/>
        <w:outlineLvl w:val="0"/>
        <w:rPr>
          <w:rFonts w:hint="eastAsia" w:ascii="宋体" w:hAnsi="宋体" w:eastAsia="宋体" w:cs="宋体"/>
          <w:b/>
          <w:bCs/>
          <w:color w:val="auto"/>
          <w:spacing w:val="3"/>
          <w:highlight w:val="none"/>
          <w:lang w:val="en-US" w:eastAsia="zh-CN"/>
        </w:rPr>
      </w:pPr>
      <w:bookmarkStart w:id="64" w:name="_Toc26884"/>
      <w:r>
        <w:rPr>
          <w:rFonts w:hint="eastAsia" w:ascii="宋体" w:hAnsi="宋体" w:eastAsia="宋体" w:cs="宋体"/>
          <w:b/>
          <w:bCs/>
          <w:color w:val="auto"/>
          <w:spacing w:val="3"/>
          <w:highlight w:val="none"/>
          <w:lang w:val="en-US" w:eastAsia="zh-CN"/>
        </w:rPr>
        <w:t>5.3. 性能要求</w:t>
      </w:r>
      <w:bookmarkEnd w:id="64"/>
    </w:p>
    <w:p w14:paraId="0529DB0F">
      <w:pPr>
        <w:spacing w:line="360" w:lineRule="auto"/>
        <w:ind w:firstLine="422"/>
        <w:rPr>
          <w:rFonts w:hint="eastAsia"/>
          <w:b/>
          <w:bCs/>
          <w:lang w:val="en-US" w:eastAsia="zh-CN"/>
        </w:rPr>
      </w:pPr>
      <w:r>
        <w:rPr>
          <w:rFonts w:hint="eastAsia"/>
          <w:b/>
          <w:bCs/>
          <w:lang w:val="en-US" w:eastAsia="zh-CN"/>
        </w:rPr>
        <w:t>5.3.1 绝缘性能</w:t>
      </w:r>
    </w:p>
    <w:p w14:paraId="1B22479B">
      <w:pPr>
        <w:spacing w:line="360" w:lineRule="auto"/>
        <w:ind w:firstLine="420" w:firstLineChars="200"/>
      </w:pPr>
      <w:r>
        <w:t>绝缘电阻应满足以下要求：</w:t>
      </w:r>
    </w:p>
    <w:p w14:paraId="4AFE5291">
      <w:pPr>
        <w:pStyle w:val="28"/>
        <w:numPr>
          <w:ilvl w:val="0"/>
          <w:numId w:val="6"/>
        </w:numPr>
        <w:spacing w:line="360" w:lineRule="auto"/>
        <w:ind w:firstLineChars="0"/>
        <w:rPr>
          <w:lang w:val="zh-CN"/>
        </w:rPr>
      </w:pPr>
      <w:r>
        <w:rPr>
          <w:lang w:val="zh-CN"/>
        </w:rPr>
        <w:t>在正常大气压条件下绝缘电阻的要求见表12；</w:t>
      </w:r>
    </w:p>
    <w:p w14:paraId="58B7114D">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表12  正常大气压条件下绝缘电阻的要求</w:t>
      </w:r>
    </w:p>
    <w:tbl>
      <w:tblPr>
        <w:tblStyle w:val="1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0"/>
        <w:gridCol w:w="4460"/>
      </w:tblGrid>
      <w:tr w14:paraId="64B7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2" w:type="dxa"/>
          </w:tcPr>
          <w:p w14:paraId="3E1F4D9A">
            <w:pPr>
              <w:keepNext w:val="0"/>
              <w:keepLines w:val="0"/>
              <w:widowControl w:val="0"/>
              <w:suppressLineNumbers w:val="0"/>
              <w:spacing w:before="0" w:beforeAutospacing="0" w:after="0" w:afterAutospacing="0"/>
              <w:ind w:left="0" w:right="0"/>
              <w:jc w:val="center"/>
              <w:rPr>
                <w:rFonts w:hint="default"/>
              </w:rPr>
            </w:pPr>
            <w:r>
              <w:rPr>
                <w:rFonts w:hint="default"/>
              </w:rPr>
              <w:t>额定绝缘电压</w:t>
            </w:r>
            <w:r>
              <w:rPr>
                <w:rFonts w:hint="default"/>
                <w:i/>
              </w:rPr>
              <w:t>Ui</w:t>
            </w:r>
            <w:r>
              <w:rPr>
                <w:rFonts w:hint="default"/>
              </w:rPr>
              <w:t>/V</w:t>
            </w:r>
          </w:p>
        </w:tc>
        <w:tc>
          <w:tcPr>
            <w:tcW w:w="4082" w:type="dxa"/>
          </w:tcPr>
          <w:p w14:paraId="7B7A2EAF">
            <w:pPr>
              <w:keepNext w:val="0"/>
              <w:keepLines w:val="0"/>
              <w:widowControl w:val="0"/>
              <w:suppressLineNumbers w:val="0"/>
              <w:spacing w:before="0" w:beforeAutospacing="0" w:after="0" w:afterAutospacing="0"/>
              <w:ind w:left="0" w:right="0"/>
              <w:jc w:val="center"/>
              <w:rPr>
                <w:rFonts w:hint="default"/>
              </w:rPr>
            </w:pPr>
            <w:r>
              <w:rPr>
                <w:rFonts w:hint="default"/>
              </w:rPr>
              <w:t>绝缘电阻要求/MΩ</w:t>
            </w:r>
          </w:p>
        </w:tc>
      </w:tr>
      <w:tr w14:paraId="4C86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2" w:type="dxa"/>
          </w:tcPr>
          <w:p w14:paraId="17BC34F6">
            <w:pPr>
              <w:keepNext w:val="0"/>
              <w:keepLines w:val="0"/>
              <w:widowControl w:val="0"/>
              <w:suppressLineNumbers w:val="0"/>
              <w:spacing w:before="0" w:beforeAutospacing="0" w:after="0" w:afterAutospacing="0"/>
              <w:ind w:left="0" w:right="0"/>
              <w:jc w:val="center"/>
              <w:rPr>
                <w:rFonts w:hint="default"/>
              </w:rPr>
            </w:pPr>
            <w:r>
              <w:rPr>
                <w:rFonts w:hint="default"/>
                <w:i/>
              </w:rPr>
              <w:t>Ui</w:t>
            </w:r>
            <w:r>
              <w:rPr>
                <w:rFonts w:hint="default"/>
              </w:rPr>
              <w:t xml:space="preserve"> ≤ 60</w:t>
            </w:r>
          </w:p>
        </w:tc>
        <w:tc>
          <w:tcPr>
            <w:tcW w:w="4082" w:type="dxa"/>
          </w:tcPr>
          <w:p w14:paraId="0DF27439">
            <w:pPr>
              <w:keepNext w:val="0"/>
              <w:keepLines w:val="0"/>
              <w:widowControl w:val="0"/>
              <w:suppressLineNumbers w:val="0"/>
              <w:spacing w:before="0" w:beforeAutospacing="0" w:after="0" w:afterAutospacing="0"/>
              <w:ind w:left="0" w:right="0"/>
              <w:jc w:val="center"/>
              <w:rPr>
                <w:rFonts w:hint="default"/>
              </w:rPr>
            </w:pPr>
            <w:r>
              <w:rPr>
                <w:rFonts w:hint="default"/>
              </w:rPr>
              <w:t>≥ 10（用250V兆欧表）</w:t>
            </w:r>
          </w:p>
        </w:tc>
      </w:tr>
      <w:tr w14:paraId="4CDD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2" w:type="dxa"/>
          </w:tcPr>
          <w:p w14:paraId="0C24B217">
            <w:pPr>
              <w:keepNext w:val="0"/>
              <w:keepLines w:val="0"/>
              <w:widowControl w:val="0"/>
              <w:suppressLineNumbers w:val="0"/>
              <w:spacing w:before="0" w:beforeAutospacing="0" w:after="0" w:afterAutospacing="0"/>
              <w:ind w:left="0" w:right="0"/>
              <w:jc w:val="center"/>
              <w:rPr>
                <w:rFonts w:hint="default"/>
              </w:rPr>
            </w:pPr>
            <w:r>
              <w:rPr>
                <w:rFonts w:hint="default"/>
                <w:i/>
              </w:rPr>
              <w:t>Ui</w:t>
            </w:r>
            <w:r>
              <w:rPr>
                <w:rFonts w:hint="default"/>
              </w:rPr>
              <w:t>＞60</w:t>
            </w:r>
          </w:p>
        </w:tc>
        <w:tc>
          <w:tcPr>
            <w:tcW w:w="4082" w:type="dxa"/>
          </w:tcPr>
          <w:p w14:paraId="1741D31B">
            <w:pPr>
              <w:keepNext w:val="0"/>
              <w:keepLines w:val="0"/>
              <w:widowControl w:val="0"/>
              <w:suppressLineNumbers w:val="0"/>
              <w:spacing w:before="0" w:beforeAutospacing="0" w:after="0" w:afterAutospacing="0"/>
              <w:ind w:left="0" w:right="0"/>
              <w:jc w:val="center"/>
              <w:rPr>
                <w:rFonts w:hint="default"/>
              </w:rPr>
            </w:pPr>
            <w:r>
              <w:rPr>
                <w:rFonts w:hint="default"/>
              </w:rPr>
              <w:t>≥ 10（用500V兆欧表）</w:t>
            </w:r>
          </w:p>
        </w:tc>
      </w:tr>
      <w:tr w14:paraId="6F5D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2" w:type="dxa"/>
            <w:gridSpan w:val="2"/>
          </w:tcPr>
          <w:p w14:paraId="735D43F5">
            <w:pPr>
              <w:keepNext w:val="0"/>
              <w:keepLines w:val="0"/>
              <w:widowControl w:val="0"/>
              <w:suppressLineNumbers w:val="0"/>
              <w:spacing w:before="0" w:beforeAutospacing="0" w:after="0" w:afterAutospacing="0"/>
              <w:ind w:left="0" w:right="0"/>
              <w:jc w:val="left"/>
              <w:rPr>
                <w:rFonts w:hint="default"/>
              </w:rPr>
            </w:pPr>
            <w:r>
              <w:rPr>
                <w:rFonts w:hint="default"/>
              </w:rPr>
              <w:t>注：与二次设备及外部回路直接连接的接口回路绝缘电阻采用</w:t>
            </w:r>
            <w:r>
              <w:rPr>
                <w:rFonts w:hint="default"/>
                <w:i/>
              </w:rPr>
              <w:t>Ui</w:t>
            </w:r>
            <w:r>
              <w:rPr>
                <w:rFonts w:hint="default"/>
              </w:rPr>
              <w:t>＞60的要求。</w:t>
            </w:r>
          </w:p>
        </w:tc>
      </w:tr>
    </w:tbl>
    <w:p w14:paraId="76A2EA13">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zh-CN" w:eastAsia="zh-CN"/>
        </w:rPr>
        <w:t>温度为40℃±2℃，相对湿度为（93±3）%恒定湿热条件下绝缘电阻</w:t>
      </w:r>
      <w:r>
        <w:rPr>
          <w:rFonts w:hint="eastAsia" w:ascii="宋体" w:hAnsi="宋体" w:eastAsia="宋体" w:cs="宋体"/>
          <w:lang w:val="en-US" w:eastAsia="zh-CN"/>
        </w:rPr>
        <w:t>应不小于1MΩ。</w:t>
      </w:r>
    </w:p>
    <w:p w14:paraId="376304D7">
      <w:pPr>
        <w:spacing w:line="360" w:lineRule="auto"/>
        <w:ind w:firstLine="422"/>
        <w:rPr>
          <w:rFonts w:hint="eastAsia"/>
          <w:b/>
          <w:bCs/>
          <w:lang w:val="en-US" w:eastAsia="zh-CN"/>
        </w:rPr>
      </w:pPr>
      <w:r>
        <w:rPr>
          <w:rFonts w:hint="eastAsia"/>
          <w:b/>
          <w:bCs/>
          <w:lang w:val="en-US" w:eastAsia="zh-CN"/>
        </w:rPr>
        <w:t>5.3.2介质强度</w:t>
      </w:r>
    </w:p>
    <w:p w14:paraId="78689D13">
      <w:pPr>
        <w:spacing w:line="360" w:lineRule="auto"/>
        <w:ind w:firstLine="420" w:firstLineChars="200"/>
        <w:rPr>
          <w:rFonts w:hint="eastAsia" w:ascii="宋体" w:hAnsi="宋体" w:eastAsia="宋体" w:cs="宋体"/>
          <w:lang w:val="zh-CN" w:eastAsia="zh-CN"/>
        </w:rPr>
      </w:pPr>
      <w:r>
        <w:rPr>
          <w:rFonts w:hint="eastAsia" w:ascii="宋体" w:hAnsi="宋体" w:eastAsia="宋体" w:cs="宋体"/>
          <w:lang w:val="zh-CN" w:eastAsia="zh-CN"/>
        </w:rPr>
        <w:t>在正常试验大气条件下，设备的被试部分应能承受表14规定的50Hz交流电压1min的介质强度试验，无击穿，无闪络现象。</w:t>
      </w:r>
    </w:p>
    <w:p w14:paraId="40887B75">
      <w:pPr>
        <w:spacing w:line="360" w:lineRule="auto"/>
        <w:ind w:firstLine="420" w:firstLineChars="200"/>
        <w:rPr>
          <w:rFonts w:hint="eastAsia" w:ascii="宋体" w:hAnsi="宋体" w:eastAsia="宋体" w:cs="宋体"/>
          <w:lang w:val="zh-CN" w:eastAsia="zh-CN"/>
        </w:rPr>
      </w:pPr>
      <w:r>
        <w:rPr>
          <w:rFonts w:hint="eastAsia" w:ascii="宋体" w:hAnsi="宋体" w:eastAsia="宋体" w:cs="宋体"/>
          <w:lang w:val="zh-CN" w:eastAsia="zh-CN"/>
        </w:rPr>
        <w:t>试验部位为非电气连接的两个独立回路之间，各带电部分与金属外壳之间。</w:t>
      </w:r>
    </w:p>
    <w:p w14:paraId="15013884">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表14  介质强度的要求</w:t>
      </w:r>
    </w:p>
    <w:tbl>
      <w:tblPr>
        <w:tblStyle w:val="1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0"/>
        <w:gridCol w:w="4460"/>
      </w:tblGrid>
      <w:tr w14:paraId="3788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0" w:type="dxa"/>
          </w:tcPr>
          <w:p w14:paraId="4FB4C078">
            <w:pPr>
              <w:keepNext w:val="0"/>
              <w:keepLines w:val="0"/>
              <w:widowControl w:val="0"/>
              <w:suppressLineNumbers w:val="0"/>
              <w:spacing w:before="0" w:beforeAutospacing="0" w:after="0" w:afterAutospacing="0"/>
              <w:ind w:left="0" w:right="0"/>
              <w:jc w:val="center"/>
              <w:rPr>
                <w:rFonts w:hint="default"/>
              </w:rPr>
            </w:pPr>
            <w:r>
              <w:rPr>
                <w:rFonts w:hint="default"/>
              </w:rPr>
              <w:t>额定绝缘电压Ui /V</w:t>
            </w:r>
          </w:p>
        </w:tc>
        <w:tc>
          <w:tcPr>
            <w:tcW w:w="4460" w:type="dxa"/>
          </w:tcPr>
          <w:p w14:paraId="0B670FC6">
            <w:pPr>
              <w:keepNext w:val="0"/>
              <w:keepLines w:val="0"/>
              <w:widowControl w:val="0"/>
              <w:suppressLineNumbers w:val="0"/>
              <w:spacing w:before="0" w:beforeAutospacing="0" w:after="0" w:afterAutospacing="0"/>
              <w:ind w:left="0" w:right="0"/>
              <w:jc w:val="center"/>
              <w:rPr>
                <w:rFonts w:hint="default"/>
              </w:rPr>
            </w:pPr>
            <w:r>
              <w:rPr>
                <w:rFonts w:hint="default"/>
              </w:rPr>
              <w:t>试验电压有效值 /V</w:t>
            </w:r>
          </w:p>
        </w:tc>
      </w:tr>
      <w:tr w14:paraId="7F888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0" w:type="dxa"/>
          </w:tcPr>
          <w:p w14:paraId="097DB7FC">
            <w:pPr>
              <w:keepNext w:val="0"/>
              <w:keepLines w:val="0"/>
              <w:widowControl w:val="0"/>
              <w:suppressLineNumbers w:val="0"/>
              <w:spacing w:before="0" w:beforeAutospacing="0" w:after="0" w:afterAutospacing="0"/>
              <w:ind w:left="0" w:right="0"/>
              <w:jc w:val="center"/>
              <w:rPr>
                <w:rFonts w:hint="default"/>
              </w:rPr>
            </w:pPr>
            <w:r>
              <w:rPr>
                <w:rFonts w:hint="default"/>
                <w:i/>
              </w:rPr>
              <w:t>Ui</w:t>
            </w:r>
            <w:r>
              <w:rPr>
                <w:rFonts w:hint="default"/>
              </w:rPr>
              <w:t xml:space="preserve"> ≤ 60</w:t>
            </w:r>
          </w:p>
        </w:tc>
        <w:tc>
          <w:tcPr>
            <w:tcW w:w="4460" w:type="dxa"/>
          </w:tcPr>
          <w:p w14:paraId="3C960801">
            <w:pPr>
              <w:keepNext w:val="0"/>
              <w:keepLines w:val="0"/>
              <w:widowControl w:val="0"/>
              <w:suppressLineNumbers w:val="0"/>
              <w:spacing w:before="0" w:beforeAutospacing="0" w:after="0" w:afterAutospacing="0"/>
              <w:ind w:left="0" w:right="0"/>
              <w:jc w:val="center"/>
              <w:rPr>
                <w:rFonts w:hint="default"/>
              </w:rPr>
            </w:pPr>
            <w:r>
              <w:rPr>
                <w:rFonts w:hint="default"/>
              </w:rPr>
              <w:t>500</w:t>
            </w:r>
          </w:p>
        </w:tc>
      </w:tr>
      <w:tr w14:paraId="4AAF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0" w:type="dxa"/>
          </w:tcPr>
          <w:p w14:paraId="1A043F43">
            <w:pPr>
              <w:keepNext w:val="0"/>
              <w:keepLines w:val="0"/>
              <w:widowControl w:val="0"/>
              <w:suppressLineNumbers w:val="0"/>
              <w:spacing w:before="0" w:beforeAutospacing="0" w:after="0" w:afterAutospacing="0"/>
              <w:ind w:left="0" w:right="0"/>
              <w:jc w:val="center"/>
              <w:rPr>
                <w:rFonts w:hint="default"/>
              </w:rPr>
            </w:pPr>
            <w:r>
              <w:rPr>
                <w:rFonts w:hint="default"/>
              </w:rPr>
              <w:t>60＜</w:t>
            </w:r>
            <w:r>
              <w:rPr>
                <w:rFonts w:hint="default"/>
                <w:i/>
              </w:rPr>
              <w:t>Ui</w:t>
            </w:r>
            <w:r>
              <w:rPr>
                <w:rFonts w:hint="default"/>
              </w:rPr>
              <w:t>≤ 125</w:t>
            </w:r>
          </w:p>
        </w:tc>
        <w:tc>
          <w:tcPr>
            <w:tcW w:w="4460" w:type="dxa"/>
          </w:tcPr>
          <w:p w14:paraId="74F28FF5">
            <w:pPr>
              <w:keepNext w:val="0"/>
              <w:keepLines w:val="0"/>
              <w:widowControl w:val="0"/>
              <w:suppressLineNumbers w:val="0"/>
              <w:spacing w:before="0" w:beforeAutospacing="0" w:after="0" w:afterAutospacing="0"/>
              <w:ind w:left="0" w:right="0"/>
              <w:jc w:val="center"/>
              <w:rPr>
                <w:rFonts w:hint="default"/>
              </w:rPr>
            </w:pPr>
            <w:r>
              <w:rPr>
                <w:rFonts w:hint="default"/>
              </w:rPr>
              <w:t>1000</w:t>
            </w:r>
          </w:p>
        </w:tc>
      </w:tr>
      <w:tr w14:paraId="7CC2C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0" w:type="dxa"/>
          </w:tcPr>
          <w:p w14:paraId="2CEC51F6">
            <w:pPr>
              <w:keepNext w:val="0"/>
              <w:keepLines w:val="0"/>
              <w:widowControl w:val="0"/>
              <w:suppressLineNumbers w:val="0"/>
              <w:spacing w:before="0" w:beforeAutospacing="0" w:after="0" w:afterAutospacing="0"/>
              <w:ind w:left="0" w:right="0"/>
              <w:jc w:val="center"/>
              <w:rPr>
                <w:rFonts w:hint="default"/>
              </w:rPr>
            </w:pPr>
            <w:r>
              <w:rPr>
                <w:rFonts w:hint="default"/>
              </w:rPr>
              <w:t>125&lt;</w:t>
            </w:r>
            <w:r>
              <w:rPr>
                <w:rFonts w:hint="default"/>
                <w:i/>
              </w:rPr>
              <w:t>Ui</w:t>
            </w:r>
            <w:r>
              <w:rPr>
                <w:rFonts w:hint="default"/>
              </w:rPr>
              <w:t>≤250</w:t>
            </w:r>
          </w:p>
        </w:tc>
        <w:tc>
          <w:tcPr>
            <w:tcW w:w="4460" w:type="dxa"/>
          </w:tcPr>
          <w:p w14:paraId="2066538E">
            <w:pPr>
              <w:keepNext w:val="0"/>
              <w:keepLines w:val="0"/>
              <w:widowControl w:val="0"/>
              <w:suppressLineNumbers w:val="0"/>
              <w:spacing w:before="0" w:beforeAutospacing="0" w:after="0" w:afterAutospacing="0"/>
              <w:ind w:left="0" w:right="0"/>
              <w:jc w:val="center"/>
              <w:rPr>
                <w:rFonts w:hint="default"/>
              </w:rPr>
            </w:pPr>
            <w:r>
              <w:rPr>
                <w:rFonts w:hint="default"/>
              </w:rPr>
              <w:t>2500</w:t>
            </w:r>
          </w:p>
        </w:tc>
      </w:tr>
      <w:tr w14:paraId="0EB8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0" w:type="dxa"/>
            <w:gridSpan w:val="2"/>
          </w:tcPr>
          <w:p w14:paraId="2CD27710">
            <w:pPr>
              <w:keepNext w:val="0"/>
              <w:keepLines w:val="0"/>
              <w:widowControl w:val="0"/>
              <w:suppressLineNumbers w:val="0"/>
              <w:spacing w:before="0" w:beforeAutospacing="0" w:after="0" w:afterAutospacing="0"/>
              <w:ind w:left="0" w:right="0"/>
              <w:jc w:val="center"/>
              <w:rPr>
                <w:rFonts w:hint="default"/>
              </w:rPr>
            </w:pPr>
            <w:r>
              <w:rPr>
                <w:rFonts w:hint="default"/>
              </w:rPr>
              <w:t>注：与二次设备及外部回路直接连接的接口回路绝缘电阻采用</w:t>
            </w:r>
            <w:r>
              <w:rPr>
                <w:rFonts w:hint="default"/>
                <w:i/>
              </w:rPr>
              <w:t>Ui</w:t>
            </w:r>
            <w:r>
              <w:rPr>
                <w:rFonts w:hint="default"/>
              </w:rPr>
              <w:t>＞250的要求。</w:t>
            </w:r>
          </w:p>
        </w:tc>
      </w:tr>
    </w:tbl>
    <w:p w14:paraId="59066E78">
      <w:pPr>
        <w:spacing w:line="360" w:lineRule="auto"/>
        <w:ind w:firstLine="420" w:firstLineChars="200"/>
        <w:rPr>
          <w:rFonts w:hint="eastAsia" w:ascii="宋体" w:hAnsi="宋体" w:eastAsia="宋体" w:cs="宋体"/>
          <w:lang w:val="zh-CN" w:eastAsia="zh-CN"/>
        </w:rPr>
      </w:pPr>
      <w:r>
        <w:rPr>
          <w:rFonts w:hint="eastAsia" w:ascii="宋体" w:hAnsi="宋体" w:eastAsia="宋体" w:cs="宋体"/>
          <w:lang w:val="zh-CN" w:eastAsia="zh-CN"/>
        </w:rPr>
        <w:t>对于交流工频电量输入端子与金属外壳之间，电压输入与电流输入的段子之间都应满足施加50Hz、2kV电压，持续时间为1min的要求。</w:t>
      </w:r>
    </w:p>
    <w:p w14:paraId="55DF4C40">
      <w:pPr>
        <w:spacing w:line="360" w:lineRule="auto"/>
        <w:ind w:firstLine="422"/>
        <w:rPr>
          <w:rFonts w:hint="eastAsia"/>
          <w:b/>
          <w:bCs/>
          <w:lang w:val="en-US" w:eastAsia="zh-CN"/>
        </w:rPr>
      </w:pPr>
      <w:r>
        <w:rPr>
          <w:rFonts w:hint="eastAsia"/>
          <w:b/>
          <w:bCs/>
          <w:lang w:val="en-US" w:eastAsia="zh-CN"/>
        </w:rPr>
        <w:t>5.3.3 冲击电压</w:t>
      </w:r>
    </w:p>
    <w:p w14:paraId="66D12107">
      <w:pPr>
        <w:spacing w:line="360" w:lineRule="auto"/>
        <w:ind w:firstLine="420" w:firstLineChars="200"/>
        <w:rPr>
          <w:rFonts w:hint="eastAsia" w:ascii="宋体" w:hAnsi="宋体" w:eastAsia="宋体" w:cs="宋体"/>
          <w:lang w:val="zh-CN" w:eastAsia="zh-CN"/>
        </w:rPr>
      </w:pPr>
      <w:r>
        <w:rPr>
          <w:rFonts w:hint="eastAsia" w:ascii="宋体" w:hAnsi="宋体" w:eastAsia="宋体" w:cs="宋体"/>
          <w:lang w:val="zh-CN" w:eastAsia="zh-CN"/>
        </w:rPr>
        <w:t>在正常试验电气条件下设备的电源输入回路、交流信号输入回路、信号输出触点等各回路对地、以及回路之间，应能承受1.2/50μs的标准雷电波的短时冲击电压试验，当额定绝缘电压大于60V时，开路试验电压为5kV；当额定绝缘电压不大于60V时，开路试验电压为1kV。试验后设备应无绝缘损坏和器件损坏。冲击试验后，交流工频电量的测量误差应满足其等级指数要求。</w:t>
      </w:r>
    </w:p>
    <w:p w14:paraId="38840295">
      <w:pPr>
        <w:spacing w:line="360" w:lineRule="auto"/>
        <w:ind w:firstLine="422"/>
        <w:rPr>
          <w:rFonts w:eastAsiaTheme="minorEastAsia"/>
          <w:b/>
          <w:bCs/>
          <w:highlight w:val="none"/>
          <w:lang w:val="zh-CN"/>
        </w:rPr>
      </w:pPr>
      <w:r>
        <w:rPr>
          <w:rFonts w:hint="eastAsia" w:eastAsiaTheme="minorEastAsia"/>
          <w:b/>
          <w:bCs/>
          <w:highlight w:val="none"/>
          <w:lang w:val="zh-CN"/>
        </w:rPr>
        <w:t>5.</w:t>
      </w:r>
      <w:r>
        <w:rPr>
          <w:rFonts w:eastAsiaTheme="minorEastAsia"/>
          <w:b/>
          <w:bCs/>
          <w:highlight w:val="none"/>
          <w:lang w:val="zh-CN"/>
        </w:rPr>
        <w:t>3</w:t>
      </w:r>
      <w:r>
        <w:rPr>
          <w:rFonts w:hint="eastAsia" w:eastAsiaTheme="minorEastAsia"/>
          <w:b/>
          <w:bCs/>
          <w:highlight w:val="none"/>
          <w:lang w:val="zh-CN"/>
        </w:rPr>
        <w:t>.</w:t>
      </w:r>
      <w:r>
        <w:rPr>
          <w:rFonts w:eastAsiaTheme="minorEastAsia"/>
          <w:b/>
          <w:bCs/>
          <w:highlight w:val="none"/>
          <w:lang w:val="zh-CN"/>
        </w:rPr>
        <w:t xml:space="preserve">4 </w:t>
      </w:r>
      <w:r>
        <w:rPr>
          <w:rFonts w:hint="eastAsia" w:eastAsiaTheme="minorEastAsia"/>
          <w:b/>
          <w:bCs/>
          <w:highlight w:val="none"/>
          <w:lang w:val="zh-CN"/>
        </w:rPr>
        <w:t>环境适应性要求</w:t>
      </w:r>
    </w:p>
    <w:p w14:paraId="19F1C00E">
      <w:pPr>
        <w:pStyle w:val="2"/>
        <w:spacing w:line="240" w:lineRule="auto"/>
        <w:rPr>
          <w:rFonts w:hint="eastAsia" w:ascii="宋体" w:hAnsi="宋体" w:eastAsia="宋体" w:cs="宋体"/>
          <w:highlight w:val="none"/>
        </w:rPr>
      </w:pPr>
      <w:r>
        <w:rPr>
          <w:rFonts w:eastAsiaTheme="minorEastAsia"/>
          <w:highlight w:val="none"/>
          <w:lang w:val="zh-CN"/>
        </w:rPr>
        <w:tab/>
      </w:r>
      <w:r>
        <w:rPr>
          <w:rFonts w:hint="eastAsia" w:ascii="宋体" w:hAnsi="宋体" w:eastAsia="宋体" w:cs="宋体"/>
          <w:b/>
          <w:bCs/>
          <w:color w:val="auto"/>
          <w:spacing w:val="-4"/>
          <w:highlight w:val="none"/>
        </w:rPr>
        <w:t>★</w:t>
      </w:r>
      <w:r>
        <w:rPr>
          <w:rFonts w:hint="eastAsia" w:eastAsiaTheme="minorEastAsia"/>
          <w:highlight w:val="none"/>
          <w:lang w:val="zh-CN"/>
        </w:rPr>
        <w:t>满足极端条件下的运行温度要求：</w:t>
      </w:r>
      <w:r>
        <w:rPr>
          <w:rFonts w:hint="eastAsia" w:asciiTheme="minorEastAsia" w:hAnsiTheme="minorEastAsia" w:eastAsiaTheme="minorEastAsia"/>
          <w:highlight w:val="none"/>
        </w:rPr>
        <w:t>最高温度：</w:t>
      </w:r>
      <w:r>
        <w:rPr>
          <w:rFonts w:hint="eastAsia" w:asciiTheme="minorEastAsia" w:hAnsiTheme="minorEastAsia" w:eastAsiaTheme="minorEastAsia"/>
          <w:highlight w:val="none"/>
          <w:lang w:val="en-US" w:eastAsia="zh-CN"/>
        </w:rPr>
        <w:t>8</w:t>
      </w:r>
      <w:r>
        <w:rPr>
          <w:rFonts w:asciiTheme="minorEastAsia" w:hAnsiTheme="minorEastAsia" w:eastAsiaTheme="minorEastAsia"/>
          <w:highlight w:val="none"/>
        </w:rPr>
        <w:t>5</w:t>
      </w:r>
      <w:r>
        <w:rPr>
          <w:rFonts w:hint="eastAsia" w:asciiTheme="minorEastAsia" w:hAnsiTheme="minorEastAsia" w:eastAsiaTheme="minorEastAsia"/>
          <w:highlight w:val="none"/>
        </w:rPr>
        <w:t>℃，最低温度：</w:t>
      </w:r>
      <w:r>
        <w:rPr>
          <w:rFonts w:asciiTheme="minorEastAsia" w:hAnsiTheme="minorEastAsia" w:eastAsiaTheme="minorEastAsia"/>
          <w:highlight w:val="none"/>
        </w:rPr>
        <w:t>-4</w:t>
      </w:r>
      <w:r>
        <w:rPr>
          <w:rFonts w:hint="eastAsia" w:asciiTheme="minorEastAsia" w:hAnsiTheme="minorEastAsia" w:eastAsiaTheme="minorEastAsia"/>
          <w:highlight w:val="none"/>
          <w:lang w:val="en-US" w:eastAsia="zh-CN"/>
        </w:rPr>
        <w:t>0</w:t>
      </w:r>
      <w:r>
        <w:rPr>
          <w:rFonts w:hint="eastAsia" w:asciiTheme="minorEastAsia" w:hAnsiTheme="minorEastAsia" w:eastAsiaTheme="minorEastAsia"/>
          <w:highlight w:val="none"/>
        </w:rPr>
        <w:t>℃</w:t>
      </w:r>
      <w:r>
        <w:rPr>
          <w:rFonts w:hint="eastAsia" w:ascii="宋体" w:hAnsi="宋体" w:eastAsia="宋体" w:cs="宋体"/>
          <w:highlight w:val="none"/>
        </w:rPr>
        <w:t>。</w:t>
      </w:r>
    </w:p>
    <w:p w14:paraId="4B90BF5A">
      <w:pPr>
        <w:spacing w:line="360" w:lineRule="auto"/>
        <w:ind w:firstLine="422"/>
        <w:jc w:val="both"/>
        <w:rPr>
          <w:rFonts w:hint="eastAsia" w:eastAsiaTheme="minorEastAsia"/>
          <w:b/>
          <w:bCs/>
          <w:highlight w:val="none"/>
          <w:lang w:val="zh-CN"/>
        </w:rPr>
      </w:pPr>
      <w:r>
        <w:rPr>
          <w:rFonts w:hint="eastAsia" w:eastAsiaTheme="minorEastAsia"/>
          <w:b/>
          <w:bCs/>
          <w:highlight w:val="none"/>
          <w:lang w:val="zh-CN"/>
        </w:rPr>
        <w:t>5.4.5 第三方试验要求</w:t>
      </w:r>
    </w:p>
    <w:p w14:paraId="0C6ACEE0">
      <w:pPr>
        <w:spacing w:line="360" w:lineRule="auto"/>
        <w:ind w:firstLine="422"/>
        <w:jc w:val="both"/>
        <w:rPr>
          <w:rFonts w:hint="eastAsia" w:eastAsiaTheme="minorEastAsia"/>
          <w:b w:val="0"/>
          <w:bCs w:val="0"/>
          <w:highlight w:val="none"/>
          <w:lang w:val="zh-CN" w:eastAsia="zh-CN"/>
        </w:rPr>
      </w:pPr>
      <w:r>
        <w:rPr>
          <w:rFonts w:hint="eastAsia" w:eastAsiaTheme="minorEastAsia"/>
          <w:b w:val="0"/>
          <w:bCs w:val="0"/>
          <w:highlight w:val="none"/>
          <w:lang w:val="zh-CN" w:eastAsia="zh-CN"/>
        </w:rPr>
        <w:t>所投产品具备第三方型式试验报告认证。</w:t>
      </w:r>
    </w:p>
    <w:p w14:paraId="1B0C2566">
      <w:pPr>
        <w:spacing w:before="68" w:line="360" w:lineRule="auto"/>
        <w:ind w:firstLine="428"/>
        <w:outlineLvl w:val="0"/>
        <w:rPr>
          <w:rFonts w:hint="eastAsia" w:ascii="宋体" w:hAnsi="宋体" w:eastAsia="宋体" w:cs="宋体"/>
          <w:b/>
          <w:bCs/>
          <w:color w:val="auto"/>
          <w:spacing w:val="3"/>
          <w:highlight w:val="none"/>
          <w:lang w:val="zh-CN" w:eastAsia="zh-CN"/>
        </w:rPr>
      </w:pPr>
      <w:bookmarkStart w:id="65" w:name="_Toc28807"/>
      <w:r>
        <w:rPr>
          <w:rFonts w:hint="eastAsia" w:ascii="宋体" w:hAnsi="宋体" w:eastAsia="宋体" w:cs="宋体"/>
          <w:b/>
          <w:bCs/>
          <w:color w:val="auto"/>
          <w:spacing w:val="3"/>
          <w:highlight w:val="none"/>
          <w:lang w:val="zh-CN" w:eastAsia="zh-CN"/>
        </w:rPr>
        <w:t>5</w:t>
      </w:r>
      <w:r>
        <w:rPr>
          <w:rFonts w:hint="eastAsia" w:ascii="宋体" w:hAnsi="宋体" w:eastAsia="宋体" w:cs="宋体"/>
          <w:b/>
          <w:bCs/>
          <w:color w:val="auto"/>
          <w:spacing w:val="3"/>
          <w:highlight w:val="none"/>
          <w:lang w:val="en-US" w:eastAsia="zh-CN"/>
        </w:rPr>
        <w:t xml:space="preserve">.4 </w:t>
      </w:r>
      <w:r>
        <w:rPr>
          <w:rFonts w:hint="eastAsia" w:ascii="宋体" w:hAnsi="宋体" w:eastAsia="宋体" w:cs="宋体"/>
          <w:b/>
          <w:bCs/>
          <w:color w:val="auto"/>
          <w:spacing w:val="3"/>
          <w:highlight w:val="none"/>
          <w:lang w:val="zh-CN" w:eastAsia="zh-CN"/>
        </w:rPr>
        <w:t>电磁兼容</w:t>
      </w:r>
      <w:bookmarkEnd w:id="65"/>
    </w:p>
    <w:p w14:paraId="3EE31856">
      <w:pPr>
        <w:spacing w:line="360" w:lineRule="auto"/>
        <w:ind w:firstLine="422"/>
        <w:rPr>
          <w:rFonts w:hint="eastAsia"/>
          <w:b/>
          <w:bCs/>
          <w:lang w:val="en-US" w:eastAsia="zh-CN"/>
        </w:rPr>
      </w:pPr>
      <w:r>
        <w:rPr>
          <w:rFonts w:hint="eastAsia"/>
          <w:b/>
          <w:bCs/>
          <w:lang w:val="en-US" w:eastAsia="zh-CN"/>
        </w:rPr>
        <w:t>5.4.1 高频干扰</w:t>
      </w:r>
    </w:p>
    <w:p w14:paraId="4B447600">
      <w:pPr>
        <w:spacing w:line="360" w:lineRule="auto"/>
        <w:ind w:firstLine="420" w:firstLineChars="200"/>
        <w:rPr>
          <w:lang w:val="zh-CN"/>
        </w:rPr>
      </w:pPr>
      <w:r>
        <w:rPr>
          <w:lang w:val="zh-CN"/>
        </w:rPr>
        <w:t>按照GB/T 15153.1中的有关规定执行。</w:t>
      </w:r>
    </w:p>
    <w:p w14:paraId="00F71FCE">
      <w:pPr>
        <w:spacing w:line="360" w:lineRule="auto"/>
        <w:ind w:firstLine="420" w:firstLineChars="200"/>
        <w:rPr>
          <w:lang w:val="zh-CN"/>
        </w:rPr>
      </w:pPr>
      <w:r>
        <w:rPr>
          <w:lang w:val="zh-CN"/>
        </w:rPr>
        <w:t>在正常的大气压条件下，设备处于工作状态时，在信号输入回路和交流电源回路，施加如表15中所规定的高频干扰，由电子逻辑电路组成的回路及程序应能正常工作，其性能指标应满足5.5的要求。</w:t>
      </w:r>
    </w:p>
    <w:p w14:paraId="1CD6A000">
      <w:pPr>
        <w:spacing w:line="360" w:lineRule="auto"/>
        <w:ind w:firstLine="420" w:firstLineChars="200"/>
        <w:rPr>
          <w:lang w:val="zh-CN"/>
        </w:rPr>
      </w:pPr>
      <w:r>
        <w:rPr>
          <w:lang w:val="zh-CN"/>
        </w:rPr>
        <w:t>高频干扰波特性：</w:t>
      </w:r>
    </w:p>
    <w:p w14:paraId="4D28876D">
      <w:pPr>
        <w:spacing w:line="360" w:lineRule="auto"/>
        <w:ind w:firstLine="420" w:firstLineChars="200"/>
        <w:rPr>
          <w:lang w:val="zh-CN"/>
        </w:rPr>
      </w:pPr>
      <w:r>
        <w:rPr>
          <w:lang w:val="zh-CN"/>
        </w:rPr>
        <w:t>——波形：衰减振荡波，包络线在3周期～6周期后衰减到峰值的50%；</w:t>
      </w:r>
    </w:p>
    <w:p w14:paraId="3696ABD9">
      <w:pPr>
        <w:spacing w:line="360" w:lineRule="auto"/>
        <w:ind w:firstLine="420" w:firstLineChars="200"/>
        <w:rPr>
          <w:lang w:val="zh-CN"/>
        </w:rPr>
      </w:pPr>
      <w:r>
        <w:rPr>
          <w:lang w:val="zh-CN"/>
        </w:rPr>
        <w:t>——频率：（1±0.1）MHz；</w:t>
      </w:r>
    </w:p>
    <w:p w14:paraId="4B45DC26">
      <w:pPr>
        <w:spacing w:line="360" w:lineRule="auto"/>
        <w:ind w:firstLine="420" w:firstLineChars="200"/>
        <w:rPr>
          <w:lang w:val="zh-CN"/>
        </w:rPr>
      </w:pPr>
      <w:r>
        <w:rPr>
          <w:lang w:val="zh-CN"/>
        </w:rPr>
        <w:t>——重复率：400次/s；</w:t>
      </w:r>
    </w:p>
    <w:p w14:paraId="44F0723C">
      <w:pPr>
        <w:pStyle w:val="2"/>
        <w:rPr>
          <w:rFonts w:hint="default" w:eastAsia="宋体"/>
          <w:lang w:val="en-US" w:eastAsia="zh-CN"/>
        </w:rPr>
      </w:pPr>
    </w:p>
    <w:p w14:paraId="21939F17">
      <w:pPr>
        <w:spacing w:line="360" w:lineRule="auto"/>
        <w:ind w:firstLine="420" w:firstLineChars="200"/>
        <w:rPr>
          <w:lang w:val="zh-CN"/>
        </w:rPr>
      </w:pPr>
      <w:r>
        <w:rPr>
          <w:lang w:val="zh-CN"/>
        </w:rPr>
        <w:t>——高频干扰电压值如表15的规定。</w:t>
      </w:r>
    </w:p>
    <w:p w14:paraId="1B2A3AF0">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表15  高频干扰、快速瞬变和浪涌试验的主要参数</w:t>
      </w:r>
    </w:p>
    <w:tbl>
      <w:tblPr>
        <w:tblStyle w:val="18"/>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1593"/>
        <w:gridCol w:w="1984"/>
        <w:gridCol w:w="3119"/>
      </w:tblGrid>
      <w:tr w14:paraId="0322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Align w:val="center"/>
          </w:tcPr>
          <w:p w14:paraId="62EF6603">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试验项目</w:t>
            </w:r>
          </w:p>
        </w:tc>
        <w:tc>
          <w:tcPr>
            <w:tcW w:w="1593" w:type="dxa"/>
            <w:vAlign w:val="center"/>
          </w:tcPr>
          <w:p w14:paraId="51991742">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级别</w:t>
            </w:r>
          </w:p>
        </w:tc>
        <w:tc>
          <w:tcPr>
            <w:tcW w:w="1984" w:type="dxa"/>
            <w:vAlign w:val="center"/>
          </w:tcPr>
          <w:p w14:paraId="72940A94">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共模试验值*</w:t>
            </w:r>
          </w:p>
        </w:tc>
        <w:tc>
          <w:tcPr>
            <w:tcW w:w="3119" w:type="dxa"/>
            <w:vAlign w:val="center"/>
          </w:tcPr>
          <w:p w14:paraId="0BF764AA">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试验回路</w:t>
            </w:r>
          </w:p>
        </w:tc>
      </w:tr>
      <w:tr w14:paraId="3F3D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restart"/>
            <w:vAlign w:val="center"/>
          </w:tcPr>
          <w:p w14:paraId="239AC58F">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振荡波干扰</w:t>
            </w:r>
          </w:p>
        </w:tc>
        <w:tc>
          <w:tcPr>
            <w:tcW w:w="1593" w:type="dxa"/>
            <w:vMerge w:val="restart"/>
            <w:vAlign w:val="center"/>
          </w:tcPr>
          <w:p w14:paraId="3EDD8FCD">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w:t>
            </w:r>
          </w:p>
        </w:tc>
        <w:tc>
          <w:tcPr>
            <w:tcW w:w="1984" w:type="dxa"/>
            <w:vAlign w:val="center"/>
          </w:tcPr>
          <w:p w14:paraId="2F343D9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highlight w:val="none"/>
                <w:lang w:val="en-US" w:eastAsia="zh-CN" w:bidi="ar-SA"/>
              </w:rPr>
            </w:pPr>
            <w:r>
              <w:rPr>
                <w:rFonts w:hint="default"/>
                <w:highlight w:val="none"/>
              </w:rPr>
              <w:t>2.5 kV(p)</w:t>
            </w:r>
          </w:p>
        </w:tc>
        <w:tc>
          <w:tcPr>
            <w:tcW w:w="3119" w:type="dxa"/>
            <w:vAlign w:val="center"/>
          </w:tcPr>
          <w:p w14:paraId="4D8E8671">
            <w:pPr>
              <w:keepNext w:val="0"/>
              <w:keepLines w:val="0"/>
              <w:widowControl w:val="0"/>
              <w:suppressLineNumbers w:val="0"/>
              <w:spacing w:before="0" w:beforeAutospacing="0" w:after="0" w:afterAutospacing="0"/>
              <w:ind w:left="0" w:right="0"/>
              <w:jc w:val="left"/>
              <w:rPr>
                <w:rFonts w:hint="default" w:ascii="Times New Roman" w:hAnsi="Times New Roman" w:eastAsia="宋体" w:cs="Times New Roman"/>
                <w:kern w:val="2"/>
                <w:sz w:val="21"/>
                <w:szCs w:val="24"/>
                <w:highlight w:val="none"/>
                <w:lang w:val="en-US" w:eastAsia="zh-CN" w:bidi="ar-SA"/>
              </w:rPr>
            </w:pPr>
            <w:r>
              <w:rPr>
                <w:rFonts w:hint="default"/>
                <w:highlight w:val="none"/>
              </w:rPr>
              <w:t>电源回路</w:t>
            </w:r>
          </w:p>
        </w:tc>
      </w:tr>
      <w:tr w14:paraId="4902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continue"/>
            <w:vAlign w:val="center"/>
          </w:tcPr>
          <w:p w14:paraId="2DE8602A">
            <w:pPr>
              <w:keepNext w:val="0"/>
              <w:keepLines w:val="0"/>
              <w:widowControl w:val="0"/>
              <w:suppressLineNumbers w:val="0"/>
              <w:spacing w:before="0" w:beforeAutospacing="0" w:after="0" w:afterAutospacing="0"/>
              <w:ind w:left="0" w:right="0"/>
              <w:jc w:val="center"/>
              <w:rPr>
                <w:rFonts w:hint="default"/>
                <w:highlight w:val="none"/>
              </w:rPr>
            </w:pPr>
          </w:p>
        </w:tc>
        <w:tc>
          <w:tcPr>
            <w:tcW w:w="1593" w:type="dxa"/>
            <w:vMerge w:val="continue"/>
            <w:vAlign w:val="center"/>
          </w:tcPr>
          <w:p w14:paraId="03585CCD">
            <w:pPr>
              <w:keepNext w:val="0"/>
              <w:keepLines w:val="0"/>
              <w:widowControl w:val="0"/>
              <w:suppressLineNumbers w:val="0"/>
              <w:spacing w:before="0" w:beforeAutospacing="0" w:after="0" w:afterAutospacing="0"/>
              <w:ind w:left="0" w:right="0"/>
              <w:jc w:val="center"/>
              <w:rPr>
                <w:rFonts w:hint="default"/>
                <w:highlight w:val="none"/>
              </w:rPr>
            </w:pPr>
          </w:p>
        </w:tc>
        <w:tc>
          <w:tcPr>
            <w:tcW w:w="1984" w:type="dxa"/>
            <w:vAlign w:val="center"/>
          </w:tcPr>
          <w:p w14:paraId="3B379CC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1.25</w:t>
            </w:r>
            <w:r>
              <w:rPr>
                <w:rFonts w:hint="default"/>
                <w:highlight w:val="none"/>
              </w:rPr>
              <w:t xml:space="preserve"> kV(p)</w:t>
            </w:r>
          </w:p>
        </w:tc>
        <w:tc>
          <w:tcPr>
            <w:tcW w:w="3119" w:type="dxa"/>
            <w:vAlign w:val="center"/>
          </w:tcPr>
          <w:p w14:paraId="548D163C">
            <w:pPr>
              <w:keepNext w:val="0"/>
              <w:keepLines w:val="0"/>
              <w:widowControl w:val="0"/>
              <w:suppressLineNumbers w:val="0"/>
              <w:spacing w:before="0" w:beforeAutospacing="0" w:after="0" w:afterAutospacing="0"/>
              <w:ind w:left="0" w:right="0"/>
              <w:jc w:val="left"/>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通信</w:t>
            </w:r>
            <w:r>
              <w:rPr>
                <w:rFonts w:hint="default"/>
                <w:highlight w:val="none"/>
              </w:rPr>
              <w:t>回路</w:t>
            </w:r>
          </w:p>
        </w:tc>
      </w:tr>
      <w:tr w14:paraId="6262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restart"/>
            <w:vAlign w:val="center"/>
          </w:tcPr>
          <w:p w14:paraId="71566B70">
            <w:pPr>
              <w:keepNext w:val="0"/>
              <w:keepLines w:val="0"/>
              <w:widowControl w:val="0"/>
              <w:suppressLineNumbers w:val="0"/>
              <w:spacing w:before="0" w:beforeAutospacing="0" w:after="0" w:afterAutospacing="0"/>
              <w:ind w:left="0" w:right="0"/>
              <w:jc w:val="center"/>
              <w:rPr>
                <w:rFonts w:hint="default"/>
                <w:highlight w:val="none"/>
                <w:lang w:val="en-US" w:eastAsia="zh-CN"/>
              </w:rPr>
            </w:pPr>
            <w:r>
              <w:rPr>
                <w:rFonts w:hint="eastAsia"/>
                <w:highlight w:val="none"/>
                <w:lang w:val="en-US" w:eastAsia="zh-CN"/>
              </w:rPr>
              <w:t>快速瞬变脉冲群</w:t>
            </w:r>
          </w:p>
        </w:tc>
        <w:tc>
          <w:tcPr>
            <w:tcW w:w="1593" w:type="dxa"/>
            <w:vMerge w:val="restart"/>
            <w:vAlign w:val="center"/>
          </w:tcPr>
          <w:p w14:paraId="22F43BB4">
            <w:pPr>
              <w:keepNext w:val="0"/>
              <w:keepLines w:val="0"/>
              <w:widowControl w:val="0"/>
              <w:suppressLineNumbers w:val="0"/>
              <w:spacing w:before="0" w:beforeAutospacing="0" w:after="0" w:afterAutospacing="0"/>
              <w:ind w:left="0" w:right="0"/>
              <w:jc w:val="center"/>
              <w:rPr>
                <w:rFonts w:hint="eastAsia" w:eastAsia="宋体"/>
                <w:highlight w:val="none"/>
                <w:lang w:val="en-US" w:eastAsia="zh-CN"/>
              </w:rPr>
            </w:pPr>
            <w:r>
              <w:rPr>
                <w:rFonts w:hint="eastAsia"/>
                <w:highlight w:val="none"/>
                <w:lang w:val="en-US" w:eastAsia="zh-CN"/>
              </w:rPr>
              <w:t>4</w:t>
            </w:r>
          </w:p>
        </w:tc>
        <w:tc>
          <w:tcPr>
            <w:tcW w:w="1984" w:type="dxa"/>
            <w:vAlign w:val="center"/>
          </w:tcPr>
          <w:p w14:paraId="19451153">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4.0 kV(p)</w:t>
            </w:r>
          </w:p>
        </w:tc>
        <w:tc>
          <w:tcPr>
            <w:tcW w:w="3119" w:type="dxa"/>
            <w:vAlign w:val="center"/>
          </w:tcPr>
          <w:p w14:paraId="6B1F4373">
            <w:pPr>
              <w:keepNext w:val="0"/>
              <w:keepLines w:val="0"/>
              <w:widowControl w:val="0"/>
              <w:suppressLineNumbers w:val="0"/>
              <w:spacing w:before="0" w:beforeAutospacing="0" w:after="0" w:afterAutospacing="0"/>
              <w:ind w:left="0" w:right="0"/>
              <w:jc w:val="left"/>
              <w:rPr>
                <w:rFonts w:hint="default" w:ascii="Times New Roman" w:hAnsi="Times New Roman" w:eastAsia="宋体" w:cs="Times New Roman"/>
                <w:kern w:val="2"/>
                <w:sz w:val="21"/>
                <w:szCs w:val="24"/>
                <w:highlight w:val="none"/>
                <w:lang w:val="en-US" w:eastAsia="zh-CN" w:bidi="ar-SA"/>
              </w:rPr>
            </w:pPr>
            <w:r>
              <w:rPr>
                <w:rFonts w:hint="default"/>
                <w:highlight w:val="none"/>
              </w:rPr>
              <w:t>电源回路</w:t>
            </w:r>
          </w:p>
        </w:tc>
      </w:tr>
      <w:tr w14:paraId="7AD6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continue"/>
            <w:vAlign w:val="center"/>
          </w:tcPr>
          <w:p w14:paraId="6A3B5C5A">
            <w:pPr>
              <w:keepNext w:val="0"/>
              <w:keepLines w:val="0"/>
              <w:widowControl w:val="0"/>
              <w:suppressLineNumbers w:val="0"/>
              <w:spacing w:before="0" w:beforeAutospacing="0" w:after="0" w:afterAutospacing="0"/>
              <w:ind w:left="0" w:right="0"/>
              <w:jc w:val="center"/>
              <w:rPr>
                <w:rFonts w:hint="eastAsia"/>
                <w:highlight w:val="none"/>
                <w:lang w:val="en-US" w:eastAsia="zh-CN"/>
              </w:rPr>
            </w:pPr>
          </w:p>
        </w:tc>
        <w:tc>
          <w:tcPr>
            <w:tcW w:w="1593" w:type="dxa"/>
            <w:vMerge w:val="continue"/>
            <w:vAlign w:val="center"/>
          </w:tcPr>
          <w:p w14:paraId="436E8722">
            <w:pPr>
              <w:keepNext w:val="0"/>
              <w:keepLines w:val="0"/>
              <w:widowControl w:val="0"/>
              <w:suppressLineNumbers w:val="0"/>
              <w:spacing w:before="0" w:beforeAutospacing="0" w:after="0" w:afterAutospacing="0"/>
              <w:ind w:left="0" w:right="0"/>
              <w:jc w:val="center"/>
              <w:rPr>
                <w:rFonts w:hint="default"/>
                <w:highlight w:val="none"/>
              </w:rPr>
            </w:pPr>
          </w:p>
        </w:tc>
        <w:tc>
          <w:tcPr>
            <w:tcW w:w="1984" w:type="dxa"/>
            <w:vAlign w:val="center"/>
          </w:tcPr>
          <w:p w14:paraId="08B28747">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2.0 kV(p)</w:t>
            </w:r>
          </w:p>
        </w:tc>
        <w:tc>
          <w:tcPr>
            <w:tcW w:w="3119" w:type="dxa"/>
            <w:vAlign w:val="center"/>
          </w:tcPr>
          <w:p w14:paraId="2030C4FE">
            <w:pPr>
              <w:keepNext w:val="0"/>
              <w:keepLines w:val="0"/>
              <w:widowControl w:val="0"/>
              <w:suppressLineNumbers w:val="0"/>
              <w:spacing w:before="0" w:beforeAutospacing="0" w:after="0" w:afterAutospacing="0"/>
              <w:ind w:left="0" w:right="0"/>
              <w:jc w:val="left"/>
              <w:rPr>
                <w:rFonts w:hint="eastAsia" w:ascii="Times New Roman" w:hAnsi="Times New Roman" w:eastAsia="宋体" w:cs="Times New Roman"/>
                <w:kern w:val="2"/>
                <w:sz w:val="21"/>
                <w:szCs w:val="24"/>
                <w:highlight w:val="none"/>
                <w:lang w:val="en-US" w:eastAsia="zh-CN" w:bidi="ar-SA"/>
              </w:rPr>
            </w:pPr>
            <w:r>
              <w:rPr>
                <w:rFonts w:hint="eastAsia"/>
                <w:highlight w:val="none"/>
                <w:lang w:val="en-US" w:eastAsia="zh-CN"/>
              </w:rPr>
              <w:t>通信</w:t>
            </w:r>
            <w:r>
              <w:rPr>
                <w:rFonts w:hint="default"/>
                <w:highlight w:val="none"/>
              </w:rPr>
              <w:t>回路</w:t>
            </w:r>
          </w:p>
        </w:tc>
      </w:tr>
      <w:tr w14:paraId="6C90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restart"/>
            <w:vAlign w:val="center"/>
          </w:tcPr>
          <w:p w14:paraId="46079EB5">
            <w:pPr>
              <w:keepNext w:val="0"/>
              <w:keepLines w:val="0"/>
              <w:widowControl w:val="0"/>
              <w:suppressLineNumbers w:val="0"/>
              <w:spacing w:before="0" w:beforeAutospacing="0" w:after="0" w:afterAutospacing="0"/>
              <w:ind w:left="0" w:right="0"/>
              <w:jc w:val="center"/>
              <w:rPr>
                <w:rFonts w:hint="default" w:eastAsia="宋体"/>
                <w:highlight w:val="none"/>
                <w:lang w:val="en-US" w:eastAsia="zh-CN"/>
              </w:rPr>
            </w:pPr>
            <w:r>
              <w:rPr>
                <w:rFonts w:hint="eastAsia"/>
                <w:highlight w:val="none"/>
                <w:lang w:val="en-US" w:eastAsia="zh-CN"/>
              </w:rPr>
              <w:t>浪涌干扰</w:t>
            </w:r>
          </w:p>
        </w:tc>
        <w:tc>
          <w:tcPr>
            <w:tcW w:w="1593" w:type="dxa"/>
            <w:vMerge w:val="restart"/>
            <w:vAlign w:val="center"/>
          </w:tcPr>
          <w:p w14:paraId="0F08F6D5">
            <w:pPr>
              <w:keepNext w:val="0"/>
              <w:keepLines w:val="0"/>
              <w:widowControl w:val="0"/>
              <w:suppressLineNumbers w:val="0"/>
              <w:spacing w:before="0" w:beforeAutospacing="0" w:after="0" w:afterAutospacing="0"/>
              <w:ind w:left="0" w:right="0"/>
              <w:jc w:val="center"/>
              <w:rPr>
                <w:rFonts w:hint="eastAsia" w:eastAsia="宋体"/>
                <w:highlight w:val="none"/>
                <w:lang w:val="en-US" w:eastAsia="zh-CN"/>
              </w:rPr>
            </w:pPr>
            <w:r>
              <w:rPr>
                <w:rFonts w:hint="eastAsia"/>
                <w:highlight w:val="none"/>
                <w:lang w:val="en-US" w:eastAsia="zh-CN"/>
              </w:rPr>
              <w:t>4</w:t>
            </w:r>
          </w:p>
        </w:tc>
        <w:tc>
          <w:tcPr>
            <w:tcW w:w="1984" w:type="dxa"/>
            <w:vAlign w:val="center"/>
          </w:tcPr>
          <w:p w14:paraId="27F5AEED">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4.0 kV(p)</w:t>
            </w:r>
          </w:p>
        </w:tc>
        <w:tc>
          <w:tcPr>
            <w:tcW w:w="3119" w:type="dxa"/>
            <w:vAlign w:val="center"/>
          </w:tcPr>
          <w:p w14:paraId="4C7A8FFC">
            <w:pPr>
              <w:keepNext w:val="0"/>
              <w:keepLines w:val="0"/>
              <w:widowControl w:val="0"/>
              <w:suppressLineNumbers w:val="0"/>
              <w:spacing w:before="0" w:beforeAutospacing="0" w:after="0" w:afterAutospacing="0"/>
              <w:ind w:left="0" w:right="0"/>
              <w:jc w:val="left"/>
              <w:rPr>
                <w:rFonts w:hint="eastAsia" w:ascii="Times New Roman" w:hAnsi="Times New Roman" w:eastAsia="宋体" w:cs="Times New Roman"/>
                <w:kern w:val="2"/>
                <w:sz w:val="21"/>
                <w:szCs w:val="24"/>
                <w:highlight w:val="none"/>
                <w:lang w:val="en-US" w:eastAsia="zh-CN" w:bidi="ar-SA"/>
              </w:rPr>
            </w:pPr>
            <w:r>
              <w:rPr>
                <w:rFonts w:hint="default"/>
                <w:highlight w:val="none"/>
              </w:rPr>
              <w:t>电源回路</w:t>
            </w:r>
          </w:p>
        </w:tc>
      </w:tr>
      <w:tr w14:paraId="5764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continue"/>
            <w:vAlign w:val="top"/>
          </w:tcPr>
          <w:p w14:paraId="2B5B5D91">
            <w:pPr>
              <w:keepNext w:val="0"/>
              <w:keepLines w:val="0"/>
              <w:widowControl w:val="0"/>
              <w:suppressLineNumbers w:val="0"/>
              <w:spacing w:before="0" w:beforeAutospacing="0" w:after="0" w:afterAutospacing="0"/>
              <w:ind w:left="0" w:right="0"/>
              <w:jc w:val="left"/>
              <w:rPr>
                <w:rFonts w:hint="default"/>
                <w:highlight w:val="none"/>
              </w:rPr>
            </w:pPr>
          </w:p>
        </w:tc>
        <w:tc>
          <w:tcPr>
            <w:tcW w:w="1593" w:type="dxa"/>
            <w:vMerge w:val="continue"/>
            <w:vAlign w:val="center"/>
          </w:tcPr>
          <w:p w14:paraId="5A28DC25">
            <w:pPr>
              <w:keepNext w:val="0"/>
              <w:keepLines w:val="0"/>
              <w:widowControl w:val="0"/>
              <w:suppressLineNumbers w:val="0"/>
              <w:spacing w:before="0" w:beforeAutospacing="0" w:after="0" w:afterAutospacing="0"/>
              <w:ind w:left="0" w:right="0"/>
              <w:jc w:val="center"/>
              <w:rPr>
                <w:rFonts w:hint="default"/>
                <w:highlight w:val="none"/>
              </w:rPr>
            </w:pPr>
          </w:p>
        </w:tc>
        <w:tc>
          <w:tcPr>
            <w:tcW w:w="1984" w:type="dxa"/>
            <w:vAlign w:val="center"/>
          </w:tcPr>
          <w:p w14:paraId="36E3B08F">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2.0 kV(p)</w:t>
            </w:r>
          </w:p>
        </w:tc>
        <w:tc>
          <w:tcPr>
            <w:tcW w:w="3119" w:type="dxa"/>
            <w:vAlign w:val="center"/>
          </w:tcPr>
          <w:p w14:paraId="61995B8C">
            <w:pPr>
              <w:keepNext w:val="0"/>
              <w:keepLines w:val="0"/>
              <w:widowControl w:val="0"/>
              <w:suppressLineNumbers w:val="0"/>
              <w:spacing w:before="0" w:beforeAutospacing="0" w:after="0" w:afterAutospacing="0"/>
              <w:ind w:left="0" w:right="0"/>
              <w:jc w:val="left"/>
              <w:rPr>
                <w:rFonts w:hint="eastAsia" w:ascii="Times New Roman" w:hAnsi="Times New Roman" w:eastAsia="宋体" w:cs="Times New Roman"/>
                <w:kern w:val="2"/>
                <w:sz w:val="21"/>
                <w:szCs w:val="24"/>
                <w:highlight w:val="none"/>
                <w:lang w:val="en-US" w:eastAsia="zh-CN" w:bidi="ar-SA"/>
              </w:rPr>
            </w:pPr>
            <w:r>
              <w:rPr>
                <w:rFonts w:hint="eastAsia"/>
                <w:highlight w:val="none"/>
                <w:lang w:val="en-US" w:eastAsia="zh-CN"/>
              </w:rPr>
              <w:t>通信</w:t>
            </w:r>
            <w:r>
              <w:rPr>
                <w:rFonts w:hint="default"/>
                <w:highlight w:val="none"/>
              </w:rPr>
              <w:t>回路</w:t>
            </w:r>
          </w:p>
        </w:tc>
      </w:tr>
      <w:tr w14:paraId="4E769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6" w:type="dxa"/>
            <w:gridSpan w:val="4"/>
            <w:vAlign w:val="center"/>
          </w:tcPr>
          <w:p w14:paraId="4B5FCFD1">
            <w:pPr>
              <w:keepNext w:val="0"/>
              <w:keepLines w:val="0"/>
              <w:widowControl w:val="0"/>
              <w:suppressLineNumbers w:val="0"/>
              <w:spacing w:before="0" w:beforeAutospacing="0" w:after="0" w:afterAutospacing="0"/>
              <w:ind w:left="0" w:right="0"/>
              <w:jc w:val="left"/>
              <w:rPr>
                <w:rFonts w:hint="default"/>
                <w:highlight w:val="none"/>
              </w:rPr>
            </w:pPr>
            <w:r>
              <w:rPr>
                <w:rFonts w:hint="default"/>
                <w:highlight w:val="none"/>
              </w:rPr>
              <w:t>注：级别说明：</w:t>
            </w:r>
          </w:p>
          <w:p w14:paraId="33D43CB7">
            <w:pPr>
              <w:keepNext w:val="0"/>
              <w:keepLines w:val="0"/>
              <w:widowControl w:val="0"/>
              <w:suppressLineNumbers w:val="0"/>
              <w:spacing w:before="0" w:beforeAutospacing="0" w:after="0" w:afterAutospacing="0"/>
              <w:ind w:left="0" w:right="0" w:firstLine="420" w:firstLineChars="200"/>
              <w:jc w:val="left"/>
              <w:rPr>
                <w:rFonts w:hint="default"/>
                <w:highlight w:val="none"/>
              </w:rPr>
            </w:pPr>
            <w:r>
              <w:rPr>
                <w:rFonts w:hint="default"/>
                <w:highlight w:val="none"/>
              </w:rPr>
              <w:t>2级  安装于正常保护环境中的设备；工厂或电厂内的控制中心的设备。</w:t>
            </w:r>
          </w:p>
          <w:p w14:paraId="2B3AFE2C">
            <w:pPr>
              <w:pStyle w:val="28"/>
              <w:keepNext w:val="0"/>
              <w:keepLines w:val="0"/>
              <w:widowControl w:val="0"/>
              <w:suppressLineNumbers w:val="0"/>
              <w:spacing w:before="0" w:beforeAutospacing="0" w:after="0" w:afterAutospacing="0"/>
              <w:ind w:left="420" w:right="0" w:firstLine="0" w:firstLineChars="0"/>
              <w:jc w:val="left"/>
              <w:rPr>
                <w:rFonts w:hint="default"/>
                <w:highlight w:val="none"/>
              </w:rPr>
            </w:pPr>
            <w:r>
              <w:rPr>
                <w:rFonts w:hint="default"/>
                <w:highlight w:val="none"/>
              </w:rPr>
              <w:t>3级  安装于没有特别保护环境中的设备；居民区或工业区内的设备。</w:t>
            </w:r>
          </w:p>
          <w:p w14:paraId="450AC243">
            <w:pPr>
              <w:pStyle w:val="28"/>
              <w:keepNext w:val="0"/>
              <w:keepLines w:val="0"/>
              <w:widowControl w:val="0"/>
              <w:suppressLineNumbers w:val="0"/>
              <w:spacing w:before="0" w:beforeAutospacing="0" w:after="0" w:afterAutospacing="0"/>
              <w:ind w:left="420" w:leftChars="200" w:right="0" w:firstLine="0" w:firstLineChars="0"/>
              <w:jc w:val="left"/>
              <w:rPr>
                <w:rFonts w:hint="default"/>
                <w:highlight w:val="none"/>
              </w:rPr>
            </w:pPr>
            <w:r>
              <w:rPr>
                <w:rFonts w:hint="default"/>
                <w:highlight w:val="none"/>
              </w:rPr>
              <w:t>4级  严重骚扰环境中的设备；设备极为靠近中、高压敞开式和GIS（气体绝缘开关设备）或真空开关装置。</w:t>
            </w:r>
          </w:p>
        </w:tc>
      </w:tr>
      <w:tr w14:paraId="7786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6" w:type="dxa"/>
            <w:gridSpan w:val="4"/>
            <w:vAlign w:val="center"/>
          </w:tcPr>
          <w:p w14:paraId="115D217A">
            <w:pPr>
              <w:keepNext w:val="0"/>
              <w:keepLines w:val="0"/>
              <w:widowControl w:val="0"/>
              <w:suppressLineNumbers w:val="0"/>
              <w:spacing w:before="0" w:beforeAutospacing="0" w:after="0" w:afterAutospacing="0"/>
              <w:ind w:left="0" w:right="0"/>
              <w:jc w:val="left"/>
              <w:rPr>
                <w:rFonts w:hint="default"/>
                <w:highlight w:val="none"/>
              </w:rPr>
            </w:pPr>
            <w:r>
              <w:rPr>
                <w:rFonts w:hint="default"/>
                <w:highlight w:val="none"/>
              </w:rPr>
              <w:t>* 串模试验电压值为共模试验值的1/2。</w:t>
            </w:r>
          </w:p>
        </w:tc>
      </w:tr>
    </w:tbl>
    <w:p w14:paraId="4243ECE3">
      <w:pPr>
        <w:spacing w:line="360" w:lineRule="auto"/>
        <w:ind w:firstLine="422"/>
        <w:rPr>
          <w:rFonts w:hint="eastAsia"/>
          <w:b/>
          <w:bCs/>
          <w:lang w:val="en-US" w:eastAsia="zh-CN"/>
        </w:rPr>
      </w:pPr>
    </w:p>
    <w:p w14:paraId="058EB76F">
      <w:pPr>
        <w:spacing w:line="360" w:lineRule="auto"/>
        <w:ind w:firstLine="422"/>
        <w:rPr>
          <w:rFonts w:hint="eastAsia"/>
          <w:b/>
          <w:bCs/>
          <w:lang w:val="en-US" w:eastAsia="zh-CN"/>
        </w:rPr>
      </w:pPr>
      <w:r>
        <w:rPr>
          <w:rFonts w:hint="eastAsia"/>
          <w:b/>
          <w:bCs/>
          <w:lang w:val="en-US" w:eastAsia="zh-CN"/>
        </w:rPr>
        <w:t>5.4.2 快速瞬变脉冲群干扰</w:t>
      </w:r>
    </w:p>
    <w:p w14:paraId="72BB7345">
      <w:pPr>
        <w:spacing w:line="360" w:lineRule="auto"/>
        <w:ind w:firstLine="420" w:firstLineChars="200"/>
        <w:rPr>
          <w:lang w:val="zh-CN"/>
        </w:rPr>
      </w:pPr>
      <w:r>
        <w:rPr>
          <w:lang w:val="zh-CN"/>
        </w:rPr>
        <w:t>按照GB/T 17626.4中的有关规定执行。</w:t>
      </w:r>
    </w:p>
    <w:p w14:paraId="02802CF7">
      <w:pPr>
        <w:spacing w:line="360" w:lineRule="auto"/>
        <w:ind w:firstLine="420" w:firstLineChars="200"/>
        <w:rPr>
          <w:lang w:val="zh-CN"/>
        </w:rPr>
      </w:pPr>
      <w:r>
        <w:rPr>
          <w:lang w:val="zh-CN"/>
        </w:rPr>
        <w:t>在施加如</w:t>
      </w:r>
      <w:r>
        <w:rPr>
          <w:rFonts w:hint="default"/>
          <w:lang w:val="en-US"/>
        </w:rPr>
        <w:t>表15</w:t>
      </w:r>
      <w:r>
        <w:rPr>
          <w:lang w:val="zh-CN"/>
        </w:rPr>
        <w:t>规定的快速瞬变脉冲群干扰电压的情况下，设备应能正常工作，其性能指标符合5.5的要求。</w:t>
      </w:r>
    </w:p>
    <w:p w14:paraId="7D495CF2">
      <w:pPr>
        <w:pStyle w:val="2"/>
        <w:rPr>
          <w:rFonts w:hint="default"/>
          <w:lang w:val="en-US" w:eastAsia="zh-CN"/>
        </w:rPr>
      </w:pPr>
    </w:p>
    <w:p w14:paraId="7C1FC44E">
      <w:pPr>
        <w:spacing w:line="360" w:lineRule="auto"/>
        <w:ind w:firstLine="422"/>
        <w:rPr>
          <w:rFonts w:hint="eastAsia"/>
          <w:b/>
          <w:bCs/>
          <w:lang w:val="en-US" w:eastAsia="zh-CN"/>
        </w:rPr>
      </w:pPr>
      <w:r>
        <w:rPr>
          <w:rFonts w:hint="eastAsia"/>
          <w:b/>
          <w:bCs/>
          <w:lang w:val="en-US" w:eastAsia="zh-CN"/>
        </w:rPr>
        <w:t>5.4.3浪涌干扰</w:t>
      </w:r>
    </w:p>
    <w:p w14:paraId="350571A4">
      <w:pPr>
        <w:spacing w:line="360" w:lineRule="auto"/>
        <w:ind w:firstLine="420" w:firstLineChars="200"/>
        <w:rPr>
          <w:lang w:val="zh-CN"/>
        </w:rPr>
      </w:pPr>
      <w:r>
        <w:rPr>
          <w:lang w:val="zh-CN"/>
        </w:rPr>
        <w:t>按照GB/T 15153.1中的有关规定执行。</w:t>
      </w:r>
    </w:p>
    <w:p w14:paraId="70AE2A9D">
      <w:pPr>
        <w:spacing w:line="360" w:lineRule="auto"/>
        <w:ind w:firstLine="420" w:firstLineChars="200"/>
        <w:rPr>
          <w:lang w:val="zh-CN"/>
        </w:rPr>
      </w:pPr>
      <w:r>
        <w:rPr>
          <w:lang w:val="zh-CN"/>
        </w:rPr>
        <w:t>在施加如</w:t>
      </w:r>
      <w:r>
        <w:rPr>
          <w:rFonts w:hint="default"/>
          <w:lang w:val="en-US"/>
        </w:rPr>
        <w:t>表15</w:t>
      </w:r>
      <w:r>
        <w:rPr>
          <w:lang w:val="zh-CN"/>
        </w:rPr>
        <w:t>规定的浪涌干扰电压和1.2/50us波形的情况下，设备应能正常工作，其性能指标符合5.5的要求。</w:t>
      </w:r>
    </w:p>
    <w:p w14:paraId="4FAD0C90">
      <w:pPr>
        <w:pStyle w:val="2"/>
        <w:rPr>
          <w:rFonts w:hint="default"/>
          <w:lang w:val="en-US" w:eastAsia="zh-CN"/>
        </w:rPr>
      </w:pPr>
    </w:p>
    <w:p w14:paraId="66B93171">
      <w:pPr>
        <w:spacing w:line="360" w:lineRule="auto"/>
        <w:ind w:firstLine="422"/>
        <w:rPr>
          <w:rFonts w:hint="eastAsia"/>
          <w:b/>
          <w:bCs/>
          <w:lang w:val="en-US" w:eastAsia="zh-CN"/>
        </w:rPr>
      </w:pPr>
      <w:r>
        <w:rPr>
          <w:rFonts w:hint="eastAsia"/>
          <w:b/>
          <w:bCs/>
          <w:lang w:val="en-US" w:eastAsia="zh-CN"/>
        </w:rPr>
        <w:t>5.4.4静电放电干扰</w:t>
      </w:r>
    </w:p>
    <w:p w14:paraId="0AE79295">
      <w:pPr>
        <w:spacing w:line="360" w:lineRule="auto"/>
        <w:ind w:firstLine="420" w:firstLineChars="200"/>
        <w:rPr>
          <w:lang w:val="zh-CN"/>
        </w:rPr>
      </w:pPr>
      <w:r>
        <w:rPr>
          <w:lang w:val="zh-CN"/>
        </w:rPr>
        <w:t>按照GB/T 15153.1中的有关规定执行。</w:t>
      </w:r>
    </w:p>
    <w:p w14:paraId="1C48269F">
      <w:pPr>
        <w:spacing w:line="360" w:lineRule="auto"/>
        <w:ind w:firstLine="420" w:firstLineChars="200"/>
        <w:rPr>
          <w:lang w:val="zh-CN"/>
        </w:rPr>
      </w:pPr>
      <w:r>
        <w:rPr>
          <w:lang w:val="zh-CN"/>
        </w:rPr>
        <w:t>设备应能承受如</w:t>
      </w:r>
      <w:r>
        <w:rPr>
          <w:rFonts w:hint="default"/>
          <w:lang w:val="en-US"/>
        </w:rPr>
        <w:t>表16</w:t>
      </w:r>
      <w:r>
        <w:rPr>
          <w:lang w:val="zh-CN"/>
        </w:rPr>
        <w:t>中规定的静电放电电压值。在正常工作条件下，在操作人员通常可接触到的外壳和操作点上，按规定施加静电放电电压，正负极性放电各10次，每次放电间隔至少为1s。在静电放电情况下设备的各项性能指标均应符合5.5的要求。</w:t>
      </w:r>
    </w:p>
    <w:p w14:paraId="34B212B1">
      <w:pPr>
        <w:rPr>
          <w:lang w:val="zh-CN"/>
        </w:rPr>
      </w:pPr>
    </w:p>
    <w:p w14:paraId="03089910">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表16  静电放电试验主要参数</w:t>
      </w:r>
    </w:p>
    <w:tbl>
      <w:tblPr>
        <w:tblStyle w:val="18"/>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1593"/>
        <w:gridCol w:w="2551"/>
        <w:gridCol w:w="2552"/>
      </w:tblGrid>
      <w:tr w14:paraId="465B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restart"/>
            <w:vAlign w:val="center"/>
          </w:tcPr>
          <w:p w14:paraId="7895F7F4">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试验项目</w:t>
            </w:r>
          </w:p>
        </w:tc>
        <w:tc>
          <w:tcPr>
            <w:tcW w:w="1593" w:type="dxa"/>
            <w:vMerge w:val="restart"/>
            <w:vAlign w:val="center"/>
          </w:tcPr>
          <w:p w14:paraId="2C62896A">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级别</w:t>
            </w:r>
          </w:p>
        </w:tc>
        <w:tc>
          <w:tcPr>
            <w:tcW w:w="5103" w:type="dxa"/>
            <w:gridSpan w:val="2"/>
            <w:vAlign w:val="center"/>
          </w:tcPr>
          <w:p w14:paraId="522CDBC1">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试验值</w:t>
            </w:r>
          </w:p>
        </w:tc>
      </w:tr>
      <w:tr w14:paraId="3C00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Merge w:val="continue"/>
            <w:vAlign w:val="center"/>
          </w:tcPr>
          <w:p w14:paraId="2FA7AF03">
            <w:pPr>
              <w:keepNext w:val="0"/>
              <w:keepLines w:val="0"/>
              <w:widowControl w:val="0"/>
              <w:suppressLineNumbers w:val="0"/>
              <w:spacing w:before="0" w:beforeAutospacing="0" w:after="0" w:afterAutospacing="0"/>
              <w:ind w:left="0" w:right="0"/>
              <w:jc w:val="center"/>
              <w:rPr>
                <w:rFonts w:hint="default"/>
                <w:highlight w:val="none"/>
              </w:rPr>
            </w:pPr>
          </w:p>
        </w:tc>
        <w:tc>
          <w:tcPr>
            <w:tcW w:w="1593" w:type="dxa"/>
            <w:vMerge w:val="continue"/>
            <w:vAlign w:val="center"/>
          </w:tcPr>
          <w:p w14:paraId="78C0FB9E">
            <w:pPr>
              <w:keepNext w:val="0"/>
              <w:keepLines w:val="0"/>
              <w:widowControl w:val="0"/>
              <w:suppressLineNumbers w:val="0"/>
              <w:spacing w:before="0" w:beforeAutospacing="0" w:after="0" w:afterAutospacing="0"/>
              <w:ind w:left="0" w:right="0"/>
              <w:jc w:val="center"/>
              <w:rPr>
                <w:rFonts w:hint="default"/>
                <w:highlight w:val="none"/>
              </w:rPr>
            </w:pPr>
          </w:p>
        </w:tc>
        <w:tc>
          <w:tcPr>
            <w:tcW w:w="2551" w:type="dxa"/>
            <w:vAlign w:val="center"/>
          </w:tcPr>
          <w:p w14:paraId="4C83A933">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接触放电</w:t>
            </w:r>
          </w:p>
        </w:tc>
        <w:tc>
          <w:tcPr>
            <w:tcW w:w="2552" w:type="dxa"/>
            <w:vAlign w:val="center"/>
          </w:tcPr>
          <w:p w14:paraId="7FB1B88C">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空气放电</w:t>
            </w:r>
          </w:p>
        </w:tc>
      </w:tr>
      <w:tr w14:paraId="7C01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0" w:type="dxa"/>
            <w:vAlign w:val="center"/>
          </w:tcPr>
          <w:p w14:paraId="3D8EA214">
            <w:pPr>
              <w:keepNext w:val="0"/>
              <w:keepLines w:val="0"/>
              <w:widowControl w:val="0"/>
              <w:suppressLineNumbers w:val="0"/>
              <w:spacing w:before="0" w:beforeAutospacing="0" w:after="0" w:afterAutospacing="0"/>
              <w:ind w:left="0" w:right="0"/>
              <w:jc w:val="center"/>
              <w:rPr>
                <w:rFonts w:hint="default" w:eastAsia="宋体"/>
                <w:highlight w:val="none"/>
                <w:lang w:val="en-US" w:eastAsia="zh-CN"/>
              </w:rPr>
            </w:pPr>
            <w:r>
              <w:rPr>
                <w:rFonts w:hint="eastAsia"/>
                <w:highlight w:val="none"/>
                <w:lang w:val="en-US" w:eastAsia="zh-CN"/>
              </w:rPr>
              <w:t>静电放电</w:t>
            </w:r>
          </w:p>
        </w:tc>
        <w:tc>
          <w:tcPr>
            <w:tcW w:w="1593" w:type="dxa"/>
            <w:vAlign w:val="center"/>
          </w:tcPr>
          <w:p w14:paraId="1F2FB97A">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w:t>
            </w:r>
          </w:p>
        </w:tc>
        <w:tc>
          <w:tcPr>
            <w:tcW w:w="2551" w:type="dxa"/>
            <w:vAlign w:val="center"/>
          </w:tcPr>
          <w:p w14:paraId="4CD402D9">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8kV</w:t>
            </w:r>
          </w:p>
        </w:tc>
        <w:tc>
          <w:tcPr>
            <w:tcW w:w="2552" w:type="dxa"/>
          </w:tcPr>
          <w:p w14:paraId="2A03BC17">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15kV</w:t>
            </w:r>
          </w:p>
        </w:tc>
      </w:tr>
      <w:tr w14:paraId="32C3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6" w:type="dxa"/>
            <w:gridSpan w:val="4"/>
            <w:vAlign w:val="center"/>
          </w:tcPr>
          <w:p w14:paraId="610A723F">
            <w:pPr>
              <w:keepNext w:val="0"/>
              <w:keepLines w:val="0"/>
              <w:widowControl w:val="0"/>
              <w:suppressLineNumbers w:val="0"/>
              <w:spacing w:before="0" w:beforeAutospacing="0" w:after="0" w:afterAutospacing="0"/>
              <w:ind w:left="0" w:right="0"/>
              <w:jc w:val="both"/>
              <w:rPr>
                <w:rFonts w:hint="default"/>
                <w:highlight w:val="none"/>
              </w:rPr>
            </w:pPr>
            <w:r>
              <w:rPr>
                <w:rFonts w:hint="default"/>
                <w:highlight w:val="none"/>
              </w:rPr>
              <w:t>注：级别说明：</w:t>
            </w:r>
          </w:p>
          <w:p w14:paraId="424C98B0">
            <w:pPr>
              <w:pStyle w:val="28"/>
              <w:keepNext w:val="0"/>
              <w:keepLines w:val="0"/>
              <w:widowControl w:val="0"/>
              <w:suppressLineNumbers w:val="0"/>
              <w:spacing w:before="0" w:beforeAutospacing="0" w:after="0" w:afterAutospacing="0"/>
              <w:ind w:left="420" w:right="0" w:firstLine="0" w:firstLineChars="0"/>
              <w:jc w:val="left"/>
              <w:rPr>
                <w:rFonts w:hint="default"/>
                <w:highlight w:val="none"/>
              </w:rPr>
            </w:pPr>
            <w:r>
              <w:rPr>
                <w:rFonts w:hint="default"/>
                <w:highlight w:val="none"/>
              </w:rPr>
              <w:t>2级  安装在具有防静电设施的专用房间内控的设备；</w:t>
            </w:r>
          </w:p>
          <w:p w14:paraId="076E6904">
            <w:pPr>
              <w:pStyle w:val="28"/>
              <w:keepNext w:val="0"/>
              <w:keepLines w:val="0"/>
              <w:widowControl w:val="0"/>
              <w:suppressLineNumbers w:val="0"/>
              <w:spacing w:before="0" w:beforeAutospacing="0" w:after="0" w:afterAutospacing="0"/>
              <w:ind w:left="420" w:right="0" w:firstLine="0" w:firstLineChars="0"/>
              <w:jc w:val="left"/>
              <w:rPr>
                <w:rFonts w:hint="default"/>
                <w:highlight w:val="none"/>
              </w:rPr>
            </w:pPr>
            <w:r>
              <w:rPr>
                <w:rFonts w:hint="default"/>
                <w:highlight w:val="none"/>
              </w:rPr>
              <w:t>3级  安装于具有湿度控制系统的专用房间内的设备；</w:t>
            </w:r>
          </w:p>
          <w:p w14:paraId="0C743834">
            <w:pPr>
              <w:pStyle w:val="28"/>
              <w:keepNext w:val="0"/>
              <w:keepLines w:val="0"/>
              <w:widowControl w:val="0"/>
              <w:suppressLineNumbers w:val="0"/>
              <w:spacing w:before="0" w:beforeAutospacing="0" w:after="0" w:afterAutospacing="0"/>
              <w:ind w:left="420" w:right="0" w:firstLine="0" w:firstLineChars="0"/>
              <w:jc w:val="left"/>
              <w:rPr>
                <w:rFonts w:hint="default"/>
                <w:highlight w:val="none"/>
              </w:rPr>
            </w:pPr>
            <w:r>
              <w:rPr>
                <w:rFonts w:hint="default"/>
                <w:highlight w:val="none"/>
              </w:rPr>
              <w:t>4级  安装在不加控制环境中的设备。</w:t>
            </w:r>
          </w:p>
        </w:tc>
      </w:tr>
    </w:tbl>
    <w:p w14:paraId="5DAD50BE">
      <w:pPr>
        <w:spacing w:line="360" w:lineRule="auto"/>
        <w:ind w:firstLine="422"/>
        <w:rPr>
          <w:rFonts w:hint="eastAsia"/>
          <w:b/>
          <w:bCs/>
          <w:lang w:val="en-US" w:eastAsia="zh-CN"/>
        </w:rPr>
      </w:pPr>
    </w:p>
    <w:p w14:paraId="24646D1A">
      <w:pPr>
        <w:spacing w:line="360" w:lineRule="auto"/>
        <w:ind w:firstLine="422"/>
        <w:rPr>
          <w:rFonts w:hint="eastAsia"/>
          <w:b/>
          <w:bCs/>
          <w:lang w:val="en-US" w:eastAsia="zh-CN"/>
        </w:rPr>
      </w:pPr>
      <w:r>
        <w:rPr>
          <w:rFonts w:hint="eastAsia"/>
          <w:b/>
          <w:bCs/>
          <w:lang w:val="en-US" w:eastAsia="zh-CN"/>
        </w:rPr>
        <w:t>5.5.5工频磁场和阻尼振荡磁场干扰</w:t>
      </w:r>
    </w:p>
    <w:p w14:paraId="1FA26AE0">
      <w:pPr>
        <w:spacing w:line="360" w:lineRule="auto"/>
        <w:ind w:firstLine="420" w:firstLineChars="200"/>
        <w:rPr>
          <w:lang w:val="zh-CN"/>
        </w:rPr>
      </w:pPr>
      <w:r>
        <w:rPr>
          <w:lang w:val="zh-CN"/>
        </w:rPr>
        <w:t>按照GB/T 15153.1中的有关规定执行。</w:t>
      </w:r>
    </w:p>
    <w:p w14:paraId="2D2064D3">
      <w:pPr>
        <w:spacing w:line="360" w:lineRule="auto"/>
        <w:ind w:firstLine="420" w:firstLineChars="200"/>
        <w:rPr>
          <w:lang w:val="zh-CN"/>
        </w:rPr>
      </w:pPr>
      <w:r>
        <w:rPr>
          <w:lang w:val="zh-CN"/>
        </w:rPr>
        <w:t>设备在表17规定的工频磁场和阻尼振荡磁场条件下应能正常工作，而且各项性能指标满足5.5的要求。</w:t>
      </w:r>
    </w:p>
    <w:p w14:paraId="1A98873F">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表17  工频磁场和阻尼振荡磁场试验主要参数</w:t>
      </w:r>
    </w:p>
    <w:tbl>
      <w:tblPr>
        <w:tblStyle w:val="18"/>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593"/>
        <w:gridCol w:w="2518"/>
        <w:gridCol w:w="2977"/>
      </w:tblGrid>
      <w:tr w14:paraId="6A73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38" w:type="dxa"/>
            <w:vAlign w:val="center"/>
          </w:tcPr>
          <w:p w14:paraId="35C4FE81">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试验项目</w:t>
            </w:r>
          </w:p>
        </w:tc>
        <w:tc>
          <w:tcPr>
            <w:tcW w:w="1593" w:type="dxa"/>
            <w:vAlign w:val="center"/>
          </w:tcPr>
          <w:p w14:paraId="07C81C23">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级别</w:t>
            </w:r>
          </w:p>
        </w:tc>
        <w:tc>
          <w:tcPr>
            <w:tcW w:w="2518" w:type="dxa"/>
            <w:vAlign w:val="center"/>
          </w:tcPr>
          <w:p w14:paraId="327BAB21">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电压/电流波形</w:t>
            </w:r>
          </w:p>
        </w:tc>
        <w:tc>
          <w:tcPr>
            <w:tcW w:w="2977" w:type="dxa"/>
            <w:vAlign w:val="center"/>
          </w:tcPr>
          <w:p w14:paraId="3AA6C35E">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实验值/（A/m）</w:t>
            </w:r>
          </w:p>
        </w:tc>
      </w:tr>
      <w:tr w14:paraId="239D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38" w:type="dxa"/>
            <w:vAlign w:val="center"/>
          </w:tcPr>
          <w:p w14:paraId="4EBBD4DF">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工频磁场</w:t>
            </w:r>
          </w:p>
        </w:tc>
        <w:tc>
          <w:tcPr>
            <w:tcW w:w="1593" w:type="dxa"/>
            <w:vAlign w:val="center"/>
          </w:tcPr>
          <w:p w14:paraId="53CEB3D3">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w:t>
            </w:r>
          </w:p>
        </w:tc>
        <w:tc>
          <w:tcPr>
            <w:tcW w:w="2518" w:type="dxa"/>
            <w:vAlign w:val="center"/>
          </w:tcPr>
          <w:p w14:paraId="77D0EFD1">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连续正弦波</w:t>
            </w:r>
          </w:p>
        </w:tc>
        <w:tc>
          <w:tcPr>
            <w:tcW w:w="2977" w:type="dxa"/>
            <w:vAlign w:val="center"/>
          </w:tcPr>
          <w:p w14:paraId="5ACA6769">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100</w:t>
            </w:r>
          </w:p>
        </w:tc>
      </w:tr>
      <w:tr w14:paraId="55B8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838" w:type="dxa"/>
            <w:vAlign w:val="center"/>
          </w:tcPr>
          <w:p w14:paraId="6353F840">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阻尼振荡磁场</w:t>
            </w:r>
          </w:p>
        </w:tc>
        <w:tc>
          <w:tcPr>
            <w:tcW w:w="1593" w:type="dxa"/>
            <w:vAlign w:val="center"/>
          </w:tcPr>
          <w:p w14:paraId="2AB6BEEE">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4</w:t>
            </w:r>
          </w:p>
        </w:tc>
        <w:tc>
          <w:tcPr>
            <w:tcW w:w="2518" w:type="dxa"/>
            <w:vAlign w:val="center"/>
          </w:tcPr>
          <w:p w14:paraId="1158AE99">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衰减振荡波</w:t>
            </w:r>
          </w:p>
        </w:tc>
        <w:tc>
          <w:tcPr>
            <w:tcW w:w="2977" w:type="dxa"/>
            <w:vAlign w:val="center"/>
          </w:tcPr>
          <w:p w14:paraId="027A9205">
            <w:pPr>
              <w:keepNext w:val="0"/>
              <w:keepLines w:val="0"/>
              <w:widowControl w:val="0"/>
              <w:suppressLineNumbers w:val="0"/>
              <w:spacing w:before="0" w:beforeAutospacing="0" w:after="0" w:afterAutospacing="0"/>
              <w:ind w:left="0" w:right="0"/>
              <w:jc w:val="center"/>
              <w:rPr>
                <w:rFonts w:hint="default"/>
                <w:highlight w:val="none"/>
              </w:rPr>
            </w:pPr>
            <w:r>
              <w:rPr>
                <w:rFonts w:hint="default"/>
                <w:highlight w:val="none"/>
              </w:rPr>
              <w:t>100</w:t>
            </w:r>
          </w:p>
        </w:tc>
      </w:tr>
      <w:tr w14:paraId="6A47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6" w:type="dxa"/>
            <w:gridSpan w:val="4"/>
            <w:vAlign w:val="center"/>
          </w:tcPr>
          <w:p w14:paraId="0AFE9E7C">
            <w:pPr>
              <w:keepNext w:val="0"/>
              <w:keepLines w:val="0"/>
              <w:widowControl w:val="0"/>
              <w:suppressLineNumbers w:val="0"/>
              <w:spacing w:before="0" w:beforeAutospacing="0" w:after="0" w:afterAutospacing="0"/>
              <w:ind w:left="0" w:right="0"/>
              <w:jc w:val="left"/>
              <w:rPr>
                <w:rFonts w:hint="default"/>
              </w:rPr>
            </w:pPr>
            <w:r>
              <w:rPr>
                <w:rFonts w:hint="default"/>
              </w:rPr>
              <w:t>注：级别说明：</w:t>
            </w:r>
          </w:p>
          <w:p w14:paraId="56CCF8E1">
            <w:pPr>
              <w:pStyle w:val="28"/>
              <w:keepNext w:val="0"/>
              <w:keepLines w:val="0"/>
              <w:widowControl w:val="0"/>
              <w:suppressLineNumbers w:val="0"/>
              <w:spacing w:before="0" w:beforeAutospacing="0" w:after="0" w:afterAutospacing="0"/>
              <w:ind w:left="420" w:right="0" w:firstLine="0" w:firstLineChars="0"/>
              <w:jc w:val="left"/>
              <w:rPr>
                <w:rFonts w:hint="default"/>
              </w:rPr>
            </w:pPr>
            <w:r>
              <w:rPr>
                <w:rFonts w:hint="default"/>
              </w:rPr>
              <w:t>2级  安装于受保护的环境中的设备；</w:t>
            </w:r>
          </w:p>
          <w:p w14:paraId="2A87AFD4">
            <w:pPr>
              <w:pStyle w:val="28"/>
              <w:keepNext w:val="0"/>
              <w:keepLines w:val="0"/>
              <w:widowControl w:val="0"/>
              <w:suppressLineNumbers w:val="0"/>
              <w:spacing w:before="0" w:beforeAutospacing="0" w:after="0" w:afterAutospacing="0"/>
              <w:ind w:left="420" w:right="0" w:firstLine="0" w:firstLineChars="0"/>
              <w:jc w:val="left"/>
              <w:rPr>
                <w:rFonts w:hint="default"/>
              </w:rPr>
            </w:pPr>
            <w:r>
              <w:rPr>
                <w:rFonts w:hint="default"/>
              </w:rPr>
              <w:t>3级  安装于典型工业环境中的设备；工厂、电厂或处于特别居民区内的设备；</w:t>
            </w:r>
          </w:p>
          <w:p w14:paraId="6C5D8F54">
            <w:pPr>
              <w:pStyle w:val="28"/>
              <w:keepNext w:val="0"/>
              <w:keepLines w:val="0"/>
              <w:widowControl w:val="0"/>
              <w:suppressLineNumbers w:val="0"/>
              <w:spacing w:before="0" w:beforeAutospacing="0" w:after="0" w:afterAutospacing="0"/>
              <w:ind w:left="420" w:right="0" w:firstLine="0" w:firstLineChars="0"/>
              <w:jc w:val="left"/>
              <w:rPr>
                <w:rFonts w:hint="default"/>
              </w:rPr>
            </w:pPr>
            <w:r>
              <w:rPr>
                <w:rFonts w:hint="default"/>
              </w:rPr>
              <w:t>4级  处于恶劣的工业环境或严重骚扰环境中的设备；极为靠近中、高压敞开式和GIS（气体绝缘开关设备）或真空开关装置或其他电气设备的设备。</w:t>
            </w:r>
          </w:p>
        </w:tc>
      </w:tr>
    </w:tbl>
    <w:p w14:paraId="6093C29C">
      <w:pPr>
        <w:spacing w:line="360" w:lineRule="auto"/>
        <w:ind w:firstLine="422"/>
        <w:rPr>
          <w:rFonts w:hint="eastAsia"/>
          <w:b/>
          <w:bCs/>
          <w:lang w:val="en-US" w:eastAsia="zh-CN"/>
        </w:rPr>
      </w:pPr>
    </w:p>
    <w:p w14:paraId="25237013">
      <w:pPr>
        <w:spacing w:line="360" w:lineRule="auto"/>
        <w:ind w:firstLine="422"/>
        <w:rPr>
          <w:rFonts w:hint="eastAsia"/>
          <w:b/>
          <w:bCs/>
          <w:lang w:val="en-US" w:eastAsia="zh-CN"/>
        </w:rPr>
      </w:pPr>
      <w:r>
        <w:rPr>
          <w:rFonts w:hint="eastAsia"/>
          <w:b/>
          <w:bCs/>
          <w:lang w:val="en-US" w:eastAsia="zh-CN"/>
        </w:rPr>
        <w:t>5.5.6辐射电磁场干扰</w:t>
      </w:r>
    </w:p>
    <w:p w14:paraId="361CE07F">
      <w:pPr>
        <w:spacing w:line="360" w:lineRule="auto"/>
        <w:ind w:firstLine="420" w:firstLineChars="200"/>
        <w:rPr>
          <w:lang w:val="zh-CN"/>
        </w:rPr>
      </w:pPr>
      <w:r>
        <w:rPr>
          <w:lang w:val="zh-CN"/>
        </w:rPr>
        <w:t>对于使用无线电收发信机进行通信的设备，应具有抗辐射电磁场的能力。试验的主要参数按GB/T 15153.1-1998中的有关规定执行，设备在表18规定的辐射电磁场条件下应能正常工作，而且各项性能指标满足5.5的要求。</w:t>
      </w:r>
    </w:p>
    <w:p w14:paraId="1D6DBA61">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表18  辐射电磁场试验主要参数</w:t>
      </w:r>
    </w:p>
    <w:tbl>
      <w:tblPr>
        <w:tblStyle w:val="18"/>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134"/>
        <w:gridCol w:w="4394"/>
        <w:gridCol w:w="1946"/>
      </w:tblGrid>
      <w:tr w14:paraId="6EEB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CC98908">
            <w:pPr>
              <w:keepNext w:val="0"/>
              <w:keepLines w:val="0"/>
              <w:widowControl w:val="0"/>
              <w:suppressLineNumbers w:val="0"/>
              <w:spacing w:before="0" w:beforeAutospacing="0" w:after="0" w:afterAutospacing="0"/>
              <w:ind w:left="0" w:right="0"/>
              <w:jc w:val="center"/>
              <w:rPr>
                <w:rFonts w:hint="default"/>
              </w:rPr>
            </w:pPr>
            <w:r>
              <w:rPr>
                <w:rFonts w:hint="default"/>
              </w:rPr>
              <w:t>试验项目</w:t>
            </w:r>
          </w:p>
        </w:tc>
        <w:tc>
          <w:tcPr>
            <w:tcW w:w="1134" w:type="dxa"/>
            <w:vAlign w:val="center"/>
          </w:tcPr>
          <w:p w14:paraId="7B41C2E8">
            <w:pPr>
              <w:keepNext w:val="0"/>
              <w:keepLines w:val="0"/>
              <w:widowControl w:val="0"/>
              <w:suppressLineNumbers w:val="0"/>
              <w:spacing w:before="0" w:beforeAutospacing="0" w:after="0" w:afterAutospacing="0"/>
              <w:ind w:left="0" w:right="0"/>
              <w:jc w:val="center"/>
              <w:rPr>
                <w:rFonts w:hint="default"/>
              </w:rPr>
            </w:pPr>
            <w:r>
              <w:rPr>
                <w:rFonts w:hint="default"/>
              </w:rPr>
              <w:t>级别</w:t>
            </w:r>
          </w:p>
        </w:tc>
        <w:tc>
          <w:tcPr>
            <w:tcW w:w="4394" w:type="dxa"/>
            <w:vAlign w:val="center"/>
          </w:tcPr>
          <w:p w14:paraId="63D320C6">
            <w:pPr>
              <w:keepNext w:val="0"/>
              <w:keepLines w:val="0"/>
              <w:widowControl w:val="0"/>
              <w:suppressLineNumbers w:val="0"/>
              <w:spacing w:before="0" w:beforeAutospacing="0" w:after="0" w:afterAutospacing="0"/>
              <w:ind w:left="0" w:right="0"/>
              <w:jc w:val="center"/>
              <w:rPr>
                <w:rFonts w:hint="default"/>
              </w:rPr>
            </w:pPr>
            <w:r>
              <w:rPr>
                <w:rFonts w:hint="default"/>
              </w:rPr>
              <w:t>电压/电流波形</w:t>
            </w:r>
          </w:p>
        </w:tc>
        <w:tc>
          <w:tcPr>
            <w:tcW w:w="1946" w:type="dxa"/>
            <w:vAlign w:val="center"/>
          </w:tcPr>
          <w:p w14:paraId="7026BB76">
            <w:pPr>
              <w:keepNext w:val="0"/>
              <w:keepLines w:val="0"/>
              <w:widowControl w:val="0"/>
              <w:suppressLineNumbers w:val="0"/>
              <w:spacing w:before="0" w:beforeAutospacing="0" w:after="0" w:afterAutospacing="0"/>
              <w:ind w:left="0" w:right="0"/>
              <w:jc w:val="center"/>
              <w:rPr>
                <w:rFonts w:hint="default"/>
              </w:rPr>
            </w:pPr>
            <w:r>
              <w:rPr>
                <w:rFonts w:hint="default"/>
              </w:rPr>
              <w:t>试验值/（V/m）</w:t>
            </w:r>
          </w:p>
        </w:tc>
      </w:tr>
      <w:tr w14:paraId="60DC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555" w:type="dxa"/>
            <w:vAlign w:val="center"/>
          </w:tcPr>
          <w:p w14:paraId="2E7A5B31">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辐射电磁场</w:t>
            </w:r>
          </w:p>
        </w:tc>
        <w:tc>
          <w:tcPr>
            <w:tcW w:w="1134" w:type="dxa"/>
            <w:vAlign w:val="center"/>
          </w:tcPr>
          <w:p w14:paraId="7A08FD44">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3</w:t>
            </w:r>
          </w:p>
        </w:tc>
        <w:tc>
          <w:tcPr>
            <w:tcW w:w="4394" w:type="dxa"/>
            <w:vAlign w:val="center"/>
          </w:tcPr>
          <w:p w14:paraId="73BB1120">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频率范围为80MHz～1000MHz的连续波</w:t>
            </w:r>
          </w:p>
        </w:tc>
        <w:tc>
          <w:tcPr>
            <w:tcW w:w="1946" w:type="dxa"/>
            <w:vAlign w:val="center"/>
          </w:tcPr>
          <w:p w14:paraId="55B5D1B4">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10</w:t>
            </w:r>
          </w:p>
        </w:tc>
      </w:tr>
      <w:tr w14:paraId="1981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9" w:type="dxa"/>
            <w:gridSpan w:val="4"/>
            <w:vAlign w:val="center"/>
          </w:tcPr>
          <w:p w14:paraId="0172995B">
            <w:pPr>
              <w:keepNext w:val="0"/>
              <w:keepLines w:val="0"/>
              <w:widowControl w:val="0"/>
              <w:suppressLineNumbers w:val="0"/>
              <w:spacing w:before="0" w:beforeAutospacing="0" w:after="0" w:afterAutospacing="0"/>
              <w:ind w:left="0" w:right="0"/>
              <w:jc w:val="left"/>
              <w:rPr>
                <w:rFonts w:hint="default"/>
                <w:color w:val="auto"/>
                <w:highlight w:val="none"/>
              </w:rPr>
            </w:pPr>
            <w:r>
              <w:rPr>
                <w:rFonts w:hint="default"/>
                <w:color w:val="auto"/>
                <w:highlight w:val="none"/>
              </w:rPr>
              <w:t>注：级别说明：</w:t>
            </w:r>
          </w:p>
          <w:p w14:paraId="419B7D47">
            <w:pPr>
              <w:pStyle w:val="28"/>
              <w:keepNext w:val="0"/>
              <w:keepLines w:val="0"/>
              <w:widowControl w:val="0"/>
              <w:suppressLineNumbers w:val="0"/>
              <w:spacing w:before="0" w:beforeAutospacing="0" w:after="0" w:afterAutospacing="0"/>
              <w:ind w:left="420" w:right="0" w:firstLine="0" w:firstLineChars="0"/>
              <w:jc w:val="left"/>
              <w:rPr>
                <w:rFonts w:hint="default"/>
                <w:color w:val="auto"/>
                <w:highlight w:val="none"/>
              </w:rPr>
            </w:pPr>
            <w:r>
              <w:rPr>
                <w:rFonts w:hint="default"/>
                <w:color w:val="auto"/>
                <w:highlight w:val="none"/>
              </w:rPr>
              <w:t>2级  安装于中等辐射环境中的设备；工厂或电厂内的设备；</w:t>
            </w:r>
          </w:p>
          <w:p w14:paraId="45F221AD">
            <w:pPr>
              <w:pStyle w:val="28"/>
              <w:keepNext w:val="0"/>
              <w:keepLines w:val="0"/>
              <w:widowControl w:val="0"/>
              <w:suppressLineNumbers w:val="0"/>
              <w:spacing w:before="0" w:beforeAutospacing="0" w:after="0" w:afterAutospacing="0"/>
              <w:ind w:left="420" w:right="0" w:firstLine="0" w:firstLineChars="0"/>
              <w:jc w:val="left"/>
              <w:rPr>
                <w:rFonts w:hint="default"/>
                <w:color w:val="auto"/>
                <w:highlight w:val="none"/>
              </w:rPr>
            </w:pPr>
            <w:r>
              <w:rPr>
                <w:rFonts w:hint="default"/>
                <w:color w:val="auto"/>
                <w:highlight w:val="none"/>
              </w:rPr>
              <w:t>3级  安装于严重辐射环境中的设备；居民区、工业区或电厂内的设备；</w:t>
            </w:r>
          </w:p>
          <w:p w14:paraId="46463624">
            <w:pPr>
              <w:pStyle w:val="28"/>
              <w:keepNext w:val="0"/>
              <w:keepLines w:val="0"/>
              <w:widowControl w:val="0"/>
              <w:suppressLineNumbers w:val="0"/>
              <w:spacing w:before="0" w:beforeAutospacing="0" w:after="0" w:afterAutospacing="0"/>
              <w:ind w:left="420" w:right="0" w:firstLine="0" w:firstLineChars="0"/>
              <w:jc w:val="left"/>
              <w:rPr>
                <w:rFonts w:hint="default"/>
                <w:color w:val="auto"/>
                <w:highlight w:val="none"/>
              </w:rPr>
            </w:pPr>
            <w:r>
              <w:rPr>
                <w:rFonts w:hint="default"/>
                <w:color w:val="auto"/>
                <w:highlight w:val="none"/>
              </w:rPr>
              <w:t>4级  安装于非常严重辐射环境中的设备；处于居民区、工业区或电厂中极为靠近电磁辐射源的设备。</w:t>
            </w:r>
          </w:p>
        </w:tc>
      </w:tr>
    </w:tbl>
    <w:p w14:paraId="038DDBA5">
      <w:pPr>
        <w:spacing w:line="360" w:lineRule="auto"/>
        <w:ind w:firstLine="422"/>
        <w:rPr>
          <w:rFonts w:hint="eastAsia"/>
          <w:b/>
          <w:bCs/>
          <w:lang w:val="en-US" w:eastAsia="zh-CN"/>
        </w:rPr>
      </w:pPr>
    </w:p>
    <w:p w14:paraId="4E775929">
      <w:pPr>
        <w:spacing w:line="360" w:lineRule="auto"/>
        <w:ind w:firstLine="422"/>
        <w:rPr>
          <w:rFonts w:hint="eastAsia"/>
          <w:b/>
          <w:bCs/>
          <w:lang w:val="en-US" w:eastAsia="zh-CN"/>
        </w:rPr>
      </w:pPr>
      <w:r>
        <w:rPr>
          <w:rFonts w:hint="eastAsia"/>
          <w:b/>
          <w:bCs/>
          <w:lang w:val="en-US" w:eastAsia="zh-CN"/>
        </w:rPr>
        <w:t>5.5.7电源电压突降和中断</w:t>
      </w:r>
    </w:p>
    <w:p w14:paraId="6F7D759C">
      <w:pPr>
        <w:spacing w:line="360" w:lineRule="auto"/>
        <w:ind w:firstLine="420" w:firstLineChars="200"/>
        <w:rPr>
          <w:lang w:val="zh-CN"/>
        </w:rPr>
      </w:pPr>
      <w:r>
        <w:rPr>
          <w:lang w:val="zh-CN"/>
        </w:rPr>
        <w:t>按GB/T 15153.1-1998中的要求进行试验，设备在表19规定的条件下应能正常工作，而且各项性能指标满足5.5的要求。</w:t>
      </w:r>
    </w:p>
    <w:p w14:paraId="2147A040">
      <w:pPr>
        <w:pStyle w:val="10"/>
        <w:spacing w:line="360" w:lineRule="auto"/>
        <w:jc w:val="center"/>
        <w:rPr>
          <w:rFonts w:ascii="Times New Roman" w:hAnsi="Times New Roman" w:cs="Times New Roman"/>
          <w:sz w:val="21"/>
          <w:szCs w:val="21"/>
        </w:rPr>
      </w:pPr>
      <w:r>
        <w:rPr>
          <w:rFonts w:ascii="Times New Roman" w:hAnsi="Times New Roman" w:cs="Times New Roman"/>
          <w:sz w:val="21"/>
          <w:szCs w:val="21"/>
        </w:rPr>
        <w:t>表19  电源电压突降和中断试验主要参数</w:t>
      </w:r>
    </w:p>
    <w:tbl>
      <w:tblPr>
        <w:tblStyle w:val="18"/>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134"/>
        <w:gridCol w:w="3118"/>
        <w:gridCol w:w="805"/>
        <w:gridCol w:w="806"/>
        <w:gridCol w:w="805"/>
        <w:gridCol w:w="806"/>
      </w:tblGrid>
      <w:tr w14:paraId="560E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555" w:type="dxa"/>
            <w:vMerge w:val="restart"/>
            <w:vAlign w:val="center"/>
          </w:tcPr>
          <w:p w14:paraId="1BD0E0B2">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试验项目</w:t>
            </w:r>
          </w:p>
        </w:tc>
        <w:tc>
          <w:tcPr>
            <w:tcW w:w="1134" w:type="dxa"/>
            <w:vMerge w:val="restart"/>
            <w:vAlign w:val="center"/>
          </w:tcPr>
          <w:p w14:paraId="7551EB29">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级别</w:t>
            </w:r>
          </w:p>
        </w:tc>
        <w:tc>
          <w:tcPr>
            <w:tcW w:w="3118" w:type="dxa"/>
            <w:vMerge w:val="restart"/>
            <w:vAlign w:val="center"/>
          </w:tcPr>
          <w:p w14:paraId="2E1DEE0F">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电压/电流波形</w:t>
            </w:r>
          </w:p>
        </w:tc>
        <w:tc>
          <w:tcPr>
            <w:tcW w:w="3222" w:type="dxa"/>
            <w:gridSpan w:val="4"/>
            <w:vAlign w:val="center"/>
          </w:tcPr>
          <w:p w14:paraId="63CDF7B2">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试验值</w:t>
            </w:r>
          </w:p>
        </w:tc>
      </w:tr>
      <w:tr w14:paraId="5D53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555" w:type="dxa"/>
            <w:vMerge w:val="continue"/>
            <w:vAlign w:val="center"/>
          </w:tcPr>
          <w:p w14:paraId="2DEA3214">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1134" w:type="dxa"/>
            <w:vMerge w:val="continue"/>
            <w:vAlign w:val="center"/>
          </w:tcPr>
          <w:p w14:paraId="0ABFD22D">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3118" w:type="dxa"/>
            <w:vMerge w:val="continue"/>
            <w:vAlign w:val="center"/>
          </w:tcPr>
          <w:p w14:paraId="132696F9">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1611" w:type="dxa"/>
            <w:gridSpan w:val="2"/>
            <w:vAlign w:val="center"/>
          </w:tcPr>
          <w:p w14:paraId="6081A911">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电源突降</w:t>
            </w:r>
          </w:p>
        </w:tc>
        <w:tc>
          <w:tcPr>
            <w:tcW w:w="1611" w:type="dxa"/>
            <w:gridSpan w:val="2"/>
            <w:vAlign w:val="center"/>
          </w:tcPr>
          <w:p w14:paraId="7C84A0A9">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电压中断</w:t>
            </w:r>
          </w:p>
        </w:tc>
      </w:tr>
      <w:tr w14:paraId="662C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555" w:type="dxa"/>
            <w:vMerge w:val="continue"/>
            <w:vAlign w:val="center"/>
          </w:tcPr>
          <w:p w14:paraId="66EB4A6F">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1134" w:type="dxa"/>
            <w:vMerge w:val="continue"/>
            <w:vAlign w:val="center"/>
          </w:tcPr>
          <w:p w14:paraId="3A9F7968">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3118" w:type="dxa"/>
            <w:vMerge w:val="continue"/>
            <w:vAlign w:val="center"/>
          </w:tcPr>
          <w:p w14:paraId="6800BC1C">
            <w:pPr>
              <w:keepNext w:val="0"/>
              <w:keepLines w:val="0"/>
              <w:widowControl w:val="0"/>
              <w:suppressLineNumbers w:val="0"/>
              <w:spacing w:before="0" w:beforeAutospacing="0" w:after="0" w:afterAutospacing="0"/>
              <w:ind w:left="0" w:right="0"/>
              <w:jc w:val="center"/>
              <w:rPr>
                <w:rFonts w:hint="default"/>
                <w:color w:val="auto"/>
                <w:highlight w:val="none"/>
              </w:rPr>
            </w:pPr>
          </w:p>
        </w:tc>
        <w:tc>
          <w:tcPr>
            <w:tcW w:w="805" w:type="dxa"/>
            <w:vAlign w:val="center"/>
          </w:tcPr>
          <w:p w14:paraId="5D2B2CC7">
            <w:pPr>
              <w:keepNext w:val="0"/>
              <w:keepLines w:val="0"/>
              <w:widowControl w:val="0"/>
              <w:suppressLineNumbers w:val="0"/>
              <w:spacing w:before="0" w:beforeAutospacing="0" w:after="0" w:afterAutospacing="0"/>
              <w:ind w:left="0" w:right="0"/>
              <w:jc w:val="center"/>
              <w:rPr>
                <w:rFonts w:hint="default"/>
                <w:color w:val="auto"/>
                <w:highlight w:val="none"/>
              </w:rPr>
            </w:pPr>
            <w:r>
              <w:rPr>
                <w:rFonts w:hint="eastAsia" w:ascii="宋体" w:hAnsi="宋体" w:cs="宋体"/>
                <w:color w:val="auto"/>
                <w:highlight w:val="none"/>
              </w:rPr>
              <w:t>△</w:t>
            </w:r>
            <w:r>
              <w:rPr>
                <w:rFonts w:hint="default"/>
                <w:i/>
                <w:color w:val="auto"/>
                <w:highlight w:val="none"/>
              </w:rPr>
              <w:t>U</w:t>
            </w:r>
          </w:p>
        </w:tc>
        <w:tc>
          <w:tcPr>
            <w:tcW w:w="806" w:type="dxa"/>
            <w:vAlign w:val="center"/>
          </w:tcPr>
          <w:p w14:paraId="1044D457">
            <w:pPr>
              <w:keepNext w:val="0"/>
              <w:keepLines w:val="0"/>
              <w:widowControl w:val="0"/>
              <w:suppressLineNumbers w:val="0"/>
              <w:spacing w:before="0" w:beforeAutospacing="0" w:after="0" w:afterAutospacing="0"/>
              <w:ind w:left="0" w:right="0"/>
              <w:jc w:val="center"/>
              <w:rPr>
                <w:rFonts w:hint="default"/>
                <w:color w:val="auto"/>
                <w:highlight w:val="none"/>
              </w:rPr>
            </w:pPr>
            <w:r>
              <w:rPr>
                <w:rFonts w:hint="eastAsia" w:ascii="宋体" w:hAnsi="宋体" w:cs="宋体"/>
                <w:color w:val="auto"/>
                <w:highlight w:val="none"/>
              </w:rPr>
              <w:t>△</w:t>
            </w:r>
            <w:r>
              <w:rPr>
                <w:rFonts w:hint="default"/>
                <w:i/>
                <w:color w:val="auto"/>
                <w:highlight w:val="none"/>
              </w:rPr>
              <w:t>t</w:t>
            </w:r>
          </w:p>
        </w:tc>
        <w:tc>
          <w:tcPr>
            <w:tcW w:w="805" w:type="dxa"/>
            <w:vAlign w:val="center"/>
          </w:tcPr>
          <w:p w14:paraId="502C9E2A">
            <w:pPr>
              <w:keepNext w:val="0"/>
              <w:keepLines w:val="0"/>
              <w:widowControl w:val="0"/>
              <w:suppressLineNumbers w:val="0"/>
              <w:spacing w:before="0" w:beforeAutospacing="0" w:after="0" w:afterAutospacing="0"/>
              <w:ind w:left="0" w:right="0"/>
              <w:jc w:val="center"/>
              <w:rPr>
                <w:rFonts w:hint="default"/>
                <w:color w:val="auto"/>
                <w:highlight w:val="none"/>
              </w:rPr>
            </w:pPr>
            <w:r>
              <w:rPr>
                <w:rFonts w:hint="eastAsia" w:ascii="宋体" w:hAnsi="宋体" w:cs="宋体"/>
                <w:color w:val="auto"/>
                <w:highlight w:val="none"/>
              </w:rPr>
              <w:t>△</w:t>
            </w:r>
            <w:r>
              <w:rPr>
                <w:rFonts w:hint="default"/>
                <w:i/>
                <w:color w:val="auto"/>
                <w:highlight w:val="none"/>
              </w:rPr>
              <w:t>U</w:t>
            </w:r>
          </w:p>
        </w:tc>
        <w:tc>
          <w:tcPr>
            <w:tcW w:w="806" w:type="dxa"/>
            <w:vAlign w:val="center"/>
          </w:tcPr>
          <w:p w14:paraId="51C6F76B">
            <w:pPr>
              <w:keepNext w:val="0"/>
              <w:keepLines w:val="0"/>
              <w:widowControl w:val="0"/>
              <w:suppressLineNumbers w:val="0"/>
              <w:spacing w:before="0" w:beforeAutospacing="0" w:after="0" w:afterAutospacing="0"/>
              <w:ind w:left="0" w:right="0"/>
              <w:jc w:val="center"/>
              <w:rPr>
                <w:rFonts w:hint="default"/>
                <w:color w:val="auto"/>
                <w:highlight w:val="none"/>
              </w:rPr>
            </w:pPr>
            <w:r>
              <w:rPr>
                <w:rFonts w:hint="eastAsia" w:ascii="宋体" w:hAnsi="宋体" w:cs="宋体"/>
                <w:color w:val="auto"/>
                <w:highlight w:val="none"/>
              </w:rPr>
              <w:t>△</w:t>
            </w:r>
            <w:r>
              <w:rPr>
                <w:rFonts w:hint="default"/>
                <w:i/>
                <w:color w:val="auto"/>
                <w:highlight w:val="none"/>
              </w:rPr>
              <w:t>t</w:t>
            </w:r>
          </w:p>
        </w:tc>
      </w:tr>
      <w:tr w14:paraId="77CB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555" w:type="dxa"/>
            <w:vAlign w:val="center"/>
          </w:tcPr>
          <w:p w14:paraId="34184E6E">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电源电压突降和中断</w:t>
            </w:r>
          </w:p>
        </w:tc>
        <w:tc>
          <w:tcPr>
            <w:tcW w:w="1134" w:type="dxa"/>
            <w:vAlign w:val="center"/>
          </w:tcPr>
          <w:p w14:paraId="2AF6B780">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2</w:t>
            </w:r>
          </w:p>
        </w:tc>
        <w:tc>
          <w:tcPr>
            <w:tcW w:w="3118" w:type="dxa"/>
          </w:tcPr>
          <w:p w14:paraId="6A832240">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重复的阶跃电压变化，其变化幅值为</w:t>
            </w:r>
            <w:r>
              <w:rPr>
                <w:rFonts w:hint="eastAsia" w:ascii="宋体" w:hAnsi="宋体" w:cs="宋体"/>
                <w:color w:val="auto"/>
                <w:highlight w:val="none"/>
              </w:rPr>
              <w:t>△</w:t>
            </w:r>
            <w:r>
              <w:rPr>
                <w:rFonts w:hint="default"/>
                <w:i/>
                <w:color w:val="auto"/>
                <w:highlight w:val="none"/>
              </w:rPr>
              <w:t>U</w:t>
            </w:r>
            <w:r>
              <w:rPr>
                <w:rFonts w:hint="default"/>
                <w:color w:val="auto"/>
                <w:highlight w:val="none"/>
              </w:rPr>
              <w:t>，持续时间为</w:t>
            </w:r>
            <w:r>
              <w:rPr>
                <w:rFonts w:hint="eastAsia" w:ascii="宋体" w:hAnsi="宋体" w:cs="宋体"/>
                <w:color w:val="auto"/>
                <w:highlight w:val="none"/>
              </w:rPr>
              <w:t>△</w:t>
            </w:r>
            <w:r>
              <w:rPr>
                <w:rFonts w:hint="default"/>
                <w:i/>
                <w:color w:val="auto"/>
                <w:highlight w:val="none"/>
              </w:rPr>
              <w:t>t</w:t>
            </w:r>
          </w:p>
        </w:tc>
        <w:tc>
          <w:tcPr>
            <w:tcW w:w="805" w:type="dxa"/>
            <w:vAlign w:val="center"/>
          </w:tcPr>
          <w:p w14:paraId="34905A0F">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60%</w:t>
            </w:r>
          </w:p>
        </w:tc>
        <w:tc>
          <w:tcPr>
            <w:tcW w:w="806" w:type="dxa"/>
            <w:vAlign w:val="center"/>
          </w:tcPr>
          <w:p w14:paraId="72B62C89">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0.5s</w:t>
            </w:r>
          </w:p>
        </w:tc>
        <w:tc>
          <w:tcPr>
            <w:tcW w:w="805" w:type="dxa"/>
            <w:vAlign w:val="center"/>
          </w:tcPr>
          <w:p w14:paraId="1761D75F">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100%</w:t>
            </w:r>
          </w:p>
        </w:tc>
        <w:tc>
          <w:tcPr>
            <w:tcW w:w="806" w:type="dxa"/>
            <w:vAlign w:val="center"/>
          </w:tcPr>
          <w:p w14:paraId="1D8784EC">
            <w:pPr>
              <w:keepNext w:val="0"/>
              <w:keepLines w:val="0"/>
              <w:widowControl w:val="0"/>
              <w:suppressLineNumbers w:val="0"/>
              <w:spacing w:before="0" w:beforeAutospacing="0" w:after="0" w:afterAutospacing="0"/>
              <w:ind w:left="0" w:right="0"/>
              <w:jc w:val="center"/>
              <w:rPr>
                <w:rFonts w:hint="default"/>
                <w:color w:val="auto"/>
                <w:highlight w:val="none"/>
              </w:rPr>
            </w:pPr>
            <w:r>
              <w:rPr>
                <w:rFonts w:hint="default"/>
                <w:color w:val="auto"/>
                <w:highlight w:val="none"/>
              </w:rPr>
              <w:t>0.5s</w:t>
            </w:r>
          </w:p>
        </w:tc>
      </w:tr>
      <w:tr w14:paraId="420A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9" w:type="dxa"/>
            <w:gridSpan w:val="7"/>
            <w:vAlign w:val="center"/>
          </w:tcPr>
          <w:p w14:paraId="271A7018">
            <w:pPr>
              <w:keepNext w:val="0"/>
              <w:keepLines w:val="0"/>
              <w:widowControl w:val="0"/>
              <w:suppressLineNumbers w:val="0"/>
              <w:spacing w:before="0" w:beforeAutospacing="0" w:after="0" w:afterAutospacing="0"/>
              <w:ind w:left="0" w:right="0"/>
              <w:jc w:val="left"/>
              <w:rPr>
                <w:rFonts w:hint="default"/>
                <w:color w:val="auto"/>
                <w:highlight w:val="none"/>
              </w:rPr>
            </w:pPr>
            <w:r>
              <w:rPr>
                <w:rFonts w:hint="default"/>
                <w:color w:val="auto"/>
                <w:highlight w:val="none"/>
              </w:rPr>
              <w:t>注：级别说明：</w:t>
            </w:r>
          </w:p>
          <w:p w14:paraId="16B0F390">
            <w:pPr>
              <w:pStyle w:val="28"/>
              <w:keepNext w:val="0"/>
              <w:keepLines w:val="0"/>
              <w:widowControl w:val="0"/>
              <w:suppressLineNumbers w:val="0"/>
              <w:spacing w:before="0" w:beforeAutospacing="0" w:after="0" w:afterAutospacing="0"/>
              <w:ind w:left="420" w:right="0" w:firstLine="0" w:firstLineChars="0"/>
              <w:jc w:val="left"/>
              <w:rPr>
                <w:rFonts w:hint="default"/>
                <w:color w:val="auto"/>
                <w:highlight w:val="none"/>
              </w:rPr>
            </w:pPr>
            <w:r>
              <w:rPr>
                <w:rFonts w:hint="default"/>
                <w:color w:val="auto"/>
                <w:highlight w:val="none"/>
              </w:rPr>
              <w:t>1级  具有专用电源（例如不间断电源系统或蓄电池稳压直流电源）的设备；</w:t>
            </w:r>
          </w:p>
          <w:p w14:paraId="4881BFA1">
            <w:pPr>
              <w:pStyle w:val="28"/>
              <w:keepNext w:val="0"/>
              <w:keepLines w:val="0"/>
              <w:widowControl w:val="0"/>
              <w:suppressLineNumbers w:val="0"/>
              <w:spacing w:before="0" w:beforeAutospacing="0" w:after="0" w:afterAutospacing="0"/>
              <w:ind w:left="420" w:right="0" w:firstLine="0" w:firstLineChars="0"/>
              <w:jc w:val="left"/>
              <w:rPr>
                <w:rFonts w:hint="default"/>
                <w:color w:val="auto"/>
                <w:highlight w:val="none"/>
              </w:rPr>
            </w:pPr>
            <w:r>
              <w:rPr>
                <w:rFonts w:hint="default"/>
                <w:color w:val="auto"/>
                <w:highlight w:val="none"/>
              </w:rPr>
              <w:t>2级  直接和公用电网、或工厂与电厂的低压供电网连接的设备。</w:t>
            </w:r>
          </w:p>
        </w:tc>
      </w:tr>
    </w:tbl>
    <w:p w14:paraId="15EF353B">
      <w:pPr>
        <w:spacing w:line="360" w:lineRule="auto"/>
        <w:ind w:firstLine="422"/>
        <w:rPr>
          <w:rFonts w:hint="eastAsia"/>
          <w:b/>
          <w:bCs/>
          <w:lang w:val="en-US" w:eastAsia="zh-CN"/>
        </w:rPr>
      </w:pPr>
    </w:p>
    <w:p w14:paraId="40D26104">
      <w:pPr>
        <w:spacing w:line="360" w:lineRule="auto"/>
        <w:ind w:firstLine="422"/>
        <w:rPr>
          <w:rFonts w:hint="eastAsia"/>
          <w:b/>
          <w:bCs/>
          <w:lang w:val="en-US" w:eastAsia="zh-CN"/>
        </w:rPr>
      </w:pPr>
      <w:r>
        <w:rPr>
          <w:rFonts w:hint="eastAsia"/>
          <w:b/>
          <w:bCs/>
          <w:lang w:val="en-US" w:eastAsia="zh-CN"/>
        </w:rPr>
        <w:t>5.5.8 机械振动性能</w:t>
      </w:r>
    </w:p>
    <w:p w14:paraId="25D9863B">
      <w:pPr>
        <w:spacing w:line="360" w:lineRule="auto"/>
        <w:ind w:left="283" w:firstLine="284"/>
        <w:rPr>
          <w:lang w:val="zh-CN"/>
        </w:rPr>
      </w:pPr>
      <w:r>
        <w:rPr>
          <w:lang w:val="zh-CN"/>
        </w:rPr>
        <w:t>机械影响因素中场所类型和运输条件，以及有关正弦稳态振动、冲击、自由跌落的参数等级详见GB/T 15153.2-2000中第4章规定。</w:t>
      </w:r>
    </w:p>
    <w:p w14:paraId="43DB7B46">
      <w:pPr>
        <w:spacing w:line="360" w:lineRule="auto"/>
        <w:ind w:firstLine="422"/>
        <w:rPr>
          <w:rFonts w:hint="eastAsia"/>
          <w:b/>
          <w:bCs/>
          <w:lang w:val="en-US" w:eastAsia="zh-CN"/>
        </w:rPr>
      </w:pPr>
    </w:p>
    <w:p w14:paraId="67CF301D">
      <w:pPr>
        <w:spacing w:line="360" w:lineRule="auto"/>
        <w:ind w:firstLine="422"/>
        <w:rPr>
          <w:rFonts w:hint="eastAsia"/>
          <w:b/>
          <w:bCs/>
          <w:lang w:val="en-US" w:eastAsia="zh-CN"/>
        </w:rPr>
      </w:pPr>
      <w:r>
        <w:rPr>
          <w:rFonts w:hint="eastAsia"/>
          <w:b/>
          <w:bCs/>
          <w:lang w:val="en-US" w:eastAsia="zh-CN"/>
        </w:rPr>
        <w:t>5.5.9 连续通电试验</w:t>
      </w:r>
    </w:p>
    <w:p w14:paraId="23E9D9D7">
      <w:pPr>
        <w:spacing w:line="360" w:lineRule="auto"/>
        <w:ind w:firstLine="420" w:firstLineChars="200"/>
        <w:rPr>
          <w:lang w:val="zh-CN"/>
        </w:rPr>
      </w:pPr>
      <w:r>
        <w:rPr>
          <w:lang w:val="zh-CN"/>
        </w:rPr>
        <w:t>设备完成调试后，在出厂前进行不少于72小时连续稳定的通电试验，考核其稳定性，交直流电压为额定值，正常运行负载条件下，各项功能和性能均应符合5.4、5.5的要求。</w:t>
      </w:r>
    </w:p>
    <w:p w14:paraId="2006D5C8">
      <w:pPr>
        <w:spacing w:line="360" w:lineRule="auto"/>
        <w:ind w:firstLine="422"/>
        <w:rPr>
          <w:rFonts w:hint="eastAsia"/>
          <w:b/>
          <w:bCs/>
          <w:lang w:val="en-US" w:eastAsia="zh-CN"/>
        </w:rPr>
      </w:pPr>
    </w:p>
    <w:p w14:paraId="405E7D69">
      <w:pPr>
        <w:spacing w:line="360" w:lineRule="auto"/>
        <w:ind w:firstLine="422"/>
        <w:rPr>
          <w:rFonts w:hint="eastAsia"/>
          <w:b/>
          <w:bCs/>
          <w:lang w:val="en-US" w:eastAsia="zh-CN"/>
        </w:rPr>
      </w:pPr>
      <w:r>
        <w:rPr>
          <w:rFonts w:hint="eastAsia"/>
          <w:b/>
          <w:bCs/>
          <w:lang w:val="en-US" w:eastAsia="zh-CN"/>
        </w:rPr>
        <w:t>5.5.10 可靠性</w:t>
      </w:r>
    </w:p>
    <w:p w14:paraId="48D4452F">
      <w:pPr>
        <w:spacing w:line="360" w:lineRule="auto"/>
        <w:ind w:firstLine="420" w:firstLineChars="200"/>
        <w:rPr>
          <w:rFonts w:hint="default"/>
          <w:lang w:val="en-US" w:eastAsia="zh-CN"/>
        </w:rPr>
      </w:pPr>
      <w:r>
        <w:rPr>
          <w:rFonts w:hint="eastAsia"/>
        </w:rPr>
        <w:t>软件系统可用率≥99.9%，装置平均无故障时间MTBF≥20000小时</w:t>
      </w:r>
      <w:r>
        <w:t>。</w:t>
      </w:r>
    </w:p>
    <w:p w14:paraId="3278C843">
      <w:pPr>
        <w:spacing w:line="360" w:lineRule="auto"/>
        <w:rPr>
          <w:rFonts w:hint="eastAsia" w:ascii="宋体" w:hAnsi="宋体" w:eastAsia="宋体" w:cs="宋体"/>
          <w:b/>
          <w:bCs/>
          <w:color w:val="auto"/>
          <w:highlight w:val="none"/>
        </w:rPr>
      </w:pPr>
    </w:p>
    <w:p w14:paraId="1FEBF7BC">
      <w:pPr>
        <w:spacing w:line="360" w:lineRule="auto"/>
        <w:ind w:firstLine="422"/>
        <w:rPr>
          <w:rFonts w:ascii="宋体" w:hAnsi="宋体" w:eastAsia="宋体" w:cs="宋体"/>
          <w:b/>
          <w:bCs/>
          <w:color w:val="auto"/>
          <w:highlight w:val="none"/>
        </w:rPr>
      </w:pPr>
      <w:r>
        <w:rPr>
          <w:rFonts w:hint="eastAsia" w:ascii="宋体" w:hAnsi="宋体" w:eastAsia="宋体" w:cs="宋体"/>
          <w:b/>
          <w:bCs/>
          <w:color w:val="auto"/>
          <w:highlight w:val="none"/>
        </w:rPr>
        <w:t>6  产品对环境的影响</w:t>
      </w:r>
    </w:p>
    <w:p w14:paraId="7334724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6.1.坚持以资源节约型和环境友好型的原则，同时应考虑降低投资成本和提高运行经济性</w:t>
      </w:r>
    </w:p>
    <w:p w14:paraId="5E4A32C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6.2.优先选用损耗低的产品。</w:t>
      </w:r>
    </w:p>
    <w:p w14:paraId="4303B233">
      <w:pPr>
        <w:spacing w:line="360" w:lineRule="auto"/>
        <w:ind w:firstLine="420" w:firstLineChars="200"/>
        <w:rPr>
          <w:rFonts w:ascii="宋体" w:hAnsi="宋体" w:eastAsia="宋体" w:cs="宋体"/>
          <w:color w:val="auto"/>
          <w:highlight w:val="none"/>
        </w:rPr>
      </w:pPr>
    </w:p>
    <w:p w14:paraId="7C8EE7F6">
      <w:pPr>
        <w:spacing w:line="360" w:lineRule="auto"/>
        <w:ind w:firstLine="422"/>
        <w:rPr>
          <w:rFonts w:ascii="宋体" w:hAnsi="宋体" w:eastAsia="宋体" w:cs="宋体"/>
          <w:b/>
          <w:bCs/>
          <w:color w:val="auto"/>
          <w:highlight w:val="none"/>
        </w:rPr>
      </w:pPr>
      <w:r>
        <w:rPr>
          <w:rFonts w:hint="eastAsia" w:ascii="宋体" w:hAnsi="宋体" w:eastAsia="宋体" w:cs="宋体"/>
          <w:b/>
          <w:bCs/>
          <w:color w:val="auto"/>
          <w:highlight w:val="none"/>
        </w:rPr>
        <w:t>7  企业VI标识</w:t>
      </w:r>
    </w:p>
    <w:p w14:paraId="5F56D65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7.1南网标识：设备外立面上应有统一的南方电网公司企业VI标识，并符合最新版《中国南方</w:t>
      </w:r>
      <w:bookmarkStart w:id="66" w:name="_Toc24692"/>
      <w:r>
        <w:rPr>
          <w:rFonts w:hint="eastAsia" w:ascii="宋体" w:hAnsi="宋体" w:eastAsia="宋体" w:cs="宋体"/>
          <w:color w:val="auto"/>
          <w:highlight w:val="none"/>
        </w:rPr>
        <w:t>电网视觉识别系统管理手册》的要求。</w:t>
      </w:r>
      <w:bookmarkEnd w:id="66"/>
    </w:p>
    <w:p w14:paraId="24346B4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7.2标识的内容：中国南方电网标志、“南方电网大数据服务有限公司”中英文名称。</w:t>
      </w:r>
    </w:p>
    <w:p w14:paraId="36E7FF1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7.3标牌颜色：标识采用企业标准色C100 M69 YO K38, 背景采用白色。</w:t>
      </w:r>
    </w:p>
    <w:p w14:paraId="54B5D52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7.4材质：选用厚度为1mm的拉丝不锈钢板，工艺为表面文字蚀刻、烤漆入色。</w:t>
      </w:r>
    </w:p>
    <w:p w14:paraId="3B368C7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7.5标识位置：在设备外立面正面醒目位置，南网标识牌的图案、色泽、造型按最新版《南方电网公司视觉识别系统管理手册》要求，按所需比例修正。</w:t>
      </w:r>
    </w:p>
    <w:p w14:paraId="7007D4EF">
      <w:pPr>
        <w:spacing w:line="360" w:lineRule="auto"/>
        <w:ind w:firstLine="420" w:firstLineChars="200"/>
        <w:rPr>
          <w:rFonts w:ascii="宋体" w:hAnsi="宋体" w:eastAsia="宋体" w:cs="宋体"/>
          <w:color w:val="auto"/>
          <w:highlight w:val="none"/>
        </w:rPr>
      </w:pPr>
    </w:p>
    <w:p w14:paraId="6AE8B332">
      <w:pPr>
        <w:spacing w:before="69" w:line="360" w:lineRule="auto"/>
        <w:ind w:firstLine="452"/>
        <w:outlineLvl w:val="0"/>
        <w:rPr>
          <w:rFonts w:ascii="宋体" w:hAnsi="宋体" w:eastAsia="宋体" w:cs="宋体"/>
          <w:color w:val="auto"/>
          <w:highlight w:val="none"/>
        </w:rPr>
      </w:pPr>
      <w:bookmarkStart w:id="67" w:name="_Toc3357"/>
      <w:r>
        <w:rPr>
          <w:rFonts w:hint="eastAsia" w:ascii="宋体" w:hAnsi="宋体" w:eastAsia="宋体" w:cs="宋体"/>
          <w:b/>
          <w:bCs/>
          <w:color w:val="auto"/>
          <w:spacing w:val="15"/>
          <w:highlight w:val="none"/>
        </w:rPr>
        <w:t>8  技术文件要求</w:t>
      </w:r>
      <w:bookmarkEnd w:id="67"/>
    </w:p>
    <w:p w14:paraId="399FE1A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8.1.投标方提供的图纸、资料、文件应使用国家法定单位制即国际单位制，语言为中文。</w:t>
      </w:r>
    </w:p>
    <w:p w14:paraId="1D1982B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8.2.资料的组织结构清晰、逻辑性强。资料内容耍正确、准确、一致、清晰、完整，满足工程要求。</w:t>
      </w:r>
    </w:p>
    <w:p w14:paraId="15C54C6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8.3.对于其它没有列入合同技术资料清单，却是工程所必需的文件和资料，一经发现，投标方也应及时免费提供；如后续设备有改进时，投标方应及时免费提供新的技术资料。</w:t>
      </w:r>
    </w:p>
    <w:p w14:paraId="5DCEA87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8.4.投标方应至少提供包括原理图、安装图、产品说明书、合格证、出厂报告、配套检验软件电子版、装箱单、货运单及其他相应技术资料。</w:t>
      </w:r>
    </w:p>
    <w:p w14:paraId="6816814C">
      <w:pPr>
        <w:spacing w:line="360" w:lineRule="auto"/>
        <w:ind w:firstLine="420" w:firstLineChars="200"/>
        <w:rPr>
          <w:rFonts w:ascii="宋体" w:hAnsi="宋体" w:eastAsia="宋体" w:cs="宋体"/>
          <w:color w:val="auto"/>
          <w:highlight w:val="none"/>
        </w:rPr>
      </w:pPr>
    </w:p>
    <w:p w14:paraId="57070A0F">
      <w:pPr>
        <w:spacing w:before="69" w:line="360" w:lineRule="auto"/>
        <w:ind w:firstLine="452"/>
        <w:outlineLvl w:val="0"/>
        <w:rPr>
          <w:rFonts w:hint="default" w:ascii="宋体" w:hAnsi="宋体" w:eastAsia="宋体" w:cs="宋体"/>
          <w:b/>
          <w:bCs/>
          <w:color w:val="auto"/>
          <w:spacing w:val="15"/>
          <w:highlight w:val="none"/>
        </w:rPr>
      </w:pPr>
      <w:bookmarkStart w:id="68" w:name="_Toc9100"/>
      <w:bookmarkStart w:id="69" w:name="_Toc32427"/>
      <w:r>
        <w:rPr>
          <w:rFonts w:hint="eastAsia" w:ascii="宋体" w:hAnsi="宋体" w:eastAsia="宋体" w:cs="宋体"/>
          <w:b/>
          <w:bCs/>
          <w:color w:val="auto"/>
          <w:spacing w:val="3"/>
          <w:highlight w:val="none"/>
        </w:rPr>
        <w:t xml:space="preserve">9  </w:t>
      </w:r>
      <w:r>
        <w:rPr>
          <w:rFonts w:hint="default" w:ascii="宋体" w:hAnsi="宋体" w:eastAsia="宋体" w:cs="宋体"/>
          <w:b/>
          <w:bCs/>
          <w:color w:val="auto"/>
          <w:spacing w:val="15"/>
          <w:highlight w:val="none"/>
        </w:rPr>
        <w:t>技术服务、工厂检验和监造及技术培训</w:t>
      </w:r>
      <w:bookmarkEnd w:id="68"/>
      <w:bookmarkEnd w:id="69"/>
    </w:p>
    <w:p w14:paraId="4A29D5A3">
      <w:pPr>
        <w:pStyle w:val="5"/>
        <w:numPr>
          <w:ilvl w:val="1"/>
          <w:numId w:val="7"/>
        </w:numPr>
        <w:spacing w:before="0" w:after="0" w:line="360" w:lineRule="auto"/>
        <w:ind w:left="992" w:leftChars="0" w:hanging="567" w:firstLineChars="0"/>
        <w:rPr>
          <w:rFonts w:hint="default" w:ascii="Times New Roman" w:hAnsi="Times New Roman" w:eastAsia="黑体" w:cs="Times New Roman"/>
          <w:b w:val="0"/>
          <w:bCs w:val="0"/>
          <w:color w:val="auto"/>
          <w:sz w:val="21"/>
          <w:szCs w:val="21"/>
          <w:highlight w:val="none"/>
        </w:rPr>
      </w:pPr>
      <w:bookmarkStart w:id="70" w:name="_Toc17956"/>
      <w:bookmarkStart w:id="71" w:name="_Toc29189"/>
      <w:r>
        <w:rPr>
          <w:rFonts w:hint="default" w:ascii="Times New Roman" w:hAnsi="Times New Roman" w:eastAsia="黑体" w:cs="Times New Roman"/>
          <w:b w:val="0"/>
          <w:bCs w:val="0"/>
          <w:color w:val="auto"/>
          <w:sz w:val="21"/>
          <w:szCs w:val="21"/>
          <w:highlight w:val="none"/>
        </w:rPr>
        <w:t>技术服务与联络</w:t>
      </w:r>
      <w:bookmarkEnd w:id="70"/>
      <w:bookmarkEnd w:id="71"/>
    </w:p>
    <w:p w14:paraId="4DFD7C5A">
      <w:pPr>
        <w:numPr>
          <w:ilvl w:val="0"/>
          <w:numId w:val="0"/>
        </w:num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9.1.1</w:t>
      </w:r>
      <w:r>
        <w:rPr>
          <w:rFonts w:hint="eastAsia" w:ascii="宋体" w:hAnsi="宋体" w:eastAsia="宋体" w:cs="宋体"/>
          <w:color w:val="auto"/>
          <w:highlight w:val="none"/>
        </w:rPr>
        <w:t>.</w:t>
      </w:r>
      <w:r>
        <w:rPr>
          <w:rFonts w:hint="default" w:ascii="Times New Roman" w:hAnsi="Times New Roman" w:cs="Times New Roman"/>
          <w:color w:val="auto"/>
          <w:szCs w:val="21"/>
          <w:highlight w:val="none"/>
        </w:rPr>
        <w:t>投标方应指派合格的有经验的技术人员和试验工程师，对合同设备的安装和现场试验等做好技术</w:t>
      </w:r>
      <w:r>
        <w:rPr>
          <w:rFonts w:hint="eastAsia" w:ascii="Times New Roman" w:hAnsi="Times New Roman" w:eastAsia="宋体" w:cs="Times New Roman"/>
          <w:color w:val="auto"/>
          <w:szCs w:val="21"/>
          <w:highlight w:val="none"/>
          <w:lang w:val="en-US" w:eastAsia="zh-CN"/>
        </w:rPr>
        <w:t>支持</w:t>
      </w:r>
      <w:r>
        <w:rPr>
          <w:rFonts w:hint="default" w:ascii="Times New Roman" w:hAnsi="Times New Roman" w:cs="Times New Roman"/>
          <w:color w:val="auto"/>
          <w:szCs w:val="21"/>
          <w:highlight w:val="none"/>
        </w:rPr>
        <w:t>。投标方监管人员应对所有</w:t>
      </w:r>
      <w:r>
        <w:rPr>
          <w:rFonts w:hint="eastAsia" w:ascii="Times New Roman" w:hAnsi="Times New Roman" w:eastAsia="宋体" w:cs="Times New Roman"/>
          <w:color w:val="auto"/>
          <w:szCs w:val="21"/>
          <w:highlight w:val="none"/>
          <w:lang w:val="en-US" w:eastAsia="zh-CN"/>
        </w:rPr>
        <w:t>数字能源管控装置</w:t>
      </w:r>
      <w:r>
        <w:rPr>
          <w:rFonts w:hint="default" w:ascii="Times New Roman" w:hAnsi="Times New Roman" w:cs="Times New Roman"/>
          <w:color w:val="auto"/>
          <w:szCs w:val="21"/>
          <w:highlight w:val="none"/>
        </w:rPr>
        <w:t>装置</w:t>
      </w:r>
      <w:r>
        <w:rPr>
          <w:rFonts w:hint="eastAsia" w:ascii="Times New Roman" w:hAnsi="Times New Roman" w:eastAsia="宋体" w:cs="Times New Roman"/>
          <w:color w:val="auto"/>
          <w:szCs w:val="21"/>
          <w:highlight w:val="none"/>
          <w:lang w:val="en-US" w:eastAsia="zh-CN"/>
        </w:rPr>
        <w:t>能够在项目现场正常运行</w:t>
      </w:r>
      <w:r>
        <w:rPr>
          <w:rFonts w:hint="default" w:ascii="Times New Roman" w:hAnsi="Times New Roman" w:cs="Times New Roman"/>
          <w:color w:val="auto"/>
          <w:szCs w:val="21"/>
          <w:highlight w:val="none"/>
        </w:rPr>
        <w:t>。</w:t>
      </w:r>
    </w:p>
    <w:p w14:paraId="6C001167">
      <w:pPr>
        <w:numPr>
          <w:ilvl w:val="0"/>
          <w:numId w:val="0"/>
        </w:numPr>
        <w:spacing w:line="360" w:lineRule="auto"/>
        <w:ind w:firstLine="420" w:firstLineChars="200"/>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9.1.2</w:t>
      </w:r>
      <w:r>
        <w:rPr>
          <w:rFonts w:hint="eastAsia" w:ascii="Times New Roman" w:hAnsi="Times New Roman" w:cs="Times New Roman"/>
          <w:color w:val="auto"/>
          <w:szCs w:val="21"/>
          <w:highlight w:val="none"/>
        </w:rPr>
        <w:t>.</w:t>
      </w:r>
      <w:r>
        <w:rPr>
          <w:rFonts w:hint="default" w:ascii="Times New Roman" w:hAnsi="Times New Roman" w:cs="Times New Roman"/>
          <w:color w:val="auto"/>
          <w:szCs w:val="21"/>
          <w:highlight w:val="none"/>
        </w:rPr>
        <w:t>投标方获得本项目的参与权后，应就本项目提供详尽的代工生产及配套服务方案，并组织由招标方外部专家参与的方案审查。</w:t>
      </w:r>
    </w:p>
    <w:p w14:paraId="7ADEDE02">
      <w:pPr>
        <w:numPr>
          <w:ilvl w:val="0"/>
          <w:numId w:val="0"/>
        </w:numPr>
        <w:spacing w:line="360" w:lineRule="auto"/>
        <w:ind w:firstLine="420" w:firstLineChars="200"/>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9.1.3</w:t>
      </w:r>
      <w:r>
        <w:rPr>
          <w:rFonts w:hint="eastAsia"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产品供货周期要满足招标方订单要求。投标人需按照订单合同规定的供货时间要求，供货计划要具备产品生产交付能力。投标人对提供的供货计划的完整性、科学合理性、及时性、供货保障措施的有效性负责。</w:t>
      </w:r>
    </w:p>
    <w:p w14:paraId="6FFB733A">
      <w:pPr>
        <w:numPr>
          <w:ilvl w:val="0"/>
          <w:numId w:val="0"/>
        </w:numPr>
        <w:spacing w:line="360" w:lineRule="auto"/>
        <w:ind w:firstLine="420" w:firstLineChars="200"/>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9.1.4</w:t>
      </w:r>
      <w:r>
        <w:rPr>
          <w:rFonts w:hint="eastAsia" w:ascii="Times New Roman" w:hAnsi="Times New Roman" w:cs="Times New Roman"/>
          <w:color w:val="auto"/>
          <w:szCs w:val="21"/>
          <w:highlight w:val="none"/>
        </w:rPr>
        <w:t>.</w:t>
      </w:r>
      <w:r>
        <w:rPr>
          <w:rFonts w:hint="default" w:ascii="Times New Roman" w:hAnsi="Times New Roman" w:cs="Times New Roman"/>
          <w:color w:val="auto"/>
          <w:szCs w:val="21"/>
          <w:highlight w:val="none"/>
        </w:rPr>
        <w:t>投标方</w:t>
      </w:r>
      <w:r>
        <w:rPr>
          <w:rFonts w:hint="eastAsia" w:ascii="Times New Roman" w:hAnsi="Times New Roman" w:cs="Times New Roman"/>
          <w:color w:val="auto"/>
          <w:szCs w:val="21"/>
          <w:highlight w:val="none"/>
          <w:lang w:val="en-US" w:eastAsia="zh-CN"/>
        </w:rPr>
        <w:t>对运行中的数字能源管控装置装置出线的问题进行限时处理。响应时间应在不超过24小时内到达现场，具备一定的现场服务措施和本地化服务人员。在问题处理过程中需保证业主正常生产不受影响，一般问题需要在7个工作日内出具分析报告。</w:t>
      </w:r>
    </w:p>
    <w:p w14:paraId="08E76B56">
      <w:pPr>
        <w:pStyle w:val="5"/>
        <w:numPr>
          <w:ilvl w:val="1"/>
          <w:numId w:val="7"/>
        </w:numPr>
        <w:spacing w:before="0" w:after="0" w:line="360" w:lineRule="auto"/>
        <w:ind w:left="992" w:leftChars="0" w:hanging="567" w:firstLineChars="0"/>
        <w:rPr>
          <w:rFonts w:hint="default" w:ascii="Times New Roman" w:hAnsi="Times New Roman" w:eastAsia="黑体" w:cs="Times New Roman"/>
          <w:b w:val="0"/>
          <w:bCs w:val="0"/>
          <w:color w:val="auto"/>
          <w:sz w:val="21"/>
          <w:szCs w:val="21"/>
          <w:highlight w:val="none"/>
        </w:rPr>
      </w:pPr>
      <w:bookmarkStart w:id="72" w:name="_Toc14323"/>
      <w:bookmarkStart w:id="73" w:name="_Toc9754"/>
      <w:r>
        <w:rPr>
          <w:rFonts w:hint="default" w:ascii="Times New Roman" w:hAnsi="Times New Roman" w:eastAsia="黑体" w:cs="Times New Roman"/>
          <w:b w:val="0"/>
          <w:bCs w:val="0"/>
          <w:color w:val="auto"/>
          <w:sz w:val="21"/>
          <w:szCs w:val="21"/>
          <w:highlight w:val="none"/>
        </w:rPr>
        <w:t>工厂检验和监造</w:t>
      </w:r>
      <w:bookmarkEnd w:id="72"/>
      <w:bookmarkEnd w:id="73"/>
    </w:p>
    <w:p w14:paraId="7550A27A">
      <w:pPr>
        <w:numPr>
          <w:ilvl w:val="0"/>
          <w:numId w:val="0"/>
        </w:num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9.2.1</w:t>
      </w:r>
      <w:r>
        <w:rPr>
          <w:rFonts w:hint="eastAsia" w:ascii="宋体" w:hAnsi="宋体" w:eastAsia="宋体" w:cs="宋体"/>
          <w:color w:val="auto"/>
          <w:highlight w:val="none"/>
        </w:rPr>
        <w:t>.</w:t>
      </w:r>
      <w:r>
        <w:rPr>
          <w:rFonts w:hint="default" w:ascii="Times New Roman" w:hAnsi="Times New Roman" w:cs="Times New Roman"/>
          <w:color w:val="auto"/>
          <w:szCs w:val="21"/>
          <w:highlight w:val="none"/>
        </w:rPr>
        <w:t>投标方必须在签订合同后10天之内以书面形式提供所供设备的</w:t>
      </w:r>
      <w:r>
        <w:rPr>
          <w:rFonts w:hint="eastAsia" w:ascii="Times New Roman" w:hAnsi="Times New Roman" w:eastAsia="宋体" w:cs="Times New Roman"/>
          <w:color w:val="auto"/>
          <w:szCs w:val="21"/>
          <w:highlight w:val="none"/>
          <w:lang w:val="en-US" w:eastAsia="zh-CN"/>
        </w:rPr>
        <w:t>生产</w:t>
      </w:r>
      <w:r>
        <w:rPr>
          <w:rFonts w:hint="default" w:ascii="Times New Roman" w:hAnsi="Times New Roman" w:cs="Times New Roman"/>
          <w:color w:val="auto"/>
          <w:szCs w:val="21"/>
          <w:highlight w:val="none"/>
        </w:rPr>
        <w:t>制造进度表</w:t>
      </w:r>
      <w:r>
        <w:rPr>
          <w:rFonts w:hint="eastAsia" w:ascii="Times New Roman" w:hAnsi="Times New Roman" w:eastAsia="宋体" w:cs="Times New Roman"/>
          <w:color w:val="auto"/>
          <w:szCs w:val="21"/>
          <w:highlight w:val="none"/>
          <w:lang w:val="en-US" w:eastAsia="zh-CN"/>
        </w:rPr>
        <w:t>和产品年度生产计划</w:t>
      </w:r>
      <w:r>
        <w:rPr>
          <w:rFonts w:hint="default" w:ascii="Times New Roman" w:hAnsi="Times New Roman" w:cs="Times New Roman"/>
          <w:color w:val="auto"/>
          <w:szCs w:val="21"/>
          <w:highlight w:val="none"/>
        </w:rPr>
        <w:t>。按照DL/T</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586-1995《电力设备用户监造导则》的要求，招标方可随时进厂监造。监造和检验人员有权了解生产过程、查询质量记录和参加各种试验。</w:t>
      </w:r>
    </w:p>
    <w:p w14:paraId="0D88C420">
      <w:pPr>
        <w:numPr>
          <w:ilvl w:val="0"/>
          <w:numId w:val="0"/>
        </w:num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9.2.2</w:t>
      </w:r>
      <w:r>
        <w:rPr>
          <w:rFonts w:hint="eastAsia" w:ascii="宋体" w:hAnsi="宋体" w:eastAsia="宋体" w:cs="宋体"/>
          <w:color w:val="auto"/>
          <w:highlight w:val="none"/>
        </w:rPr>
        <w:t>.</w:t>
      </w:r>
      <w:r>
        <w:rPr>
          <w:rFonts w:hint="default" w:ascii="Times New Roman" w:hAnsi="Times New Roman" w:cs="Times New Roman"/>
          <w:color w:val="auto"/>
          <w:szCs w:val="21"/>
          <w:highlight w:val="none"/>
        </w:rPr>
        <w:t>监造范围包括设备的设计、加工、制造、储运、材料采购、组装和试验等重要过程，关键部件的质量控制，进行见证、检验和审核。</w:t>
      </w:r>
    </w:p>
    <w:p w14:paraId="52FD9373">
      <w:pPr>
        <w:numPr>
          <w:ilvl w:val="0"/>
          <w:numId w:val="0"/>
        </w:num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9.2.3</w:t>
      </w:r>
      <w:r>
        <w:rPr>
          <w:rFonts w:hint="eastAsia" w:ascii="宋体" w:hAnsi="宋体" w:eastAsia="宋体" w:cs="宋体"/>
          <w:color w:val="auto"/>
          <w:highlight w:val="none"/>
        </w:rPr>
        <w:t>.</w:t>
      </w:r>
      <w:r>
        <w:rPr>
          <w:rFonts w:hint="default" w:ascii="Times New Roman" w:hAnsi="Times New Roman" w:cs="Times New Roman"/>
          <w:color w:val="auto"/>
          <w:szCs w:val="21"/>
          <w:highlight w:val="none"/>
        </w:rPr>
        <w:t>运行单位的工厂监造和检验工作，不减少投标方对产品的质量责任，监造和检验人员不签署任何质量证明。</w:t>
      </w:r>
    </w:p>
    <w:p w14:paraId="57B0C33E">
      <w:pPr>
        <w:numPr>
          <w:ilvl w:val="0"/>
          <w:numId w:val="0"/>
        </w:numPr>
        <w:spacing w:line="360" w:lineRule="auto"/>
        <w:ind w:firstLine="420" w:firstLineChars="200"/>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9.2.4</w:t>
      </w:r>
      <w:r>
        <w:rPr>
          <w:rFonts w:hint="eastAsia" w:ascii="宋体" w:hAnsi="宋体" w:eastAsia="宋体" w:cs="宋体"/>
          <w:color w:val="auto"/>
          <w:highlight w:val="none"/>
        </w:rPr>
        <w:t>.</w:t>
      </w:r>
      <w:r>
        <w:rPr>
          <w:rFonts w:hint="default" w:ascii="Times New Roman" w:hAnsi="Times New Roman" w:cs="Times New Roman"/>
          <w:color w:val="auto"/>
          <w:szCs w:val="21"/>
          <w:highlight w:val="none"/>
        </w:rPr>
        <w:t>投标方应在出厂前提前至少5个工作日书面通知招标方进行出厂试验监督</w:t>
      </w:r>
      <w:r>
        <w:rPr>
          <w:rFonts w:hint="eastAsia" w:ascii="Times New Roman" w:hAnsi="Times New Roman" w:eastAsia="宋体" w:cs="Times New Roman"/>
          <w:color w:val="auto"/>
          <w:szCs w:val="21"/>
          <w:highlight w:val="none"/>
          <w:lang w:eastAsia="zh-CN"/>
        </w:rPr>
        <w:t>。</w:t>
      </w:r>
    </w:p>
    <w:p w14:paraId="160A505A">
      <w:pPr>
        <w:numPr>
          <w:ilvl w:val="0"/>
          <w:numId w:val="0"/>
        </w:numPr>
        <w:spacing w:line="360" w:lineRule="auto"/>
        <w:ind w:firstLine="420" w:firstLineChars="200"/>
        <w:rPr>
          <w:rFonts w:hint="eastAsia" w:ascii="Times New Roman" w:hAnsi="Times New Roman" w:cs="Times New Roman"/>
          <w:color w:val="auto"/>
          <w:szCs w:val="21"/>
          <w:highlight w:val="none"/>
          <w:lang w:eastAsia="zh-CN"/>
        </w:rPr>
      </w:pPr>
      <w:r>
        <w:rPr>
          <w:rFonts w:hint="eastAsia" w:ascii="Times New Roman" w:hAnsi="Times New Roman" w:cs="Times New Roman"/>
          <w:color w:val="auto"/>
          <w:szCs w:val="21"/>
          <w:highlight w:val="none"/>
          <w:lang w:val="en-US" w:eastAsia="zh-CN"/>
        </w:rPr>
        <w:t>9.2.5</w:t>
      </w:r>
      <w:r>
        <w:rPr>
          <w:rFonts w:hint="eastAsia" w:ascii="Times New Roman" w:hAnsi="Times New Roman" w:cs="Times New Roman"/>
          <w:color w:val="auto"/>
          <w:szCs w:val="21"/>
          <w:highlight w:val="none"/>
        </w:rPr>
        <w:t>.</w:t>
      </w:r>
      <w:r>
        <w:rPr>
          <w:rFonts w:hint="default" w:ascii="Times New Roman" w:hAnsi="Times New Roman" w:cs="Times New Roman"/>
          <w:color w:val="auto"/>
          <w:szCs w:val="21"/>
          <w:highlight w:val="none"/>
        </w:rPr>
        <w:t>投标方</w:t>
      </w:r>
      <w:r>
        <w:rPr>
          <w:rFonts w:hint="eastAsia" w:ascii="Times New Roman" w:hAnsi="Times New Roman" w:cs="Times New Roman"/>
          <w:color w:val="auto"/>
          <w:szCs w:val="21"/>
          <w:highlight w:val="none"/>
          <w:lang w:val="en-US" w:eastAsia="zh-CN"/>
        </w:rPr>
        <w:t>提供的</w:t>
      </w:r>
      <w:r>
        <w:rPr>
          <w:rFonts w:hint="eastAsia" w:ascii="Times New Roman" w:hAnsi="Times New Roman" w:cs="Times New Roman"/>
          <w:color w:val="auto"/>
          <w:szCs w:val="21"/>
          <w:highlight w:val="none"/>
        </w:rPr>
        <w:t>检验/检测报告</w:t>
      </w:r>
      <w:r>
        <w:rPr>
          <w:rFonts w:hint="eastAsia" w:ascii="Times New Roman" w:hAnsi="Times New Roman" w:cs="Times New Roman"/>
          <w:color w:val="auto"/>
          <w:szCs w:val="21"/>
          <w:highlight w:val="none"/>
          <w:lang w:val="en-US" w:eastAsia="zh-CN"/>
        </w:rPr>
        <w:t>中</w:t>
      </w:r>
      <w:r>
        <w:rPr>
          <w:rFonts w:hint="eastAsia" w:ascii="Times New Roman" w:hAnsi="Times New Roman" w:cs="Times New Roman"/>
          <w:color w:val="auto"/>
          <w:szCs w:val="21"/>
          <w:highlight w:val="none"/>
        </w:rPr>
        <w:t>产品型式试验内容</w:t>
      </w:r>
      <w:r>
        <w:rPr>
          <w:rFonts w:hint="eastAsia" w:ascii="Times New Roman" w:hAnsi="Times New Roman" w:cs="Times New Roman"/>
          <w:color w:val="auto"/>
          <w:szCs w:val="21"/>
          <w:highlight w:val="none"/>
          <w:lang w:val="en-US" w:eastAsia="zh-CN"/>
        </w:rPr>
        <w:t>包括但不限于结构及外观、接口功能和性能、高温、低温、静电放电抗扰度等</w:t>
      </w:r>
      <w:r>
        <w:rPr>
          <w:rFonts w:hint="eastAsia" w:ascii="Times New Roman" w:hAnsi="Times New Roman" w:cs="Times New Roman"/>
          <w:color w:val="auto"/>
          <w:szCs w:val="21"/>
          <w:highlight w:val="none"/>
          <w:lang w:eastAsia="zh-CN"/>
        </w:rPr>
        <w:t>。</w:t>
      </w:r>
    </w:p>
    <w:p w14:paraId="1669FF7B">
      <w:pPr>
        <w:pStyle w:val="2"/>
        <w:rPr>
          <w:rFonts w:hint="eastAsia"/>
          <w:lang w:eastAsia="zh-CN"/>
        </w:rPr>
      </w:pPr>
    </w:p>
    <w:p w14:paraId="7C13E738">
      <w:pPr>
        <w:pStyle w:val="5"/>
        <w:numPr>
          <w:ilvl w:val="1"/>
          <w:numId w:val="7"/>
        </w:numPr>
        <w:spacing w:before="0" w:after="0" w:line="360" w:lineRule="auto"/>
        <w:ind w:left="992" w:leftChars="0" w:hanging="567" w:firstLineChars="0"/>
        <w:rPr>
          <w:rFonts w:hint="default" w:ascii="Times New Roman" w:hAnsi="Times New Roman" w:eastAsia="黑体" w:cs="Times New Roman"/>
          <w:b w:val="0"/>
          <w:bCs w:val="0"/>
          <w:color w:val="auto"/>
          <w:sz w:val="21"/>
          <w:szCs w:val="21"/>
          <w:highlight w:val="none"/>
        </w:rPr>
      </w:pPr>
      <w:bookmarkStart w:id="74" w:name="_Toc27870"/>
      <w:bookmarkStart w:id="75" w:name="_Toc2356"/>
      <w:r>
        <w:rPr>
          <w:rFonts w:hint="default" w:ascii="Times New Roman" w:hAnsi="Times New Roman" w:eastAsia="黑体" w:cs="Times New Roman"/>
          <w:b w:val="0"/>
          <w:bCs w:val="0"/>
          <w:color w:val="auto"/>
          <w:sz w:val="21"/>
          <w:szCs w:val="21"/>
          <w:highlight w:val="none"/>
        </w:rPr>
        <w:t>技术培训</w:t>
      </w:r>
      <w:bookmarkEnd w:id="74"/>
      <w:bookmarkEnd w:id="75"/>
    </w:p>
    <w:p w14:paraId="2E718380">
      <w:pPr>
        <w:tabs>
          <w:tab w:val="left" w:pos="1514"/>
          <w:tab w:val="left" w:pos="1694"/>
        </w:tabs>
        <w:spacing w:line="360" w:lineRule="auto"/>
        <w:ind w:left="-235" w:leftChars="-112" w:firstLine="630" w:firstLineChars="3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投标方对招标方相关人员应免费提供三次现场培训，并提供相应的培训资料。</w:t>
      </w:r>
      <w:r>
        <w:rPr>
          <w:rFonts w:hint="eastAsia" w:ascii="Times New Roman" w:hAnsi="Times New Roman" w:eastAsia="宋体" w:cs="Times New Roman"/>
          <w:color w:val="auto"/>
          <w:szCs w:val="21"/>
          <w:highlight w:val="none"/>
          <w:lang w:val="en-US" w:eastAsia="zh-CN"/>
        </w:rPr>
        <w:t>投标方要配合招标方做好产品运营策划、设计、执行分析决策过程中技术支撑和运维保障。</w:t>
      </w:r>
    </w:p>
    <w:p w14:paraId="42CF5854">
      <w:pPr>
        <w:spacing w:line="360" w:lineRule="auto"/>
        <w:ind w:firstLine="420" w:firstLineChars="200"/>
        <w:rPr>
          <w:rFonts w:ascii="宋体" w:hAnsi="宋体" w:eastAsia="宋体" w:cs="宋体"/>
          <w:color w:val="auto"/>
          <w:highlight w:val="none"/>
        </w:rPr>
      </w:pPr>
    </w:p>
    <w:p w14:paraId="5C026C94">
      <w:pPr>
        <w:spacing w:before="68" w:line="360" w:lineRule="auto"/>
        <w:ind w:left="3" w:firstLine="428"/>
        <w:outlineLvl w:val="0"/>
        <w:rPr>
          <w:rFonts w:ascii="宋体" w:hAnsi="宋体" w:eastAsia="宋体" w:cs="宋体"/>
          <w:color w:val="auto"/>
          <w:highlight w:val="none"/>
        </w:rPr>
      </w:pPr>
      <w:bookmarkStart w:id="76" w:name="_Toc1851"/>
      <w:r>
        <w:rPr>
          <w:rFonts w:hint="eastAsia" w:ascii="宋体" w:hAnsi="宋体" w:eastAsia="宋体" w:cs="宋体"/>
          <w:b/>
          <w:bCs/>
          <w:color w:val="auto"/>
          <w:spacing w:val="3"/>
          <w:highlight w:val="none"/>
          <w:lang w:val="en-US" w:eastAsia="zh-CN"/>
        </w:rPr>
        <w:t>10</w:t>
      </w:r>
      <w:r>
        <w:rPr>
          <w:rFonts w:hint="eastAsia" w:ascii="宋体" w:hAnsi="宋体" w:eastAsia="宋体" w:cs="宋体"/>
          <w:b/>
          <w:bCs/>
          <w:color w:val="auto"/>
          <w:spacing w:val="3"/>
          <w:highlight w:val="none"/>
        </w:rPr>
        <w:t xml:space="preserve">  包装、运输、安装及质量保证</w:t>
      </w:r>
      <w:bookmarkEnd w:id="76"/>
    </w:p>
    <w:p w14:paraId="5244D31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.1.设备制造完成并通过试验后应及时包装，否则应得到切实的保护。其包装应符合铁路、公路和海运部门的有关规定。</w:t>
      </w:r>
    </w:p>
    <w:p w14:paraId="40CE9BE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.2.所有部件经妥善包装或装箱后，在运输过程中尚应采取其它防护措施，以免散失损坏或被盗。</w:t>
      </w:r>
    </w:p>
    <w:p w14:paraId="0FB7EF1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.3.包装箱外应标明需方的订货号、发货号。</w:t>
      </w:r>
    </w:p>
    <w:p w14:paraId="03DE6F3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.4.各种包装应能确保各零部件在运输过程中不致遭到损坏、丢失、变形、受潮和腐蚀。</w:t>
      </w:r>
    </w:p>
    <w:p w14:paraId="11B1DA8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.5.包装箱上应有明显的包装储运图示标志。</w:t>
      </w:r>
    </w:p>
    <w:p w14:paraId="20B4536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.6.整体产品或分别运输的部件都要适合运输和装载的要求。</w:t>
      </w:r>
    </w:p>
    <w:p w14:paraId="56C75E4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.7.随产品提供的技术资料应完整无缺。</w:t>
      </w:r>
    </w:p>
    <w:p w14:paraId="19A213E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.8.设备质量保证期至少为三年以上。</w:t>
      </w:r>
    </w:p>
    <w:p w14:paraId="1B405E7C">
      <w:pPr>
        <w:spacing w:line="360" w:lineRule="auto"/>
        <w:ind w:firstLine="420" w:firstLineChars="200"/>
        <w:rPr>
          <w:rFonts w:ascii="宋体" w:hAnsi="宋体" w:eastAsia="宋体" w:cs="宋体"/>
          <w:color w:val="auto"/>
          <w:highlight w:val="none"/>
        </w:rPr>
      </w:pPr>
    </w:p>
    <w:p w14:paraId="424FFE5B">
      <w:pPr>
        <w:spacing w:before="69" w:line="360" w:lineRule="auto"/>
        <w:ind w:left="3" w:firstLine="418"/>
        <w:outlineLvl w:val="0"/>
        <w:rPr>
          <w:rFonts w:ascii="宋体" w:hAnsi="宋体" w:eastAsia="宋体" w:cs="宋体"/>
          <w:color w:val="auto"/>
          <w:highlight w:val="none"/>
        </w:rPr>
      </w:pPr>
      <w:bookmarkStart w:id="77" w:name="_Toc25880"/>
      <w:r>
        <w:rPr>
          <w:rFonts w:hint="eastAsia" w:ascii="宋体" w:hAnsi="宋体" w:eastAsia="宋体" w:cs="宋体"/>
          <w:b/>
          <w:bCs/>
          <w:color w:val="auto"/>
          <w:spacing w:val="-2"/>
          <w:highlight w:val="none"/>
        </w:rPr>
        <w:t>1</w:t>
      </w:r>
      <w:r>
        <w:rPr>
          <w:rFonts w:hint="eastAsia" w:ascii="宋体" w:hAnsi="宋体" w:eastAsia="宋体" w:cs="宋体"/>
          <w:b/>
          <w:bCs/>
          <w:color w:val="auto"/>
          <w:spacing w:val="-2"/>
          <w:highlight w:val="none"/>
          <w:lang w:val="en-US" w:eastAsia="zh-CN"/>
        </w:rPr>
        <w:t>1</w:t>
      </w:r>
      <w:r>
        <w:rPr>
          <w:rFonts w:hint="eastAsia" w:ascii="宋体" w:hAnsi="宋体" w:eastAsia="宋体" w:cs="宋体"/>
          <w:color w:val="auto"/>
          <w:spacing w:val="-8"/>
          <w:highlight w:val="none"/>
        </w:rPr>
        <w:t xml:space="preserve">  </w:t>
      </w:r>
      <w:r>
        <w:rPr>
          <w:rFonts w:hint="eastAsia" w:ascii="宋体" w:hAnsi="宋体" w:eastAsia="宋体" w:cs="宋体"/>
          <w:b/>
          <w:bCs/>
          <w:color w:val="auto"/>
          <w:spacing w:val="-2"/>
          <w:highlight w:val="none"/>
          <w:lang w:val="en-US" w:eastAsia="zh-CN"/>
        </w:rPr>
        <w:t>装置</w:t>
      </w:r>
      <w:r>
        <w:rPr>
          <w:rFonts w:hint="eastAsia" w:ascii="宋体" w:hAnsi="宋体" w:eastAsia="宋体" w:cs="宋体"/>
          <w:b/>
          <w:bCs/>
          <w:color w:val="auto"/>
          <w:spacing w:val="-2"/>
          <w:highlight w:val="none"/>
        </w:rPr>
        <w:t>关键技术参数和性能要求响应表</w:t>
      </w:r>
      <w:bookmarkEnd w:id="77"/>
    </w:p>
    <w:p w14:paraId="46DB5BF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投标方应认真逐项填写所供物资技术参数和性能要求响应表(见表11)中“投标方保证值”栏，不能空格，也不能以“响应”两字代替，不允许改动本表内 “投标方保证值”栏之外的数</w:t>
      </w:r>
    </w:p>
    <w:p w14:paraId="3E44D97A">
      <w:pPr>
        <w:spacing w:line="360" w:lineRule="auto"/>
        <w:rPr>
          <w:rFonts w:ascii="宋体" w:hAnsi="宋体" w:eastAsia="宋体" w:cs="宋体"/>
          <w:color w:val="auto"/>
          <w:highlight w:val="none"/>
        </w:rPr>
      </w:pPr>
      <w:r>
        <w:rPr>
          <w:rFonts w:hint="eastAsia" w:ascii="宋体" w:hAnsi="宋体" w:eastAsia="宋体" w:cs="宋体"/>
          <w:color w:val="auto"/>
          <w:highlight w:val="none"/>
        </w:rPr>
        <w:t>值。如有差异，请填写表15技术差异表。</w:t>
      </w:r>
    </w:p>
    <w:p w14:paraId="5D609A8B">
      <w:pPr>
        <w:spacing w:line="360" w:lineRule="auto"/>
        <w:ind w:firstLine="422"/>
        <w:jc w:val="center"/>
        <w:rPr>
          <w:rFonts w:ascii="宋体" w:hAnsi="宋体" w:eastAsia="宋体" w:cs="宋体"/>
          <w:b/>
          <w:bCs/>
          <w:color w:val="auto"/>
          <w:highlight w:val="none"/>
        </w:rPr>
      </w:pPr>
      <w:r>
        <w:rPr>
          <w:rFonts w:hint="eastAsia" w:ascii="宋体" w:hAnsi="宋体" w:eastAsia="宋体" w:cs="宋体"/>
          <w:b/>
          <w:bCs/>
          <w:color w:val="auto"/>
          <w:highlight w:val="none"/>
        </w:rPr>
        <w:t>表1</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.1  数字能源管控装置技术参数和性能要求响应表</w:t>
      </w:r>
    </w:p>
    <w:tbl>
      <w:tblPr>
        <w:tblStyle w:val="21"/>
        <w:tblW w:w="8832"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2414"/>
        <w:gridCol w:w="4360"/>
        <w:gridCol w:w="1408"/>
      </w:tblGrid>
      <w:tr w14:paraId="34487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blHeader/>
        </w:trPr>
        <w:tc>
          <w:tcPr>
            <w:tcW w:w="650" w:type="dxa"/>
            <w:vAlign w:val="center"/>
          </w:tcPr>
          <w:p w14:paraId="157EE66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highlight w:val="none"/>
              </w:rPr>
              <w:t>序号</w:t>
            </w:r>
          </w:p>
        </w:tc>
        <w:tc>
          <w:tcPr>
            <w:tcW w:w="2414" w:type="dxa"/>
            <w:vAlign w:val="center"/>
          </w:tcPr>
          <w:p w14:paraId="704F7F3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highlight w:val="none"/>
              </w:rPr>
              <w:t>名称</w:t>
            </w:r>
          </w:p>
        </w:tc>
        <w:tc>
          <w:tcPr>
            <w:tcW w:w="4360" w:type="dxa"/>
            <w:vAlign w:val="center"/>
          </w:tcPr>
          <w:p w14:paraId="1A26891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highlight w:val="none"/>
              </w:rPr>
              <w:t>标准参数值</w:t>
            </w:r>
          </w:p>
        </w:tc>
        <w:tc>
          <w:tcPr>
            <w:tcW w:w="1408" w:type="dxa"/>
            <w:vAlign w:val="center"/>
          </w:tcPr>
          <w:p w14:paraId="69DF4F8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highlight w:val="none"/>
              </w:rPr>
              <w:t>投标人保证值</w:t>
            </w:r>
          </w:p>
        </w:tc>
      </w:tr>
      <w:tr w14:paraId="586B4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0BE24B5E">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2414" w:type="dxa"/>
            <w:vAlign w:val="center"/>
          </w:tcPr>
          <w:p w14:paraId="5C8D2F8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供电方式</w:t>
            </w:r>
          </w:p>
        </w:tc>
        <w:tc>
          <w:tcPr>
            <w:tcW w:w="4360" w:type="dxa"/>
            <w:vAlign w:val="center"/>
          </w:tcPr>
          <w:p w14:paraId="3BF6A835">
            <w:pPr>
              <w:numPr>
                <w:ilvl w:val="0"/>
                <w:numId w:val="8"/>
              </w:num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装置支持交流或者直流供电方式；</w:t>
            </w:r>
          </w:p>
          <w:p w14:paraId="0E9B7371">
            <w:pPr>
              <w:numPr>
                <w:ilvl w:val="0"/>
                <w:numId w:val="8"/>
              </w:numPr>
              <w:spacing w:line="360" w:lineRule="auto"/>
              <w:ind w:firstLine="406"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当采用直流供电时，需支持宽压供电（9~36V），宜支持到48V供电；并配备高性能可靠的开关电源，用于支持交流直接供电。</w:t>
            </w:r>
          </w:p>
          <w:p w14:paraId="0CF4A081">
            <w:pPr>
              <w:numPr>
                <w:ilvl w:val="0"/>
                <w:numId w:val="8"/>
              </w:numPr>
              <w:spacing w:line="360" w:lineRule="auto"/>
              <w:ind w:firstLine="406" w:firstLineChars="200"/>
              <w:rPr>
                <w:rFonts w:ascii="宋体" w:hAnsi="宋体" w:eastAsia="宋体" w:cs="宋体"/>
                <w:color w:val="auto"/>
                <w:highlight w:val="none"/>
              </w:rPr>
            </w:pPr>
            <w:r>
              <w:rPr>
                <w:rFonts w:hint="eastAsia" w:ascii="宋体" w:hAnsi="宋体" w:eastAsia="宋体" w:cs="宋体"/>
                <w:b/>
                <w:bCs/>
                <w:color w:val="auto"/>
                <w:spacing w:val="-4"/>
                <w:highlight w:val="none"/>
              </w:rPr>
              <w:t>★</w:t>
            </w:r>
            <w:r>
              <w:rPr>
                <w:rFonts w:hint="default" w:ascii="宋体" w:hAnsi="宋体" w:eastAsia="宋体" w:cs="宋体"/>
                <w:color w:val="auto"/>
                <w:highlight w:val="none"/>
                <w:lang w:val="en-US" w:eastAsia="zh-CN"/>
              </w:rPr>
              <w:t>具有备用超级电容，</w:t>
            </w:r>
            <w:r>
              <w:rPr>
                <w:rFonts w:hint="default"/>
                <w:lang w:val="en-US" w:eastAsia="zh-CN"/>
              </w:rPr>
              <w:t>在外部电源掉电的情况下，至少能够支持设备正常运行时间不低于10S</w:t>
            </w:r>
            <w:r>
              <w:rPr>
                <w:rFonts w:hint="eastAsia"/>
                <w:lang w:val="en-US" w:eastAsia="zh-CN"/>
              </w:rPr>
              <w:t>，并具备</w:t>
            </w:r>
            <w:r>
              <w:rPr>
                <w:rFonts w:hint="default" w:ascii="宋体" w:hAnsi="宋体" w:eastAsia="宋体" w:cs="宋体"/>
                <w:color w:val="auto"/>
                <w:highlight w:val="none"/>
                <w:lang w:val="en-US" w:eastAsia="zh-CN"/>
              </w:rPr>
              <w:t>掉电提醒功能。</w:t>
            </w:r>
          </w:p>
        </w:tc>
        <w:tc>
          <w:tcPr>
            <w:tcW w:w="1408" w:type="dxa"/>
            <w:vAlign w:val="center"/>
          </w:tcPr>
          <w:p w14:paraId="4841AFA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793EB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11D03582">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2414" w:type="dxa"/>
            <w:vAlign w:val="center"/>
          </w:tcPr>
          <w:p w14:paraId="4B3143D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关键器件要求</w:t>
            </w:r>
          </w:p>
        </w:tc>
        <w:tc>
          <w:tcPr>
            <w:tcW w:w="4360" w:type="dxa"/>
            <w:vAlign w:val="center"/>
          </w:tcPr>
          <w:p w14:paraId="66877C5E">
            <w:pPr>
              <w:spacing w:line="360" w:lineRule="auto"/>
              <w:ind w:firstLine="422"/>
              <w:rPr>
                <w:rFonts w:ascii="宋体" w:hAnsi="宋体" w:eastAsia="宋体" w:cs="宋体"/>
                <w:color w:val="auto"/>
                <w:highlight w:val="none"/>
              </w:rPr>
            </w:pPr>
            <w:r>
              <w:rPr>
                <w:rFonts w:hint="eastAsia" w:ascii="宋体" w:hAnsi="宋体" w:eastAsia="宋体" w:cs="宋体"/>
                <w:b/>
                <w:bCs/>
                <w:color w:val="auto"/>
                <w:spacing w:val="-4"/>
                <w:highlight w:val="none"/>
              </w:rPr>
              <w:t>★</w:t>
            </w:r>
            <w:r>
              <w:rPr>
                <w:rFonts w:hint="eastAsia"/>
                <w:lang w:val="en-US" w:eastAsia="zh-CN"/>
              </w:rPr>
              <w:t>核心芯片采用国产芯片，如主处理器、RAM存储器、Flash存储器、无线模组等，其他非核心器件宜采用国产化芯片。</w:t>
            </w:r>
          </w:p>
        </w:tc>
        <w:tc>
          <w:tcPr>
            <w:tcW w:w="1408" w:type="dxa"/>
            <w:vAlign w:val="center"/>
          </w:tcPr>
          <w:p w14:paraId="55688F5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1171A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75E40251">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2414" w:type="dxa"/>
            <w:vAlign w:val="center"/>
          </w:tcPr>
          <w:p w14:paraId="419E321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硬件要求</w:t>
            </w:r>
          </w:p>
        </w:tc>
        <w:tc>
          <w:tcPr>
            <w:tcW w:w="4360" w:type="dxa"/>
            <w:vAlign w:val="center"/>
          </w:tcPr>
          <w:p w14:paraId="440814F2">
            <w:pPr>
              <w:spacing w:line="360" w:lineRule="auto"/>
              <w:ind w:firstLine="422"/>
              <w:rPr>
                <w:rFonts w:hint="default"/>
                <w:b/>
                <w:bCs/>
                <w:lang w:val="en-US" w:eastAsia="zh-CN"/>
              </w:rPr>
            </w:pPr>
            <w:r>
              <w:rPr>
                <w:rFonts w:hint="eastAsia"/>
                <w:b/>
                <w:bCs/>
                <w:lang w:val="en-US" w:eastAsia="zh-CN"/>
              </w:rPr>
              <w:t>5.2.1 硬件要求</w:t>
            </w:r>
          </w:p>
          <w:p w14:paraId="7F0DF3DA">
            <w:pPr>
              <w:spacing w:line="360" w:lineRule="auto"/>
              <w:ind w:firstLine="406" w:firstLineChars="200"/>
              <w:rPr>
                <w:rFonts w:hint="default"/>
                <w:lang w:val="en-US" w:eastAsia="zh-CN"/>
              </w:rPr>
            </w:pPr>
            <w:r>
              <w:rPr>
                <w:rFonts w:hint="eastAsia" w:ascii="宋体" w:hAnsi="宋体" w:eastAsia="宋体" w:cs="宋体"/>
                <w:b/>
                <w:bCs/>
                <w:color w:val="auto"/>
                <w:spacing w:val="-4"/>
                <w:highlight w:val="none"/>
              </w:rPr>
              <w:t>★</w:t>
            </w:r>
            <w:r>
              <w:rPr>
                <w:rFonts w:hint="eastAsia"/>
                <w:lang w:val="en-US" w:eastAsia="zh-CN"/>
              </w:rPr>
              <w:t>1）处理器采用国产控制芯片，处理器架构不低于Cortex-A7，主频不低于1.2GHz，RAM存储不低于1GB，Flash存储不低于4GB。</w:t>
            </w:r>
          </w:p>
          <w:p w14:paraId="41827935">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2）以太网口</w:t>
            </w:r>
          </w:p>
          <w:p w14:paraId="3A3890C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zh-CN"/>
              </w:rPr>
              <w:t>具有</w:t>
            </w:r>
            <w:r>
              <w:rPr>
                <w:rFonts w:hint="eastAsia" w:ascii="宋体" w:hAnsi="宋体" w:eastAsia="宋体" w:cs="宋体"/>
                <w:color w:val="auto"/>
                <w:highlight w:val="none"/>
              </w:rPr>
              <w:t>两路以上独立的以太网通信接口，支持10/100Mbit/s自适应</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宜支持1000Mbit</w:t>
            </w:r>
            <w:r>
              <w:rPr>
                <w:rFonts w:hint="eastAsia" w:ascii="宋体" w:hAnsi="宋体" w:eastAsia="宋体" w:cs="宋体"/>
                <w:color w:val="auto"/>
                <w:highlight w:val="none"/>
              </w:rPr>
              <w:t>；</w:t>
            </w:r>
          </w:p>
          <w:p w14:paraId="0D65D1B8">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eastAsia="zh-CN"/>
              </w:rPr>
              <w:t>串口</w:t>
            </w:r>
          </w:p>
          <w:p w14:paraId="1105849A">
            <w:pPr>
              <w:spacing w:line="360" w:lineRule="auto"/>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具有8路RS485通信接口，</w:t>
            </w:r>
            <w:r>
              <w:rPr>
                <w:rFonts w:hint="eastAsia" w:ascii="宋体" w:hAnsi="宋体" w:eastAsia="宋体" w:cs="宋体"/>
                <w:color w:val="auto"/>
                <w:highlight w:val="none"/>
                <w:lang w:val="zh-CN" w:eastAsia="zh-CN"/>
              </w:rPr>
              <w:t>可支持</w:t>
            </w:r>
            <w:r>
              <w:rPr>
                <w:rFonts w:hint="eastAsia" w:ascii="宋体" w:hAnsi="宋体" w:eastAsia="宋体" w:cs="宋体"/>
                <w:color w:val="auto"/>
                <w:highlight w:val="none"/>
                <w:lang w:val="en-US" w:eastAsia="zh-CN"/>
              </w:rPr>
              <w:t>1200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2400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4800 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9600bps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19200bps</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115200bps</w:t>
            </w:r>
            <w:r>
              <w:rPr>
                <w:rFonts w:hint="eastAsia" w:ascii="宋体" w:hAnsi="宋体" w:eastAsia="宋体" w:cs="宋体"/>
                <w:color w:val="auto"/>
                <w:highlight w:val="none"/>
                <w:lang w:val="zh-CN" w:eastAsia="zh-CN"/>
              </w:rPr>
              <w:t>等波特率</w:t>
            </w:r>
            <w:r>
              <w:rPr>
                <w:rFonts w:hint="eastAsia" w:ascii="宋体" w:hAnsi="宋体" w:eastAsia="宋体" w:cs="宋体"/>
                <w:color w:val="auto"/>
                <w:highlight w:val="none"/>
                <w:lang w:val="en-US" w:eastAsia="zh-CN"/>
              </w:rPr>
              <w:t>；</w:t>
            </w:r>
          </w:p>
          <w:p w14:paraId="700E46D6">
            <w:pPr>
              <w:spacing w:line="360" w:lineRule="auto"/>
              <w:ind w:firstLine="422"/>
              <w:rPr>
                <w:rFonts w:hint="eastAsia" w:ascii="宋体" w:hAnsi="宋体" w:eastAsia="宋体" w:cs="宋体"/>
                <w:color w:val="auto"/>
                <w:highlight w:val="none"/>
                <w:lang w:val="zh-CN" w:eastAsia="zh-CN"/>
              </w:rPr>
            </w:pPr>
            <w:r>
              <w:rPr>
                <w:rFonts w:hint="eastAsia" w:ascii="宋体" w:hAnsi="宋体" w:eastAsia="宋体" w:cs="宋体"/>
                <w:b/>
                <w:bCs/>
                <w:color w:val="auto"/>
                <w:spacing w:val="-4"/>
                <w:highlight w:val="none"/>
              </w:rPr>
              <w:t>★</w:t>
            </w:r>
            <w:r>
              <w:rPr>
                <w:rFonts w:hint="eastAsia" w:ascii="宋体" w:hAnsi="宋体" w:eastAsia="宋体" w:cs="宋体"/>
                <w:color w:val="auto"/>
                <w:highlight w:val="none"/>
                <w:lang w:val="en-US" w:eastAsia="zh-CN"/>
              </w:rPr>
              <w:t>4）远程</w:t>
            </w:r>
            <w:r>
              <w:rPr>
                <w:rFonts w:hint="eastAsia" w:ascii="宋体" w:hAnsi="宋体" w:eastAsia="宋体" w:cs="宋体"/>
                <w:color w:val="auto"/>
                <w:highlight w:val="none"/>
                <w:lang w:val="zh-CN" w:eastAsia="zh-CN"/>
              </w:rPr>
              <w:t>无线通信接口</w:t>
            </w:r>
          </w:p>
          <w:p w14:paraId="1C783D2D">
            <w:pPr>
              <w:spacing w:line="360" w:lineRule="auto"/>
              <w:ind w:firstLine="42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具有</w:t>
            </w:r>
            <w:r>
              <w:rPr>
                <w:rFonts w:hint="eastAsia" w:ascii="宋体" w:hAnsi="宋体" w:eastAsia="宋体" w:cs="宋体"/>
                <w:color w:val="auto"/>
                <w:highlight w:val="none"/>
                <w:lang w:val="en-US" w:eastAsia="zh-CN"/>
              </w:rPr>
              <w:t>至少1路</w:t>
            </w:r>
            <w:r>
              <w:rPr>
                <w:rFonts w:hint="eastAsia" w:ascii="宋体" w:hAnsi="宋体" w:eastAsia="宋体" w:cs="宋体"/>
                <w:color w:val="auto"/>
                <w:highlight w:val="none"/>
                <w:lang w:val="zh-CN"/>
              </w:rPr>
              <w:t>4G无线通信接口，</w:t>
            </w:r>
            <w:r>
              <w:rPr>
                <w:rFonts w:hint="eastAsia" w:ascii="宋体" w:hAnsi="宋体" w:eastAsia="宋体" w:cs="宋体"/>
                <w:color w:val="auto"/>
                <w:highlight w:val="none"/>
                <w:lang w:val="en-US" w:eastAsia="zh-CN"/>
              </w:rPr>
              <w:t>宜支持5G</w:t>
            </w: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支持全网通</w:t>
            </w:r>
            <w:r>
              <w:rPr>
                <w:rFonts w:hint="eastAsia" w:ascii="宋体" w:hAnsi="宋体" w:eastAsia="宋体" w:cs="宋体"/>
                <w:color w:val="auto"/>
                <w:highlight w:val="none"/>
                <w:lang w:val="zh-CN"/>
              </w:rPr>
              <w:t>，内嵌加密模块；支持国密SM2加密通信。</w:t>
            </w:r>
          </w:p>
          <w:p w14:paraId="035E973E">
            <w:pPr>
              <w:spacing w:line="360" w:lineRule="auto"/>
              <w:ind w:firstLine="422"/>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4）开入开出</w:t>
            </w:r>
            <w:r>
              <w:rPr>
                <w:rFonts w:hint="eastAsia" w:ascii="宋体" w:hAnsi="宋体" w:eastAsia="宋体" w:cs="宋体"/>
                <w:color w:val="auto"/>
                <w:highlight w:val="none"/>
                <w:lang w:val="zh-CN" w:eastAsia="zh-CN"/>
              </w:rPr>
              <w:t>接口</w:t>
            </w:r>
          </w:p>
          <w:p w14:paraId="474E62EE">
            <w:pPr>
              <w:spacing w:line="360" w:lineRule="auto"/>
              <w:ind w:firstLine="422"/>
              <w:rPr>
                <w:rFonts w:hint="default" w:eastAsia="宋体"/>
                <w:lang w:val="en-US" w:eastAsia="zh-CN"/>
              </w:rPr>
            </w:pPr>
            <w:r>
              <w:rPr>
                <w:rFonts w:hint="eastAsia" w:eastAsia="宋体"/>
                <w:lang w:val="en-US" w:eastAsia="zh-CN"/>
              </w:rPr>
              <w:t>宜具有开入量、开出量接口，用于接入烟感、水浸等IO量传感器，及IO输出告警。</w:t>
            </w:r>
          </w:p>
          <w:p w14:paraId="309A2591">
            <w:pPr>
              <w:spacing w:line="360" w:lineRule="auto"/>
              <w:ind w:firstLine="422"/>
              <w:rPr>
                <w:rFonts w:hint="eastAsia"/>
                <w:lang w:val="zh-CN"/>
              </w:rPr>
            </w:pPr>
            <w:r>
              <w:rPr>
                <w:rFonts w:hint="eastAsia" w:ascii="宋体" w:hAnsi="宋体" w:eastAsia="宋体" w:cs="宋体"/>
                <w:color w:val="auto"/>
                <w:highlight w:val="none"/>
                <w:lang w:val="en-US" w:eastAsia="zh-CN"/>
              </w:rPr>
              <w:t>5）调试</w:t>
            </w:r>
            <w:r>
              <w:rPr>
                <w:rFonts w:hint="eastAsia" w:ascii="宋体" w:hAnsi="宋体" w:eastAsia="宋体" w:cs="宋体"/>
                <w:color w:val="auto"/>
                <w:highlight w:val="none"/>
                <w:lang w:val="zh-CN" w:eastAsia="zh-CN"/>
              </w:rPr>
              <w:t>接口</w:t>
            </w:r>
          </w:p>
          <w:p w14:paraId="60A2A481">
            <w:pPr>
              <w:spacing w:line="360" w:lineRule="auto"/>
              <w:ind w:firstLine="420" w:firstLineChars="200"/>
              <w:rPr>
                <w:rFonts w:hint="eastAsia" w:ascii="宋体" w:hAnsi="宋体" w:eastAsia="宋体" w:cs="宋体"/>
                <w:lang w:val="zh-CN"/>
              </w:rPr>
            </w:pPr>
            <w:r>
              <w:rPr>
                <w:rFonts w:hint="eastAsia" w:ascii="宋体" w:hAnsi="宋体" w:eastAsia="宋体" w:cs="宋体"/>
                <w:lang w:val="en-US" w:eastAsia="zh-CN"/>
              </w:rPr>
              <w:t>宜</w:t>
            </w:r>
            <w:r>
              <w:rPr>
                <w:rFonts w:hint="eastAsia" w:ascii="宋体" w:hAnsi="宋体" w:eastAsia="宋体" w:cs="宋体"/>
                <w:lang w:val="zh-CN"/>
              </w:rPr>
              <w:t>具有本地维护通信接口。</w:t>
            </w:r>
            <w:r>
              <w:rPr>
                <w:rFonts w:hint="eastAsia" w:ascii="宋体" w:hAnsi="宋体" w:eastAsia="宋体" w:cs="宋体"/>
                <w:lang w:val="en-US" w:eastAsia="zh-CN"/>
              </w:rPr>
              <w:t>宜</w:t>
            </w:r>
            <w:r>
              <w:rPr>
                <w:rFonts w:hint="eastAsia" w:ascii="宋体" w:hAnsi="宋体" w:eastAsia="宋体" w:cs="宋体"/>
                <w:lang w:val="zh-CN"/>
              </w:rPr>
              <w:t>配置1个RS232接口或1个USB接口，作为</w:t>
            </w:r>
            <w:r>
              <w:rPr>
                <w:rFonts w:hint="eastAsia" w:ascii="宋体" w:hAnsi="宋体" w:cs="宋体"/>
                <w:lang w:val="zh-CN"/>
              </w:rPr>
              <w:t>数字能源管控装置</w:t>
            </w:r>
            <w:r>
              <w:rPr>
                <w:rFonts w:hint="eastAsia" w:ascii="宋体" w:hAnsi="宋体" w:eastAsia="宋体" w:cs="宋体"/>
                <w:lang w:val="zh-CN"/>
              </w:rPr>
              <w:t>本地参数设置、软件程序升级、本地测试和数据导出等；</w:t>
            </w:r>
          </w:p>
          <w:p w14:paraId="4E8FC90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FF0000"/>
                <w:highlight w:val="none"/>
              </w:rPr>
            </w:pPr>
          </w:p>
        </w:tc>
        <w:tc>
          <w:tcPr>
            <w:tcW w:w="1408" w:type="dxa"/>
            <w:vAlign w:val="center"/>
          </w:tcPr>
          <w:p w14:paraId="096B9E5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6F2CF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50" w:type="dxa"/>
            <w:vAlign w:val="center"/>
          </w:tcPr>
          <w:p w14:paraId="7C216321">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2414" w:type="dxa"/>
            <w:vAlign w:val="center"/>
          </w:tcPr>
          <w:p w14:paraId="39496F0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采集与控制要求</w:t>
            </w:r>
          </w:p>
        </w:tc>
        <w:tc>
          <w:tcPr>
            <w:tcW w:w="4360" w:type="dxa"/>
            <w:vAlign w:val="center"/>
          </w:tcPr>
          <w:p w14:paraId="219FB314">
            <w:pPr>
              <w:spacing w:line="360" w:lineRule="auto"/>
              <w:ind w:firstLine="422"/>
              <w:rPr>
                <w:rFonts w:hint="eastAsia"/>
                <w:b/>
                <w:bCs/>
                <w:lang w:val="en-US" w:eastAsia="zh-CN"/>
              </w:rPr>
            </w:pPr>
            <w:r>
              <w:rPr>
                <w:rFonts w:hint="eastAsia"/>
                <w:b/>
                <w:bCs/>
                <w:lang w:val="en-US" w:eastAsia="zh-CN"/>
              </w:rPr>
              <w:t xml:space="preserve">5.2.2  </w:t>
            </w:r>
            <w:r>
              <w:rPr>
                <w:rFonts w:hint="eastAsia" w:ascii="宋体" w:hAnsi="宋体" w:eastAsia="宋体" w:cs="宋体"/>
                <w:b/>
                <w:bCs/>
                <w:color w:val="auto"/>
                <w:spacing w:val="-4"/>
                <w:highlight w:val="none"/>
                <w:lang w:val="en-US" w:eastAsia="zh-CN"/>
              </w:rPr>
              <w:t>功能</w:t>
            </w:r>
            <w:r>
              <w:rPr>
                <w:rFonts w:hint="eastAsia"/>
                <w:b/>
                <w:bCs/>
                <w:lang w:val="en-US" w:eastAsia="zh-CN"/>
              </w:rPr>
              <w:t>要求</w:t>
            </w:r>
          </w:p>
          <w:p w14:paraId="013CF329">
            <w:pPr>
              <w:numPr>
                <w:ilvl w:val="0"/>
                <w:numId w:val="9"/>
              </w:numPr>
              <w:spacing w:line="360" w:lineRule="auto"/>
              <w:ind w:left="0" w:leftChars="0" w:firstLine="0" w:firstLineChars="0"/>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数据采集需求</w:t>
            </w:r>
          </w:p>
          <w:p w14:paraId="38ED1F59">
            <w:pPr>
              <w:numPr>
                <w:ilvl w:val="0"/>
                <w:numId w:val="4"/>
              </w:numPr>
              <w:spacing w:line="360" w:lineRule="auto"/>
              <w:ind w:left="420" w:leftChars="0" w:hanging="420" w:firstLineChars="0"/>
              <w:rPr>
                <w:rFonts w:hint="default" w:ascii="宋体" w:hAnsi="宋体" w:eastAsia="宋体" w:cs="宋体"/>
                <w:lang w:val="en-US" w:eastAsia="zh-CN"/>
              </w:rPr>
            </w:pPr>
            <w:r>
              <w:rPr>
                <w:rFonts w:hint="default" w:ascii="宋体" w:hAnsi="宋体" w:eastAsia="宋体" w:cs="宋体"/>
                <w:lang w:val="en-US" w:eastAsia="zh-CN"/>
              </w:rPr>
              <w:t>支持</w:t>
            </w:r>
            <w:r>
              <w:rPr>
                <w:rFonts w:hint="eastAsia" w:ascii="宋体" w:hAnsi="宋体" w:eastAsia="宋体" w:cs="宋体"/>
                <w:lang w:val="en-US" w:eastAsia="zh-CN"/>
              </w:rPr>
              <w:t>表计类实时</w:t>
            </w:r>
            <w:r>
              <w:rPr>
                <w:rFonts w:hint="default" w:ascii="宋体" w:hAnsi="宋体" w:eastAsia="宋体" w:cs="宋体"/>
                <w:lang w:val="en-US" w:eastAsia="zh-CN"/>
              </w:rPr>
              <w:t>数据</w:t>
            </w:r>
            <w:r>
              <w:rPr>
                <w:rFonts w:hint="eastAsia" w:ascii="宋体" w:hAnsi="宋体" w:eastAsia="宋体" w:cs="宋体"/>
                <w:lang w:val="en-US" w:eastAsia="zh-CN"/>
              </w:rPr>
              <w:t>的采集</w:t>
            </w:r>
            <w:r>
              <w:rPr>
                <w:rFonts w:hint="default" w:ascii="宋体" w:hAnsi="宋体" w:eastAsia="宋体" w:cs="宋体"/>
                <w:lang w:val="en-US" w:eastAsia="zh-CN"/>
              </w:rPr>
              <w:t>：电压/电流有效值</w:t>
            </w:r>
            <w:r>
              <w:rPr>
                <w:rFonts w:hint="eastAsia" w:ascii="宋体" w:hAnsi="宋体" w:eastAsia="宋体" w:cs="宋体"/>
                <w:lang w:val="en-US" w:eastAsia="zh-CN"/>
              </w:rPr>
              <w:t>、频率</w:t>
            </w:r>
            <w:r>
              <w:rPr>
                <w:rFonts w:hint="default" w:ascii="宋体" w:hAnsi="宋体" w:eastAsia="宋体" w:cs="宋体"/>
                <w:lang w:val="en-US" w:eastAsia="zh-CN"/>
              </w:rPr>
              <w:t>、有功功率、无功功率、视在功率、功率因数、电压线频率等电气量数据</w:t>
            </w:r>
            <w:r>
              <w:rPr>
                <w:rFonts w:hint="eastAsia" w:ascii="宋体" w:hAnsi="宋体" w:eastAsia="宋体" w:cs="宋体"/>
                <w:lang w:val="en-US" w:eastAsia="zh-CN"/>
              </w:rPr>
              <w:t>以及设备状态类数据；</w:t>
            </w:r>
          </w:p>
          <w:p w14:paraId="02B848F1">
            <w:pPr>
              <w:numPr>
                <w:ilvl w:val="0"/>
                <w:numId w:val="4"/>
              </w:numPr>
              <w:spacing w:line="360" w:lineRule="auto"/>
              <w:ind w:left="420" w:leftChars="0" w:hanging="420" w:firstLineChars="0"/>
              <w:rPr>
                <w:rFonts w:hint="default" w:ascii="宋体" w:hAnsi="宋体" w:eastAsia="宋体" w:cs="宋体"/>
                <w:lang w:val="en-US" w:eastAsia="zh-CN"/>
              </w:rPr>
            </w:pPr>
            <w:r>
              <w:rPr>
                <w:rFonts w:hint="eastAsia" w:ascii="宋体" w:hAnsi="宋体" w:eastAsia="宋体" w:cs="宋体"/>
                <w:lang w:val="en-US" w:eastAsia="zh-CN"/>
              </w:rPr>
              <w:t>支持电房内设备与传感器的采集：</w:t>
            </w:r>
            <w:r>
              <w:rPr>
                <w:rFonts w:hint="default" w:ascii="宋体" w:hAnsi="宋体" w:eastAsia="宋体" w:cs="宋体"/>
                <w:lang w:val="en-US" w:eastAsia="zh-CN"/>
              </w:rPr>
              <w:t>单/双向多功能表、微机保护、断路器（10kV断路器、框架断路器、塑壳断路器）、无功补偿装置、直流屏、无线测温采集器、环境类传感器、状态监测类传感器等</w:t>
            </w:r>
            <w:r>
              <w:rPr>
                <w:rFonts w:hint="eastAsia" w:ascii="宋体" w:hAnsi="宋体" w:eastAsia="宋体" w:cs="宋体"/>
                <w:lang w:val="en-US" w:eastAsia="zh-CN"/>
              </w:rPr>
              <w:t>；</w:t>
            </w:r>
          </w:p>
          <w:p w14:paraId="218ABDF3">
            <w:pPr>
              <w:numPr>
                <w:ilvl w:val="0"/>
                <w:numId w:val="4"/>
              </w:numPr>
              <w:spacing w:line="360" w:lineRule="auto"/>
              <w:ind w:left="420" w:leftChars="0" w:hanging="420" w:firstLineChars="0"/>
              <w:rPr>
                <w:rFonts w:hint="eastAsia" w:ascii="宋体" w:hAnsi="宋体" w:eastAsia="宋体" w:cs="宋体"/>
                <w:lang w:val="en-US" w:eastAsia="zh-CN"/>
              </w:rPr>
            </w:pPr>
            <w:r>
              <w:rPr>
                <w:rFonts w:hint="eastAsia" w:ascii="宋体" w:hAnsi="宋体" w:eastAsia="宋体" w:cs="宋体"/>
                <w:lang w:val="en-US" w:eastAsia="zh-CN"/>
              </w:rPr>
              <w:t>支持楼宇监测设备和传感器的采集：</w:t>
            </w:r>
            <w:r>
              <w:rPr>
                <w:rFonts w:hint="default" w:ascii="宋体" w:hAnsi="宋体" w:eastAsia="宋体" w:cs="宋体"/>
                <w:lang w:val="en-US" w:eastAsia="zh-CN"/>
              </w:rPr>
              <w:t>空调机组、新风机组、智能灯控、环境类监测等</w:t>
            </w:r>
            <w:r>
              <w:rPr>
                <w:rFonts w:hint="eastAsia" w:ascii="宋体" w:hAnsi="宋体" w:eastAsia="宋体" w:cs="宋体"/>
                <w:lang w:val="en-US" w:eastAsia="zh-CN"/>
              </w:rPr>
              <w:t>；</w:t>
            </w:r>
          </w:p>
          <w:p w14:paraId="360129D7">
            <w:pPr>
              <w:numPr>
                <w:ilvl w:val="0"/>
                <w:numId w:val="4"/>
              </w:numPr>
              <w:spacing w:line="360" w:lineRule="auto"/>
              <w:ind w:left="420" w:leftChars="0" w:hanging="420" w:firstLineChars="0"/>
              <w:rPr>
                <w:rFonts w:hint="eastAsia" w:ascii="宋体" w:hAnsi="宋体" w:eastAsia="宋体" w:cs="宋体"/>
                <w:lang w:val="en-US" w:eastAsia="zh-CN"/>
              </w:rPr>
            </w:pPr>
            <w:r>
              <w:rPr>
                <w:rFonts w:hint="eastAsia" w:ascii="宋体" w:hAnsi="宋体" w:eastAsia="宋体" w:cs="宋体"/>
                <w:lang w:val="en-US" w:eastAsia="zh-CN"/>
              </w:rPr>
              <w:t>支持新能源设备的采集：</w:t>
            </w:r>
            <w:r>
              <w:rPr>
                <w:rFonts w:hint="default" w:ascii="宋体" w:hAnsi="宋体" w:eastAsia="宋体" w:cs="宋体"/>
                <w:lang w:val="en-US" w:eastAsia="zh-CN"/>
              </w:rPr>
              <w:t>风光储充设备、柔性负载</w:t>
            </w:r>
            <w:r>
              <w:rPr>
                <w:rFonts w:hint="eastAsia" w:ascii="宋体" w:hAnsi="宋体" w:eastAsia="宋体" w:cs="宋体"/>
                <w:lang w:val="en-US" w:eastAsia="zh-CN"/>
              </w:rPr>
              <w:t>；</w:t>
            </w:r>
          </w:p>
          <w:p w14:paraId="7B381978">
            <w:pPr>
              <w:numPr>
                <w:ilvl w:val="0"/>
                <w:numId w:val="4"/>
              </w:numPr>
              <w:spacing w:line="360" w:lineRule="auto"/>
              <w:ind w:left="420" w:leftChars="0" w:hanging="420" w:firstLineChars="0"/>
              <w:rPr>
                <w:rFonts w:hint="default" w:ascii="Times New Roman" w:hAnsi="Times New Roman" w:eastAsia="新宋体" w:cs="Times New Roman"/>
                <w:b w:val="0"/>
                <w:bCs w:val="0"/>
                <w:lang w:val="en-US" w:eastAsia="zh-CN"/>
              </w:rPr>
            </w:pPr>
            <w:r>
              <w:rPr>
                <w:rFonts w:hint="eastAsia" w:ascii="宋体" w:hAnsi="宋体" w:eastAsia="宋体" w:cs="宋体"/>
                <w:b/>
                <w:bCs/>
                <w:color w:val="auto"/>
                <w:spacing w:val="-4"/>
                <w:highlight w:val="none"/>
              </w:rPr>
              <w:t>★</w:t>
            </w:r>
            <w:r>
              <w:rPr>
                <w:rFonts w:hint="eastAsia" w:cs="Times New Roman"/>
                <w:b w:val="0"/>
                <w:bCs w:val="0"/>
                <w:lang w:val="en-US" w:eastAsia="zh-CN"/>
              </w:rPr>
              <w:t>支持的</w:t>
            </w:r>
            <w:r>
              <w:rPr>
                <w:rFonts w:hint="default" w:ascii="Times New Roman" w:hAnsi="Times New Roman" w:eastAsia="新宋体" w:cs="Times New Roman"/>
                <w:b w:val="0"/>
                <w:bCs w:val="0"/>
                <w:lang w:val="en-US" w:eastAsia="zh-CN"/>
              </w:rPr>
              <w:t>采集协议</w:t>
            </w:r>
            <w:r>
              <w:rPr>
                <w:rFonts w:hint="eastAsia" w:cs="Times New Roman"/>
                <w:b w:val="0"/>
                <w:bCs w:val="0"/>
                <w:lang w:val="en-US" w:eastAsia="zh-CN"/>
              </w:rPr>
              <w:t>包括</w:t>
            </w:r>
            <w:r>
              <w:rPr>
                <w:rFonts w:hint="default" w:ascii="Times New Roman" w:hAnsi="Times New Roman" w:eastAsia="新宋体" w:cs="Times New Roman"/>
                <w:b w:val="0"/>
                <w:bCs w:val="0"/>
                <w:lang w:val="en-US" w:eastAsia="zh-CN"/>
              </w:rPr>
              <w:t>：Modbus-RTU、Modbus-TCP、DLT645、IEC104。</w:t>
            </w:r>
            <w:r>
              <w:rPr>
                <w:rFonts w:hint="eastAsia" w:ascii="Times New Roman" w:hAnsi="Times New Roman" w:eastAsia="新宋体" w:cs="Times New Roman"/>
                <w:b w:val="0"/>
                <w:bCs w:val="0"/>
                <w:lang w:val="en-US" w:eastAsia="zh-CN"/>
              </w:rPr>
              <w:t>宜支持协议插件或规约库的方式配置采集；</w:t>
            </w:r>
          </w:p>
          <w:p w14:paraId="2FEB337E">
            <w:pPr>
              <w:numPr>
                <w:ilvl w:val="0"/>
                <w:numId w:val="4"/>
              </w:numPr>
              <w:spacing w:line="360" w:lineRule="auto"/>
              <w:ind w:left="420" w:leftChars="0" w:hanging="420" w:firstLineChars="0"/>
              <w:rPr>
                <w:rFonts w:hint="default" w:ascii="Times New Roman" w:hAnsi="Times New Roman" w:eastAsia="新宋体" w:cs="Times New Roman"/>
                <w:b w:val="0"/>
                <w:bCs w:val="0"/>
                <w:lang w:val="en-US" w:eastAsia="zh-CN"/>
              </w:rPr>
            </w:pPr>
            <w:r>
              <w:rPr>
                <w:rFonts w:hint="eastAsia" w:ascii="宋体" w:hAnsi="宋体" w:eastAsia="宋体" w:cs="宋体"/>
                <w:b/>
                <w:bCs/>
                <w:color w:val="auto"/>
                <w:spacing w:val="-4"/>
                <w:highlight w:val="none"/>
              </w:rPr>
              <w:t>★</w:t>
            </w:r>
            <w:r>
              <w:rPr>
                <w:rFonts w:hint="default" w:ascii="Times New Roman" w:hAnsi="Times New Roman" w:eastAsia="新宋体" w:cs="Times New Roman"/>
                <w:b w:val="0"/>
                <w:bCs w:val="0"/>
                <w:lang w:val="en-US" w:eastAsia="zh-CN"/>
              </w:rPr>
              <w:t>设备接入量不低于300个，采用模型化配置</w:t>
            </w:r>
            <w:r>
              <w:rPr>
                <w:rFonts w:hint="eastAsia" w:cs="Times New Roman"/>
                <w:b w:val="0"/>
                <w:bCs w:val="0"/>
                <w:lang w:val="en-US" w:eastAsia="zh-CN"/>
              </w:rPr>
              <w:t>的方式快速批量接入园区设备</w:t>
            </w:r>
            <w:r>
              <w:rPr>
                <w:rFonts w:hint="default" w:ascii="Times New Roman" w:hAnsi="Times New Roman" w:eastAsia="新宋体" w:cs="Times New Roman"/>
                <w:b w:val="0"/>
                <w:bCs w:val="0"/>
                <w:lang w:val="en-US" w:eastAsia="zh-CN"/>
              </w:rPr>
              <w:t>。</w:t>
            </w:r>
          </w:p>
          <w:p w14:paraId="33789FA8">
            <w:pPr>
              <w:numPr>
                <w:ilvl w:val="0"/>
                <w:numId w:val="9"/>
              </w:numPr>
              <w:spacing w:line="360" w:lineRule="auto"/>
              <w:ind w:left="0" w:leftChars="0" w:firstLine="0" w:firstLineChars="0"/>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设备控制需求</w:t>
            </w:r>
          </w:p>
          <w:p w14:paraId="5A18FEC5">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支持对园区内光伏、风电、储能、柔性负荷等设备进行能量调控；支持对园区楼宇照明等灯控设备进行控制。</w:t>
            </w:r>
          </w:p>
          <w:p w14:paraId="6787119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408" w:type="dxa"/>
            <w:vAlign w:val="center"/>
          </w:tcPr>
          <w:p w14:paraId="1CDA91E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64911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037ECB66">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2414" w:type="dxa"/>
            <w:vAlign w:val="center"/>
          </w:tcPr>
          <w:p w14:paraId="7D02146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主站对接要求</w:t>
            </w:r>
          </w:p>
        </w:tc>
        <w:tc>
          <w:tcPr>
            <w:tcW w:w="4360" w:type="dxa"/>
            <w:vAlign w:val="center"/>
          </w:tcPr>
          <w:p w14:paraId="6275BED9">
            <w:pPr>
              <w:numPr>
                <w:ilvl w:val="0"/>
                <w:numId w:val="9"/>
              </w:numPr>
              <w:spacing w:line="360" w:lineRule="auto"/>
              <w:ind w:left="0" w:leftChars="0" w:firstLine="0" w:firstLineChars="0"/>
              <w:rPr>
                <w:rFonts w:hint="default" w:ascii="宋体" w:hAnsi="宋体" w:eastAsia="宋体" w:cs="宋体"/>
                <w:b/>
                <w:bCs/>
                <w:color w:val="auto"/>
                <w:highlight w:val="none"/>
                <w:lang w:val="en-US" w:eastAsia="zh-CN"/>
              </w:rPr>
            </w:pPr>
            <w:r>
              <w:rPr>
                <w:rFonts w:hint="eastAsia" w:ascii="宋体" w:hAnsi="宋体" w:eastAsia="宋体" w:cs="宋体"/>
                <w:b/>
                <w:bCs/>
                <w:color w:val="auto"/>
                <w:spacing w:val="-4"/>
                <w:highlight w:val="none"/>
              </w:rPr>
              <w:t>★</w:t>
            </w:r>
            <w:r>
              <w:rPr>
                <w:rFonts w:hint="default" w:ascii="宋体" w:hAnsi="宋体" w:eastAsia="宋体" w:cs="宋体"/>
                <w:b/>
                <w:bCs/>
                <w:color w:val="auto"/>
                <w:highlight w:val="none"/>
                <w:lang w:val="en-US" w:eastAsia="zh-CN"/>
              </w:rPr>
              <w:t>主站接入</w:t>
            </w:r>
          </w:p>
          <w:p w14:paraId="624CF869">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装置支持挑点上送至北向主站，支持方便快捷的配置选择所需上报的采集数据进行上送到主站，并支持多个主站同时上送，支持以下主站类型的接入：</w:t>
            </w:r>
          </w:p>
          <w:p w14:paraId="5EA97188">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1、</w:t>
            </w:r>
            <w:r>
              <w:rPr>
                <w:rFonts w:hint="eastAsia" w:ascii="宋体" w:hAnsi="宋体" w:eastAsia="宋体" w:cs="宋体"/>
                <w:lang w:val="en-US" w:eastAsia="zh-CN"/>
              </w:rPr>
              <w:t>物联网平台的接入</w:t>
            </w:r>
          </w:p>
          <w:p w14:paraId="724B0323">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2、IEC104主站</w:t>
            </w:r>
          </w:p>
          <w:p w14:paraId="459651BB">
            <w:pPr>
              <w:spacing w:line="360" w:lineRule="auto"/>
              <w:ind w:firstLine="420" w:firstLineChars="200"/>
              <w:rPr>
                <w:rFonts w:ascii="宋体" w:hAnsi="宋体" w:eastAsia="宋体" w:cs="宋体"/>
                <w:color w:val="auto"/>
                <w:highlight w:val="none"/>
              </w:rPr>
            </w:pPr>
            <w:r>
              <w:rPr>
                <w:rFonts w:hint="default" w:ascii="宋体" w:hAnsi="宋体" w:eastAsia="宋体" w:cs="宋体"/>
                <w:lang w:val="en-US" w:eastAsia="zh-CN"/>
              </w:rPr>
              <w:t>3、Modbus-TCP主站</w:t>
            </w:r>
          </w:p>
        </w:tc>
        <w:tc>
          <w:tcPr>
            <w:tcW w:w="1408" w:type="dxa"/>
            <w:vAlign w:val="center"/>
          </w:tcPr>
          <w:p w14:paraId="66FA6F9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3CA3A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650" w:type="dxa"/>
            <w:vAlign w:val="center"/>
          </w:tcPr>
          <w:p w14:paraId="7ADA0326">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2414" w:type="dxa"/>
            <w:vAlign w:val="center"/>
          </w:tcPr>
          <w:p w14:paraId="155AFB9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可视化运维要求</w:t>
            </w:r>
          </w:p>
        </w:tc>
        <w:tc>
          <w:tcPr>
            <w:tcW w:w="4360" w:type="dxa"/>
            <w:vAlign w:val="center"/>
          </w:tcPr>
          <w:p w14:paraId="1815C348">
            <w:pPr>
              <w:numPr>
                <w:ilvl w:val="0"/>
                <w:numId w:val="9"/>
              </w:numPr>
              <w:spacing w:line="360" w:lineRule="auto"/>
              <w:ind w:left="0" w:leftChars="0" w:firstLine="0" w:firstLineChars="0"/>
              <w:rPr>
                <w:rFonts w:hint="default" w:ascii="宋体" w:hAnsi="宋体" w:eastAsia="宋体" w:cs="宋体"/>
                <w:b/>
                <w:bCs/>
                <w:color w:val="auto"/>
                <w:highlight w:val="none"/>
                <w:lang w:val="en-US" w:eastAsia="zh-CN"/>
              </w:rPr>
            </w:pPr>
            <w:r>
              <w:rPr>
                <w:rFonts w:hint="eastAsia" w:ascii="宋体" w:hAnsi="宋体" w:eastAsia="宋体" w:cs="宋体"/>
                <w:b/>
                <w:bCs/>
                <w:color w:val="auto"/>
                <w:spacing w:val="-4"/>
                <w:highlight w:val="none"/>
              </w:rPr>
              <w:t>★</w:t>
            </w:r>
            <w:r>
              <w:rPr>
                <w:rFonts w:hint="default" w:ascii="宋体" w:hAnsi="宋体" w:eastAsia="宋体" w:cs="宋体"/>
                <w:b/>
                <w:bCs/>
                <w:color w:val="auto"/>
                <w:highlight w:val="none"/>
                <w:lang w:val="en-US" w:eastAsia="zh-CN"/>
              </w:rPr>
              <w:t>人机交互与便捷运维</w:t>
            </w:r>
          </w:p>
          <w:p w14:paraId="60BC8FDF">
            <w:pPr>
              <w:spacing w:line="360" w:lineRule="auto"/>
              <w:ind w:firstLine="420" w:firstLineChars="200"/>
              <w:rPr>
                <w:rFonts w:hint="default" w:ascii="宋体" w:hAnsi="宋体" w:eastAsia="宋体" w:cs="宋体"/>
                <w:lang w:val="en-US" w:eastAsia="zh-CN"/>
              </w:rPr>
            </w:pPr>
            <w:r>
              <w:rPr>
                <w:rFonts w:hint="default" w:ascii="宋体" w:hAnsi="宋体" w:eastAsia="宋体" w:cs="宋体"/>
                <w:lang w:val="en-US" w:eastAsia="zh-CN"/>
              </w:rPr>
              <w:t>支持</w:t>
            </w:r>
            <w:r>
              <w:rPr>
                <w:rFonts w:hint="eastAsia" w:ascii="宋体" w:hAnsi="宋体" w:eastAsia="宋体" w:cs="宋体"/>
                <w:lang w:val="en-US" w:eastAsia="zh-CN"/>
              </w:rPr>
              <w:t>通过可视化运维管理工具</w:t>
            </w:r>
            <w:r>
              <w:rPr>
                <w:rFonts w:hint="default" w:ascii="宋体" w:hAnsi="宋体" w:eastAsia="宋体" w:cs="宋体"/>
                <w:lang w:val="en-US" w:eastAsia="zh-CN"/>
              </w:rPr>
              <w:t>查看各类设备的运行数据</w:t>
            </w:r>
            <w:r>
              <w:rPr>
                <w:rFonts w:hint="eastAsia" w:ascii="宋体" w:hAnsi="宋体" w:eastAsia="宋体" w:cs="宋体"/>
                <w:lang w:val="en-US" w:eastAsia="zh-CN"/>
              </w:rPr>
              <w:t>、通讯报文等</w:t>
            </w:r>
            <w:r>
              <w:rPr>
                <w:rFonts w:hint="default" w:ascii="宋体" w:hAnsi="宋体" w:eastAsia="宋体" w:cs="宋体"/>
                <w:lang w:val="en-US" w:eastAsia="zh-CN"/>
              </w:rPr>
              <w:t>。</w:t>
            </w:r>
          </w:p>
          <w:p w14:paraId="0DE354FC">
            <w:pPr>
              <w:spacing w:line="360" w:lineRule="auto"/>
              <w:ind w:firstLine="420" w:firstLineChars="200"/>
              <w:rPr>
                <w:rFonts w:ascii="宋体" w:hAnsi="宋体" w:eastAsia="宋体" w:cs="宋体"/>
                <w:color w:val="auto"/>
                <w:highlight w:val="none"/>
              </w:rPr>
            </w:pPr>
            <w:r>
              <w:rPr>
                <w:rFonts w:hint="eastAsia" w:ascii="宋体" w:hAnsi="宋体" w:eastAsia="宋体" w:cs="宋体"/>
                <w:lang w:val="en-US" w:eastAsia="zh-CN"/>
              </w:rPr>
              <w:t>支持通过可视化运维管理工具快速</w:t>
            </w:r>
            <w:r>
              <w:rPr>
                <w:rFonts w:hint="default" w:ascii="宋体" w:hAnsi="宋体" w:eastAsia="宋体" w:cs="宋体"/>
                <w:lang w:val="en-US" w:eastAsia="zh-CN"/>
              </w:rPr>
              <w:t>接入</w:t>
            </w:r>
            <w:r>
              <w:rPr>
                <w:rFonts w:hint="eastAsia" w:ascii="宋体" w:hAnsi="宋体" w:eastAsia="宋体" w:cs="宋体"/>
                <w:lang w:val="en-US" w:eastAsia="zh-CN"/>
              </w:rPr>
              <w:t>采集</w:t>
            </w:r>
            <w:r>
              <w:rPr>
                <w:rFonts w:hint="default" w:ascii="宋体" w:hAnsi="宋体" w:eastAsia="宋体" w:cs="宋体"/>
                <w:lang w:val="en-US" w:eastAsia="zh-CN"/>
              </w:rPr>
              <w:t>设备，</w:t>
            </w:r>
            <w:r>
              <w:rPr>
                <w:rFonts w:hint="eastAsia" w:ascii="宋体" w:hAnsi="宋体" w:eastAsia="宋体" w:cs="宋体"/>
                <w:lang w:val="en-US" w:eastAsia="zh-CN"/>
              </w:rPr>
              <w:t>支持模型化</w:t>
            </w:r>
            <w:r>
              <w:rPr>
                <w:rFonts w:hint="default" w:ascii="宋体" w:hAnsi="宋体" w:eastAsia="宋体" w:cs="宋体"/>
                <w:lang w:val="en-US" w:eastAsia="zh-CN"/>
              </w:rPr>
              <w:t>配置管理，方便对园区各类设备进行快速的接入配置。</w:t>
            </w:r>
          </w:p>
        </w:tc>
        <w:tc>
          <w:tcPr>
            <w:tcW w:w="1408" w:type="dxa"/>
            <w:vAlign w:val="center"/>
          </w:tcPr>
          <w:p w14:paraId="743CD3F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77B42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7B75D439">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p>
        </w:tc>
        <w:tc>
          <w:tcPr>
            <w:tcW w:w="2414" w:type="dxa"/>
            <w:vAlign w:val="center"/>
          </w:tcPr>
          <w:p w14:paraId="1729171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外观结构要求</w:t>
            </w:r>
          </w:p>
        </w:tc>
        <w:tc>
          <w:tcPr>
            <w:tcW w:w="4360" w:type="dxa"/>
            <w:vAlign w:val="center"/>
          </w:tcPr>
          <w:p w14:paraId="75B3501B">
            <w:pPr>
              <w:spacing w:line="360" w:lineRule="auto"/>
              <w:ind w:firstLine="422"/>
              <w:rPr>
                <w:rFonts w:hint="eastAsia"/>
                <w:b/>
                <w:bCs/>
                <w:lang w:val="en-US" w:eastAsia="zh-CN"/>
              </w:rPr>
            </w:pPr>
            <w:r>
              <w:rPr>
                <w:rFonts w:hint="eastAsia"/>
                <w:b/>
                <w:bCs/>
                <w:lang w:val="en-US" w:eastAsia="zh-CN"/>
              </w:rPr>
              <w:t>5.2.3  外观结构要求</w:t>
            </w:r>
          </w:p>
          <w:p w14:paraId="7C07990E">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金属结构件应有防锈措施。安装在室内设备其外壳防护等级不得低于GB/T 4208中IP20的规定。</w:t>
            </w:r>
          </w:p>
          <w:p w14:paraId="656ACD45">
            <w:pPr>
              <w:spacing w:line="360" w:lineRule="auto"/>
              <w:ind w:firstLine="406" w:firstLineChars="200"/>
              <w:rPr>
                <w:rFonts w:hint="eastAsia" w:eastAsia="宋体"/>
                <w:lang w:val="en-US" w:eastAsia="zh-CN"/>
              </w:rPr>
            </w:pPr>
            <w:r>
              <w:rPr>
                <w:rFonts w:hint="eastAsia" w:ascii="宋体" w:hAnsi="宋体" w:eastAsia="宋体" w:cs="宋体"/>
                <w:b/>
                <w:bCs/>
                <w:color w:val="auto"/>
                <w:spacing w:val="-4"/>
                <w:highlight w:val="none"/>
              </w:rPr>
              <w:t>★</w:t>
            </w:r>
            <w:r>
              <w:rPr>
                <w:rFonts w:hint="eastAsia" w:eastAsia="宋体"/>
                <w:lang w:val="en-US" w:eastAsia="zh-CN"/>
              </w:rPr>
              <w:t>机械尺寸不得大于：185*130*56mm。</w:t>
            </w:r>
          </w:p>
          <w:p w14:paraId="5E70F81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408" w:type="dxa"/>
            <w:vAlign w:val="center"/>
          </w:tcPr>
          <w:p w14:paraId="2B4809B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00175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2EC3186A">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p>
        </w:tc>
        <w:tc>
          <w:tcPr>
            <w:tcW w:w="2414" w:type="dxa"/>
            <w:vAlign w:val="center"/>
          </w:tcPr>
          <w:p w14:paraId="33703489">
            <w:pPr>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highlight w:val="none"/>
              </w:rPr>
              <w:t>环境适应性要求</w:t>
            </w:r>
          </w:p>
        </w:tc>
        <w:tc>
          <w:tcPr>
            <w:tcW w:w="4360" w:type="dxa"/>
            <w:vAlign w:val="center"/>
          </w:tcPr>
          <w:p w14:paraId="66F7714C">
            <w:pPr>
              <w:spacing w:line="360" w:lineRule="auto"/>
              <w:ind w:firstLine="422" w:firstLineChars="0"/>
              <w:rPr>
                <w:rFonts w:ascii="Arial" w:hAnsi="Arial" w:eastAsia="Arial" w:cs="Arial"/>
                <w:b/>
                <w:bCs/>
                <w:snapToGrid w:val="0"/>
                <w:color w:val="000000"/>
                <w:sz w:val="21"/>
                <w:szCs w:val="21"/>
                <w:highlight w:val="none"/>
                <w:lang w:val="en-US" w:eastAsia="zh-CN" w:bidi="ar-SA"/>
              </w:rPr>
            </w:pPr>
            <w:r>
              <w:rPr>
                <w:rFonts w:hint="eastAsia" w:ascii="宋体" w:hAnsi="宋体" w:eastAsia="宋体" w:cs="宋体"/>
                <w:b/>
                <w:bCs/>
                <w:color w:val="auto"/>
                <w:spacing w:val="-4"/>
                <w:highlight w:val="none"/>
              </w:rPr>
              <w:t>★</w:t>
            </w:r>
            <w:r>
              <w:rPr>
                <w:rFonts w:hint="eastAsia" w:eastAsiaTheme="minorEastAsia"/>
                <w:highlight w:val="none"/>
                <w:lang w:val="zh-CN"/>
              </w:rPr>
              <w:t>满足极端条件下的运行温度要求：</w:t>
            </w:r>
            <w:r>
              <w:rPr>
                <w:rFonts w:hint="eastAsia" w:asciiTheme="minorEastAsia" w:hAnsiTheme="minorEastAsia" w:eastAsiaTheme="minorEastAsia"/>
                <w:highlight w:val="none"/>
              </w:rPr>
              <w:t>最高温度：</w:t>
            </w:r>
            <w:r>
              <w:rPr>
                <w:rFonts w:hint="eastAsia" w:asciiTheme="minorEastAsia" w:hAnsiTheme="minorEastAsia" w:eastAsiaTheme="minorEastAsia"/>
                <w:highlight w:val="none"/>
                <w:lang w:val="en-US" w:eastAsia="zh-CN"/>
              </w:rPr>
              <w:t>85</w:t>
            </w:r>
            <w:r>
              <w:rPr>
                <w:rFonts w:hint="eastAsia" w:asciiTheme="minorEastAsia" w:hAnsiTheme="minorEastAsia" w:eastAsiaTheme="minorEastAsia"/>
                <w:highlight w:val="none"/>
              </w:rPr>
              <w:t>℃，最低温度：</w:t>
            </w:r>
            <w:r>
              <w:rPr>
                <w:rFonts w:asciiTheme="minorEastAsia" w:hAnsiTheme="minorEastAsia" w:eastAsiaTheme="minorEastAsia"/>
                <w:highlight w:val="none"/>
              </w:rPr>
              <w:t>-4</w:t>
            </w:r>
            <w:r>
              <w:rPr>
                <w:rFonts w:hint="eastAsia" w:asciiTheme="minorEastAsia" w:hAnsiTheme="minorEastAsia" w:eastAsiaTheme="minorEastAsia"/>
                <w:highlight w:val="none"/>
                <w:lang w:val="en-US" w:eastAsia="zh-CN"/>
              </w:rPr>
              <w:t>0</w:t>
            </w:r>
            <w:r>
              <w:rPr>
                <w:rFonts w:hint="eastAsia" w:asciiTheme="minorEastAsia" w:hAnsiTheme="minorEastAsia" w:eastAsiaTheme="minorEastAsia"/>
                <w:highlight w:val="none"/>
              </w:rPr>
              <w:t>℃</w:t>
            </w:r>
            <w:r>
              <w:rPr>
                <w:rFonts w:hint="eastAsia" w:ascii="宋体" w:hAnsi="宋体" w:eastAsia="宋体" w:cs="宋体"/>
                <w:highlight w:val="none"/>
              </w:rPr>
              <w:t>。</w:t>
            </w:r>
          </w:p>
        </w:tc>
        <w:tc>
          <w:tcPr>
            <w:tcW w:w="1408" w:type="dxa"/>
            <w:vAlign w:val="center"/>
          </w:tcPr>
          <w:p w14:paraId="35F7539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716D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0" w:type="dxa"/>
            <w:vAlign w:val="center"/>
          </w:tcPr>
          <w:p w14:paraId="663DACE2">
            <w:pPr>
              <w:keepNext w:val="0"/>
              <w:keepLines w:val="0"/>
              <w:pageBreakBefore w:val="0"/>
              <w:widowControl/>
              <w:kinsoku w:val="0"/>
              <w:wordWrap/>
              <w:overflowPunct/>
              <w:topLinePunct w:val="0"/>
              <w:autoSpaceDE w:val="0"/>
              <w:autoSpaceDN w:val="0"/>
              <w:bidi w:val="0"/>
              <w:adjustRightInd w:val="0"/>
              <w:snapToGrid w:val="0"/>
              <w:spacing w:line="240" w:lineRule="auto"/>
              <w:ind w:firstLine="210" w:firstLineChars="10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w:t>
            </w:r>
          </w:p>
        </w:tc>
        <w:tc>
          <w:tcPr>
            <w:tcW w:w="2414" w:type="dxa"/>
            <w:vAlign w:val="center"/>
          </w:tcPr>
          <w:p w14:paraId="24D2B0A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第三方试验要求</w:t>
            </w:r>
          </w:p>
        </w:tc>
        <w:tc>
          <w:tcPr>
            <w:tcW w:w="4360" w:type="dxa"/>
            <w:vAlign w:val="center"/>
          </w:tcPr>
          <w:p w14:paraId="2590F486">
            <w:pPr>
              <w:keepNext w:val="0"/>
              <w:keepLines w:val="0"/>
              <w:pageBreakBefore w:val="0"/>
              <w:widowControl/>
              <w:kinsoku w:val="0"/>
              <w:wordWrap/>
              <w:overflowPunct/>
              <w:topLinePunct w:val="0"/>
              <w:autoSpaceDE w:val="0"/>
              <w:autoSpaceDN w:val="0"/>
              <w:bidi w:val="0"/>
              <w:adjustRightInd w:val="0"/>
              <w:snapToGrid w:val="0"/>
              <w:spacing w:line="240" w:lineRule="auto"/>
              <w:ind w:firstLine="420" w:firstLineChars="200"/>
              <w:jc w:val="both"/>
              <w:textAlignment w:val="baseline"/>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具备第三方型式试验报告认证</w:t>
            </w:r>
          </w:p>
        </w:tc>
        <w:tc>
          <w:tcPr>
            <w:tcW w:w="1408" w:type="dxa"/>
            <w:vAlign w:val="center"/>
          </w:tcPr>
          <w:p w14:paraId="7B2CF01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bl>
    <w:p w14:paraId="19C0F76E">
      <w:pPr>
        <w:spacing w:before="33" w:line="360" w:lineRule="auto"/>
        <w:ind w:left="463" w:firstLine="428"/>
        <w:rPr>
          <w:rFonts w:ascii="宋体" w:hAnsi="宋体" w:eastAsia="宋体" w:cs="宋体"/>
          <w:color w:val="auto"/>
          <w:spacing w:val="4"/>
          <w:highlight w:val="none"/>
        </w:rPr>
      </w:pPr>
      <w:r>
        <w:rPr>
          <w:rFonts w:hint="eastAsia" w:ascii="宋体" w:hAnsi="宋体" w:eastAsia="宋体" w:cs="宋体"/>
          <w:color w:val="auto"/>
          <w:spacing w:val="4"/>
          <w:highlight w:val="none"/>
        </w:rPr>
        <w:t>标注“★”的为关键参数条款，投标人必须满足要求。</w:t>
      </w:r>
    </w:p>
    <w:p w14:paraId="3DB8B363">
      <w:pPr>
        <w:spacing w:before="68" w:line="360" w:lineRule="auto"/>
        <w:ind w:firstLine="414"/>
        <w:outlineLvl w:val="0"/>
        <w:rPr>
          <w:rFonts w:ascii="宋体" w:hAnsi="宋体" w:eastAsia="宋体" w:cs="宋体"/>
          <w:color w:val="auto"/>
          <w:highlight w:val="none"/>
        </w:rPr>
      </w:pPr>
      <w:bookmarkStart w:id="78" w:name="_Toc6613"/>
      <w:r>
        <w:rPr>
          <w:rFonts w:hint="eastAsia" w:ascii="宋体" w:hAnsi="宋体" w:eastAsia="宋体" w:cs="宋体"/>
          <w:b/>
          <w:bCs/>
          <w:color w:val="auto"/>
          <w:spacing w:val="-4"/>
          <w:highlight w:val="none"/>
        </w:rPr>
        <w:t>1</w:t>
      </w:r>
      <w:r>
        <w:rPr>
          <w:rFonts w:hint="eastAsia" w:ascii="宋体" w:hAnsi="宋体" w:eastAsia="宋体" w:cs="宋体"/>
          <w:b/>
          <w:bCs/>
          <w:color w:val="auto"/>
          <w:spacing w:val="-4"/>
          <w:highlight w:val="none"/>
          <w:lang w:val="en-US" w:eastAsia="zh-CN"/>
        </w:rPr>
        <w:t>2</w:t>
      </w:r>
      <w:r>
        <w:rPr>
          <w:rFonts w:hint="eastAsia" w:ascii="宋体" w:hAnsi="宋体" w:eastAsia="宋体" w:cs="宋体"/>
          <w:color w:val="auto"/>
          <w:spacing w:val="11"/>
          <w:highlight w:val="none"/>
        </w:rPr>
        <w:t xml:space="preserve">  </w:t>
      </w:r>
      <w:r>
        <w:rPr>
          <w:rFonts w:hint="eastAsia" w:ascii="宋体" w:hAnsi="宋体" w:eastAsia="宋体" w:cs="宋体"/>
          <w:b/>
          <w:bCs/>
          <w:color w:val="auto"/>
          <w:spacing w:val="-4"/>
          <w:highlight w:val="none"/>
        </w:rPr>
        <w:t>主要元器件来源</w:t>
      </w:r>
      <w:bookmarkEnd w:id="78"/>
    </w:p>
    <w:p w14:paraId="656D00A7">
      <w:pPr>
        <w:spacing w:before="173" w:line="360" w:lineRule="auto"/>
        <w:ind w:left="464" w:firstLine="400"/>
        <w:rPr>
          <w:rFonts w:ascii="宋体" w:hAnsi="宋体" w:eastAsia="宋体" w:cs="宋体"/>
          <w:color w:val="auto"/>
          <w:highlight w:val="none"/>
        </w:rPr>
      </w:pPr>
      <w:r>
        <w:rPr>
          <w:rFonts w:hint="eastAsia" w:ascii="宋体" w:hAnsi="宋体" w:eastAsia="宋体" w:cs="宋体"/>
          <w:color w:val="auto"/>
          <w:spacing w:val="-10"/>
          <w:highlight w:val="none"/>
          <w:u w:val="single"/>
        </w:rPr>
        <w:t>投标方应按表12如实填写主要元器件来源。</w:t>
      </w:r>
      <w:r>
        <w:rPr>
          <w:rFonts w:hint="eastAsia" w:ascii="宋体" w:hAnsi="宋体" w:eastAsia="宋体" w:cs="宋体"/>
          <w:color w:val="auto"/>
          <w:spacing w:val="4"/>
          <w:highlight w:val="none"/>
          <w:u w:val="single"/>
        </w:rPr>
        <w:t xml:space="preserve">  </w:t>
      </w:r>
    </w:p>
    <w:p w14:paraId="1CE286EC">
      <w:pPr>
        <w:spacing w:before="120" w:line="360" w:lineRule="auto"/>
        <w:ind w:left="2164" w:firstLine="424"/>
        <w:rPr>
          <w:rFonts w:ascii="宋体" w:hAnsi="宋体" w:eastAsia="宋体" w:cs="宋体"/>
          <w:b/>
          <w:bCs/>
          <w:color w:val="auto"/>
          <w:highlight w:val="none"/>
        </w:rPr>
      </w:pPr>
      <w:r>
        <w:rPr>
          <w:rFonts w:hint="eastAsia" w:ascii="宋体" w:hAnsi="宋体" w:eastAsia="宋体" w:cs="宋体"/>
          <w:b/>
          <w:bCs/>
          <w:color w:val="auto"/>
          <w:spacing w:val="1"/>
          <w:highlight w:val="none"/>
        </w:rPr>
        <w:t>表12主要元器件来源一览表(投标方填写)</w:t>
      </w:r>
    </w:p>
    <w:tbl>
      <w:tblPr>
        <w:tblStyle w:val="21"/>
        <w:tblW w:w="87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2028"/>
        <w:gridCol w:w="2037"/>
        <w:gridCol w:w="2047"/>
        <w:gridCol w:w="1943"/>
      </w:tblGrid>
      <w:tr w14:paraId="2B0F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724" w:type="dxa"/>
          </w:tcPr>
          <w:p w14:paraId="13915A6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6"/>
                <w:highlight w:val="none"/>
              </w:rPr>
              <w:t>序号</w:t>
            </w:r>
          </w:p>
        </w:tc>
        <w:tc>
          <w:tcPr>
            <w:tcW w:w="2028" w:type="dxa"/>
          </w:tcPr>
          <w:p w14:paraId="4287B81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1"/>
                <w:highlight w:val="none"/>
              </w:rPr>
              <w:t>元器件名称及型号</w:t>
            </w:r>
          </w:p>
        </w:tc>
        <w:tc>
          <w:tcPr>
            <w:tcW w:w="2037" w:type="dxa"/>
          </w:tcPr>
          <w:p w14:paraId="789A6C5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1"/>
                <w:highlight w:val="none"/>
              </w:rPr>
              <w:t>生产厂家名称</w:t>
            </w:r>
          </w:p>
        </w:tc>
        <w:tc>
          <w:tcPr>
            <w:tcW w:w="2047" w:type="dxa"/>
          </w:tcPr>
          <w:p w14:paraId="39E7C83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生产厂家地址</w:t>
            </w:r>
          </w:p>
        </w:tc>
        <w:tc>
          <w:tcPr>
            <w:tcW w:w="1943" w:type="dxa"/>
          </w:tcPr>
          <w:p w14:paraId="5A077E97">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生产厂家联系方式</w:t>
            </w:r>
          </w:p>
        </w:tc>
      </w:tr>
      <w:tr w14:paraId="389D5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724" w:type="dxa"/>
          </w:tcPr>
          <w:p w14:paraId="44AE4C8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1</w:t>
            </w:r>
          </w:p>
        </w:tc>
        <w:tc>
          <w:tcPr>
            <w:tcW w:w="2028" w:type="dxa"/>
          </w:tcPr>
          <w:p w14:paraId="614F93F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主控芯片</w:t>
            </w:r>
          </w:p>
        </w:tc>
        <w:tc>
          <w:tcPr>
            <w:tcW w:w="2037" w:type="dxa"/>
          </w:tcPr>
          <w:p w14:paraId="7DA7CF9B">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2047" w:type="dxa"/>
          </w:tcPr>
          <w:p w14:paraId="53085B94">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1943" w:type="dxa"/>
          </w:tcPr>
          <w:p w14:paraId="2958ED00">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r>
      <w:tr w14:paraId="09849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724" w:type="dxa"/>
          </w:tcPr>
          <w:p w14:paraId="04E59BA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2</w:t>
            </w:r>
          </w:p>
        </w:tc>
        <w:tc>
          <w:tcPr>
            <w:tcW w:w="2028" w:type="dxa"/>
          </w:tcPr>
          <w:p w14:paraId="24E1944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lang w:val="en-US" w:eastAsia="zh-CN"/>
              </w:rPr>
              <w:t>内存</w:t>
            </w:r>
            <w:r>
              <w:rPr>
                <w:rFonts w:hint="eastAsia" w:ascii="宋体" w:hAnsi="宋体" w:eastAsia="宋体" w:cs="宋体"/>
                <w:color w:val="auto"/>
                <w:spacing w:val="6"/>
                <w:highlight w:val="none"/>
              </w:rPr>
              <w:t>芯片</w:t>
            </w:r>
          </w:p>
        </w:tc>
        <w:tc>
          <w:tcPr>
            <w:tcW w:w="2037" w:type="dxa"/>
          </w:tcPr>
          <w:p w14:paraId="02CCFF01">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2047" w:type="dxa"/>
          </w:tcPr>
          <w:p w14:paraId="20705EB8">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1943" w:type="dxa"/>
          </w:tcPr>
          <w:p w14:paraId="31F4EC31">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r>
      <w:tr w14:paraId="4FB29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724" w:type="dxa"/>
          </w:tcPr>
          <w:p w14:paraId="701FBEB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3</w:t>
            </w:r>
          </w:p>
        </w:tc>
        <w:tc>
          <w:tcPr>
            <w:tcW w:w="2028" w:type="dxa"/>
          </w:tcPr>
          <w:p w14:paraId="631B917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外存芯片</w:t>
            </w:r>
          </w:p>
        </w:tc>
        <w:tc>
          <w:tcPr>
            <w:tcW w:w="2037" w:type="dxa"/>
          </w:tcPr>
          <w:p w14:paraId="6E92D578">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2047" w:type="dxa"/>
          </w:tcPr>
          <w:p w14:paraId="1EBC29AB">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1943" w:type="dxa"/>
          </w:tcPr>
          <w:p w14:paraId="2B651FF1">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r>
      <w:tr w14:paraId="5D349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724" w:type="dxa"/>
          </w:tcPr>
          <w:p w14:paraId="3924201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4</w:t>
            </w:r>
          </w:p>
        </w:tc>
        <w:tc>
          <w:tcPr>
            <w:tcW w:w="2028" w:type="dxa"/>
          </w:tcPr>
          <w:p w14:paraId="7DA1498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default" w:ascii="宋体" w:hAnsi="宋体" w:eastAsia="宋体" w:cs="宋体"/>
                <w:color w:val="auto"/>
                <w:spacing w:val="6"/>
                <w:highlight w:val="none"/>
                <w:lang w:val="en-US" w:eastAsia="zh-CN"/>
              </w:rPr>
            </w:pPr>
            <w:r>
              <w:rPr>
                <w:rFonts w:hint="eastAsia" w:ascii="宋体" w:hAnsi="宋体" w:eastAsia="宋体" w:cs="宋体"/>
                <w:color w:val="auto"/>
                <w:spacing w:val="6"/>
                <w:highlight w:val="none"/>
                <w:lang w:val="en-US" w:eastAsia="zh-CN"/>
              </w:rPr>
              <w:t>4G模组</w:t>
            </w:r>
          </w:p>
        </w:tc>
        <w:tc>
          <w:tcPr>
            <w:tcW w:w="2037" w:type="dxa"/>
          </w:tcPr>
          <w:p w14:paraId="19025DD9">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2047" w:type="dxa"/>
          </w:tcPr>
          <w:p w14:paraId="2890CD66">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c>
          <w:tcPr>
            <w:tcW w:w="1943" w:type="dxa"/>
          </w:tcPr>
          <w:p w14:paraId="2E01F1F2">
            <w:pPr>
              <w:keepNext w:val="0"/>
              <w:keepLines w:val="0"/>
              <w:pageBreakBefore w:val="0"/>
              <w:widowControl/>
              <w:kinsoku w:val="0"/>
              <w:wordWrap/>
              <w:overflowPunct/>
              <w:topLinePunct w:val="0"/>
              <w:autoSpaceDE w:val="0"/>
              <w:autoSpaceDN w:val="0"/>
              <w:bidi w:val="0"/>
              <w:adjustRightInd w:val="0"/>
              <w:snapToGrid w:val="0"/>
              <w:spacing w:line="240" w:lineRule="auto"/>
              <w:ind w:left="144" w:firstLine="432"/>
              <w:jc w:val="both"/>
              <w:textAlignment w:val="baseline"/>
              <w:rPr>
                <w:rFonts w:ascii="宋体" w:hAnsi="宋体" w:eastAsia="宋体" w:cs="宋体"/>
                <w:color w:val="auto"/>
                <w:spacing w:val="6"/>
                <w:highlight w:val="none"/>
              </w:rPr>
            </w:pPr>
          </w:p>
        </w:tc>
      </w:tr>
    </w:tbl>
    <w:p w14:paraId="1A7E4A96">
      <w:pPr>
        <w:spacing w:before="33" w:line="360" w:lineRule="auto"/>
        <w:ind w:firstLine="428"/>
        <w:rPr>
          <w:rFonts w:ascii="宋体" w:hAnsi="宋体" w:eastAsia="宋体" w:cs="宋体"/>
          <w:color w:val="auto"/>
          <w:spacing w:val="4"/>
          <w:highlight w:val="none"/>
        </w:rPr>
      </w:pPr>
    </w:p>
    <w:p w14:paraId="1BA30C1D">
      <w:pPr>
        <w:spacing w:before="68" w:line="360" w:lineRule="auto"/>
        <w:ind w:firstLine="414"/>
        <w:outlineLvl w:val="0"/>
        <w:rPr>
          <w:rFonts w:ascii="宋体" w:hAnsi="宋体" w:eastAsia="宋体" w:cs="宋体"/>
          <w:b/>
          <w:bCs/>
          <w:color w:val="auto"/>
          <w:spacing w:val="-4"/>
          <w:highlight w:val="none"/>
        </w:rPr>
      </w:pPr>
      <w:bookmarkStart w:id="79" w:name="_Toc20750"/>
      <w:r>
        <w:rPr>
          <w:rFonts w:hint="eastAsia" w:ascii="宋体" w:hAnsi="宋体" w:eastAsia="宋体" w:cs="宋体"/>
          <w:b/>
          <w:bCs/>
          <w:color w:val="auto"/>
          <w:spacing w:val="-4"/>
          <w:highlight w:val="none"/>
        </w:rPr>
        <w:t>1</w:t>
      </w:r>
      <w:r>
        <w:rPr>
          <w:rFonts w:hint="eastAsia" w:ascii="宋体" w:hAnsi="宋体" w:eastAsia="宋体" w:cs="宋体"/>
          <w:b/>
          <w:bCs/>
          <w:color w:val="auto"/>
          <w:spacing w:val="-4"/>
          <w:highlight w:val="none"/>
          <w:lang w:val="en-US" w:eastAsia="zh-CN"/>
        </w:rPr>
        <w:t>3</w:t>
      </w:r>
      <w:r>
        <w:rPr>
          <w:rFonts w:hint="eastAsia" w:ascii="宋体" w:hAnsi="宋体" w:eastAsia="宋体" w:cs="宋体"/>
          <w:color w:val="auto"/>
          <w:spacing w:val="18"/>
          <w:highlight w:val="none"/>
        </w:rPr>
        <w:t xml:space="preserve">  </w:t>
      </w:r>
      <w:r>
        <w:rPr>
          <w:rFonts w:hint="eastAsia" w:ascii="宋体" w:hAnsi="宋体" w:eastAsia="宋体" w:cs="宋体"/>
          <w:b/>
          <w:bCs/>
          <w:color w:val="auto"/>
          <w:spacing w:val="-4"/>
          <w:highlight w:val="none"/>
        </w:rPr>
        <w:t>技术差异表</w:t>
      </w:r>
      <w:bookmarkEnd w:id="79"/>
    </w:p>
    <w:p w14:paraId="746DD43E">
      <w:pPr>
        <w:spacing w:before="173" w:line="360" w:lineRule="auto"/>
        <w:ind w:left="464" w:firstLine="400"/>
        <w:rPr>
          <w:rFonts w:hint="eastAsia" w:ascii="宋体" w:hAnsi="宋体" w:eastAsia="宋体" w:cs="宋体"/>
          <w:color w:val="auto"/>
          <w:spacing w:val="-10"/>
          <w:highlight w:val="none"/>
          <w:u w:val="single"/>
        </w:rPr>
      </w:pPr>
      <w:r>
        <w:rPr>
          <w:rFonts w:hint="eastAsia" w:ascii="宋体" w:hAnsi="宋体" w:eastAsia="宋体" w:cs="宋体"/>
          <w:color w:val="auto"/>
          <w:spacing w:val="-10"/>
          <w:highlight w:val="none"/>
          <w:u w:val="single"/>
        </w:rPr>
        <w:t>投标方应将所供物资与本招标书技术文件有差异之处，无论优于或劣于本招标书技术文件</w:t>
      </w:r>
    </w:p>
    <w:p w14:paraId="4256A0F5">
      <w:pPr>
        <w:spacing w:before="173" w:line="360" w:lineRule="auto"/>
        <w:ind w:left="464" w:firstLine="400"/>
        <w:rPr>
          <w:rFonts w:hint="eastAsia" w:ascii="宋体" w:hAnsi="宋体" w:eastAsia="宋体" w:cs="宋体"/>
          <w:color w:val="auto"/>
          <w:spacing w:val="-10"/>
          <w:highlight w:val="none"/>
          <w:u w:val="single"/>
        </w:rPr>
      </w:pPr>
      <w:r>
        <w:rPr>
          <w:rFonts w:hint="eastAsia" w:ascii="宋体" w:hAnsi="宋体" w:eastAsia="宋体" w:cs="宋体"/>
          <w:color w:val="auto"/>
          <w:spacing w:val="-10"/>
          <w:highlight w:val="none"/>
          <w:u w:val="single"/>
        </w:rPr>
        <w:t>要求，均汇集成此表。</w:t>
      </w:r>
    </w:p>
    <w:p w14:paraId="3E5604B8">
      <w:pPr>
        <w:spacing w:before="203" w:line="360" w:lineRule="auto"/>
        <w:ind w:firstLine="440"/>
        <w:jc w:val="center"/>
        <w:rPr>
          <w:rFonts w:ascii="宋体" w:hAnsi="宋体" w:eastAsia="宋体" w:cs="宋体"/>
          <w:b/>
          <w:bCs/>
          <w:color w:val="auto"/>
          <w:highlight w:val="none"/>
        </w:rPr>
      </w:pPr>
      <w:r>
        <w:rPr>
          <w:rFonts w:hint="eastAsia" w:ascii="宋体" w:hAnsi="宋体" w:eastAsia="宋体" w:cs="宋体"/>
          <w:b/>
          <w:bCs/>
          <w:color w:val="auto"/>
          <w:spacing w:val="9"/>
          <w:highlight w:val="none"/>
        </w:rPr>
        <w:t>表15技术差异表(投标方填写)</w:t>
      </w:r>
    </w:p>
    <w:tbl>
      <w:tblPr>
        <w:tblStyle w:val="21"/>
        <w:tblW w:w="8729"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198"/>
        <w:gridCol w:w="2827"/>
        <w:gridCol w:w="1308"/>
        <w:gridCol w:w="2672"/>
      </w:tblGrid>
      <w:tr w14:paraId="41FEA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724" w:type="dxa"/>
            <w:vMerge w:val="restart"/>
            <w:tcBorders>
              <w:bottom w:val="nil"/>
            </w:tcBorders>
          </w:tcPr>
          <w:p w14:paraId="1769A07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48"/>
                <w:w w:val="134"/>
                <w:highlight w:val="none"/>
              </w:rPr>
              <w:t>序号</w:t>
            </w:r>
          </w:p>
        </w:tc>
        <w:tc>
          <w:tcPr>
            <w:tcW w:w="4025" w:type="dxa"/>
            <w:gridSpan w:val="2"/>
          </w:tcPr>
          <w:p w14:paraId="3472CD3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招标文件</w:t>
            </w:r>
          </w:p>
        </w:tc>
        <w:tc>
          <w:tcPr>
            <w:tcW w:w="3980" w:type="dxa"/>
            <w:gridSpan w:val="2"/>
          </w:tcPr>
          <w:p w14:paraId="7335BCB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2"/>
                <w:highlight w:val="none"/>
              </w:rPr>
              <w:t>投标文件</w:t>
            </w:r>
          </w:p>
        </w:tc>
      </w:tr>
      <w:tr w14:paraId="0D0DE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724" w:type="dxa"/>
            <w:vMerge w:val="continue"/>
            <w:tcBorders>
              <w:top w:val="nil"/>
            </w:tcBorders>
            <w:textDirection w:val="tbRlV"/>
          </w:tcPr>
          <w:p w14:paraId="24FF3CF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198" w:type="dxa"/>
          </w:tcPr>
          <w:p w14:paraId="61CA213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6"/>
                <w:highlight w:val="none"/>
              </w:rPr>
              <w:t>条且</w:t>
            </w:r>
          </w:p>
        </w:tc>
        <w:tc>
          <w:tcPr>
            <w:tcW w:w="2827" w:type="dxa"/>
          </w:tcPr>
          <w:p w14:paraId="4E01ADF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8"/>
                <w:highlight w:val="none"/>
              </w:rPr>
              <w:t>简要内容</w:t>
            </w:r>
          </w:p>
        </w:tc>
        <w:tc>
          <w:tcPr>
            <w:tcW w:w="1308" w:type="dxa"/>
          </w:tcPr>
          <w:p w14:paraId="2C72CE6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6"/>
                <w:highlight w:val="none"/>
              </w:rPr>
              <w:t>条且</w:t>
            </w:r>
          </w:p>
        </w:tc>
        <w:tc>
          <w:tcPr>
            <w:tcW w:w="2672" w:type="dxa"/>
          </w:tcPr>
          <w:p w14:paraId="58BE506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r>
              <w:rPr>
                <w:rFonts w:hint="eastAsia" w:ascii="宋体" w:hAnsi="宋体" w:eastAsia="宋体" w:cs="宋体"/>
                <w:color w:val="auto"/>
                <w:spacing w:val="3"/>
                <w:highlight w:val="none"/>
              </w:rPr>
              <w:t>简要内容</w:t>
            </w:r>
          </w:p>
        </w:tc>
      </w:tr>
      <w:tr w14:paraId="71915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24" w:type="dxa"/>
          </w:tcPr>
          <w:p w14:paraId="0835A7DE">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1</w:t>
            </w:r>
          </w:p>
        </w:tc>
        <w:tc>
          <w:tcPr>
            <w:tcW w:w="1198" w:type="dxa"/>
          </w:tcPr>
          <w:p w14:paraId="43C4726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253DF08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1362EE7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560F3B5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0D11B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2A80C394">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2</w:t>
            </w:r>
          </w:p>
        </w:tc>
        <w:tc>
          <w:tcPr>
            <w:tcW w:w="1198" w:type="dxa"/>
          </w:tcPr>
          <w:p w14:paraId="0277B87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7FF27C07">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16AC552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406F936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0C76E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0E7D0FBA">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3</w:t>
            </w:r>
          </w:p>
        </w:tc>
        <w:tc>
          <w:tcPr>
            <w:tcW w:w="1198" w:type="dxa"/>
          </w:tcPr>
          <w:p w14:paraId="05110F2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40BF5B4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490F8CC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2E289B8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37228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7B61BB25">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4</w:t>
            </w:r>
          </w:p>
        </w:tc>
        <w:tc>
          <w:tcPr>
            <w:tcW w:w="1198" w:type="dxa"/>
          </w:tcPr>
          <w:p w14:paraId="5D60E48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2C84CC1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7132702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7E431BC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6ECD3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6AD42ADC">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5</w:t>
            </w:r>
          </w:p>
        </w:tc>
        <w:tc>
          <w:tcPr>
            <w:tcW w:w="1198" w:type="dxa"/>
          </w:tcPr>
          <w:p w14:paraId="0F824D2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60CC799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40C99EB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58906687">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64F5B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0BEFA212">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6</w:t>
            </w:r>
          </w:p>
        </w:tc>
        <w:tc>
          <w:tcPr>
            <w:tcW w:w="1198" w:type="dxa"/>
          </w:tcPr>
          <w:p w14:paraId="2F381BF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57FED94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3569B33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02207B5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35311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5359086C">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7</w:t>
            </w:r>
          </w:p>
        </w:tc>
        <w:tc>
          <w:tcPr>
            <w:tcW w:w="1198" w:type="dxa"/>
          </w:tcPr>
          <w:p w14:paraId="360E190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4EBBE4B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44F9FC8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163F978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0B247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3B1AA7F5">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8</w:t>
            </w:r>
          </w:p>
        </w:tc>
        <w:tc>
          <w:tcPr>
            <w:tcW w:w="1198" w:type="dxa"/>
          </w:tcPr>
          <w:p w14:paraId="69464AB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04EC44F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4F498C8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6B35233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r w14:paraId="3E347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24" w:type="dxa"/>
          </w:tcPr>
          <w:p w14:paraId="31F2227A">
            <w:pPr>
              <w:keepNext w:val="0"/>
              <w:keepLines w:val="0"/>
              <w:pageBreakBefore w:val="0"/>
              <w:widowControl/>
              <w:kinsoku w:val="0"/>
              <w:wordWrap/>
              <w:overflowPunct/>
              <w:topLinePunct w:val="0"/>
              <w:autoSpaceDE w:val="0"/>
              <w:autoSpaceDN w:val="0"/>
              <w:bidi w:val="0"/>
              <w:adjustRightInd w:val="0"/>
              <w:snapToGrid w:val="0"/>
              <w:spacing w:line="240" w:lineRule="auto"/>
              <w:ind w:left="285"/>
              <w:jc w:val="both"/>
              <w:textAlignment w:val="baseline"/>
              <w:rPr>
                <w:rFonts w:ascii="宋体" w:hAnsi="宋体" w:eastAsia="宋体" w:cs="宋体"/>
                <w:color w:val="auto"/>
                <w:highlight w:val="none"/>
              </w:rPr>
            </w:pPr>
            <w:r>
              <w:rPr>
                <w:rFonts w:hint="eastAsia" w:ascii="宋体" w:hAnsi="宋体" w:eastAsia="宋体" w:cs="宋体"/>
                <w:color w:val="auto"/>
                <w:highlight w:val="none"/>
              </w:rPr>
              <w:t>9</w:t>
            </w:r>
          </w:p>
        </w:tc>
        <w:tc>
          <w:tcPr>
            <w:tcW w:w="1198" w:type="dxa"/>
          </w:tcPr>
          <w:p w14:paraId="7A3B599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827" w:type="dxa"/>
          </w:tcPr>
          <w:p w14:paraId="35680BE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1308" w:type="dxa"/>
          </w:tcPr>
          <w:p w14:paraId="5F6FB7B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c>
          <w:tcPr>
            <w:tcW w:w="2672" w:type="dxa"/>
          </w:tcPr>
          <w:p w14:paraId="6E17E12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ascii="宋体" w:hAnsi="宋体" w:eastAsia="宋体" w:cs="宋体"/>
                <w:color w:val="auto"/>
                <w:highlight w:val="none"/>
              </w:rPr>
            </w:pPr>
          </w:p>
        </w:tc>
      </w:tr>
    </w:tbl>
    <w:p w14:paraId="53518997">
      <w:pPr>
        <w:spacing w:before="182" w:line="360" w:lineRule="auto"/>
        <w:ind w:firstLine="1560" w:firstLineChars="1000"/>
        <w:rPr>
          <w:rFonts w:ascii="宋体" w:hAnsi="宋体" w:eastAsia="宋体" w:cs="宋体"/>
          <w:color w:val="auto"/>
          <w:spacing w:val="4"/>
          <w:highlight w:val="none"/>
        </w:rPr>
        <w:sectPr>
          <w:headerReference r:id="rId3" w:type="default"/>
          <w:footerReference r:id="rId4" w:type="default"/>
          <w:pgSz w:w="11910" w:h="16850"/>
          <w:pgMar w:top="1786" w:right="1401" w:bottom="1393" w:left="1786" w:header="1597" w:footer="1164" w:gutter="0"/>
          <w:pgNumType w:fmt="decimal" w:start="1"/>
          <w:cols w:space="720" w:num="1"/>
        </w:sectPr>
      </w:pPr>
      <w:r>
        <w:rPr>
          <w:rFonts w:hint="eastAsia" w:ascii="宋体" w:hAnsi="宋体" w:eastAsia="宋体" w:cs="宋体"/>
          <w:color w:val="auto"/>
          <w:spacing w:val="-27"/>
          <w:highlight w:val="none"/>
        </w:rPr>
        <w:t>投标方：</w:t>
      </w:r>
      <w:r>
        <w:rPr>
          <w:rFonts w:hint="eastAsia" w:ascii="宋体" w:hAnsi="宋体" w:eastAsia="宋体" w:cs="宋体"/>
          <w:color w:val="auto"/>
          <w:spacing w:val="-51"/>
          <w:highlight w:val="none"/>
        </w:rPr>
        <w:t xml:space="preserve">  </w:t>
      </w:r>
      <w:r>
        <w:rPr>
          <w:rFonts w:hint="eastAsia" w:ascii="宋体" w:hAnsi="宋体" w:eastAsia="宋体" w:cs="宋体"/>
          <w:color w:val="auto"/>
          <w:spacing w:val="-51"/>
          <w:highlight w:val="none"/>
          <w:u w:val="single"/>
        </w:rPr>
        <w:t xml:space="preserve">                                                   </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27"/>
          <w:highlight w:val="none"/>
        </w:rPr>
        <w:t>盖章:</w:t>
      </w:r>
    </w:p>
    <w:p w14:paraId="752DC30A">
      <w:pPr>
        <w:spacing w:before="303" w:line="360" w:lineRule="auto"/>
        <w:ind w:firstLine="438"/>
        <w:outlineLvl w:val="0"/>
        <w:rPr>
          <w:rFonts w:ascii="宋体" w:hAnsi="宋体" w:eastAsia="宋体" w:cs="宋体"/>
          <w:color w:val="auto"/>
          <w:highlight w:val="none"/>
        </w:rPr>
      </w:pPr>
      <w:bookmarkStart w:id="80" w:name="_Toc10691"/>
      <w:r>
        <w:rPr>
          <w:rFonts w:hint="eastAsia" w:ascii="宋体" w:hAnsi="宋体" w:eastAsia="宋体" w:cs="宋体"/>
          <w:b/>
          <w:bCs/>
          <w:color w:val="auto"/>
          <w:spacing w:val="8"/>
          <w:highlight w:val="none"/>
        </w:rPr>
        <w:t>1</w:t>
      </w:r>
      <w:r>
        <w:rPr>
          <w:rFonts w:hint="eastAsia" w:ascii="宋体" w:hAnsi="宋体" w:eastAsia="宋体" w:cs="宋体"/>
          <w:b/>
          <w:bCs/>
          <w:color w:val="auto"/>
          <w:spacing w:val="8"/>
          <w:highlight w:val="none"/>
          <w:lang w:val="en-US" w:eastAsia="zh-CN"/>
        </w:rPr>
        <w:t>4</w:t>
      </w:r>
      <w:r>
        <w:rPr>
          <w:rFonts w:hint="eastAsia" w:ascii="宋体" w:hAnsi="宋体" w:eastAsia="宋体" w:cs="宋体"/>
          <w:b/>
          <w:bCs/>
          <w:color w:val="auto"/>
          <w:spacing w:val="8"/>
          <w:highlight w:val="none"/>
        </w:rPr>
        <w:t xml:space="preserve">  投标方需说明的其他问题</w:t>
      </w:r>
      <w:bookmarkEnd w:id="80"/>
    </w:p>
    <w:p w14:paraId="3EE0D76C">
      <w:pPr>
        <w:spacing w:before="172" w:line="360" w:lineRule="auto"/>
        <w:ind w:left="535" w:firstLine="416"/>
        <w:rPr>
          <w:rFonts w:ascii="宋体" w:hAnsi="宋体" w:eastAsia="宋体" w:cs="宋体"/>
          <w:color w:val="auto"/>
          <w:highlight w:val="none"/>
        </w:rPr>
      </w:pPr>
      <w:r>
        <w:rPr>
          <w:rFonts w:hint="eastAsia" w:ascii="宋体" w:hAnsi="宋体" w:eastAsia="宋体" w:cs="宋体"/>
          <w:color w:val="auto"/>
          <w:spacing w:val="-2"/>
          <w:highlight w:val="none"/>
        </w:rPr>
        <w:t>如有需说明的其他问题，投标方应通过书面形式提交，并加盖公章。</w:t>
      </w:r>
    </w:p>
    <w:p w14:paraId="460747C0">
      <w:pPr>
        <w:spacing w:before="268" w:line="360" w:lineRule="auto"/>
        <w:ind w:left="118" w:firstLine="436"/>
        <w:outlineLvl w:val="0"/>
        <w:rPr>
          <w:rFonts w:ascii="宋体" w:hAnsi="宋体" w:eastAsia="宋体" w:cs="宋体"/>
          <w:b/>
          <w:bCs/>
          <w:color w:val="auto"/>
          <w:spacing w:val="7"/>
          <w:highlight w:val="none"/>
        </w:rPr>
      </w:pPr>
      <w:bookmarkStart w:id="81" w:name="_Toc26741"/>
      <w:r>
        <w:rPr>
          <w:rFonts w:hint="eastAsia" w:ascii="宋体" w:hAnsi="宋体" w:eastAsia="宋体" w:cs="宋体"/>
          <w:b/>
          <w:bCs/>
          <w:color w:val="auto"/>
          <w:spacing w:val="7"/>
          <w:highlight w:val="none"/>
        </w:rPr>
        <w:t>1</w:t>
      </w:r>
      <w:r>
        <w:rPr>
          <w:rFonts w:hint="eastAsia" w:ascii="宋体" w:hAnsi="宋体" w:eastAsia="宋体" w:cs="宋体"/>
          <w:b/>
          <w:bCs/>
          <w:color w:val="auto"/>
          <w:spacing w:val="7"/>
          <w:highlight w:val="none"/>
          <w:lang w:val="en-US" w:eastAsia="zh-CN"/>
        </w:rPr>
        <w:t>5</w:t>
      </w:r>
      <w:r>
        <w:rPr>
          <w:rFonts w:hint="eastAsia" w:ascii="宋体" w:hAnsi="宋体" w:eastAsia="宋体" w:cs="宋体"/>
          <w:b/>
          <w:bCs/>
          <w:color w:val="auto"/>
          <w:spacing w:val="7"/>
          <w:highlight w:val="none"/>
        </w:rPr>
        <w:t xml:space="preserve">  附表1</w:t>
      </w:r>
      <w:bookmarkEnd w:id="81"/>
    </w:p>
    <w:p w14:paraId="2EF25F73">
      <w:pPr>
        <w:spacing w:before="268" w:line="360" w:lineRule="auto"/>
        <w:ind w:left="118" w:firstLine="400"/>
        <w:jc w:val="center"/>
        <w:outlineLvl w:val="0"/>
        <w:rPr>
          <w:rFonts w:ascii="宋体" w:hAnsi="宋体" w:eastAsia="宋体" w:cs="宋体"/>
          <w:color w:val="auto"/>
          <w:highlight w:val="none"/>
        </w:rPr>
      </w:pPr>
      <w:bookmarkStart w:id="82" w:name="_Toc17953"/>
      <w:r>
        <w:rPr>
          <w:rFonts w:hint="eastAsia" w:ascii="宋体" w:hAnsi="宋体" w:eastAsia="宋体" w:cs="宋体"/>
          <w:b/>
          <w:bCs/>
          <w:color w:val="auto"/>
          <w:spacing w:val="-11"/>
          <w:highlight w:val="none"/>
        </w:rPr>
        <w:t>特殊说明</w:t>
      </w:r>
      <w:bookmarkEnd w:id="82"/>
    </w:p>
    <w:tbl>
      <w:tblPr>
        <w:tblStyle w:val="21"/>
        <w:tblW w:w="853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6"/>
        <w:gridCol w:w="3550"/>
        <w:gridCol w:w="2888"/>
        <w:gridCol w:w="1489"/>
      </w:tblGrid>
      <w:tr w14:paraId="5BAE5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06" w:type="dxa"/>
          </w:tcPr>
          <w:p w14:paraId="7CBF7869">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b/>
                <w:bCs/>
                <w:color w:val="auto"/>
                <w:highlight w:val="none"/>
              </w:rPr>
            </w:pPr>
            <w:r>
              <w:rPr>
                <w:rFonts w:hint="eastAsia" w:ascii="宋体" w:hAnsi="宋体" w:eastAsia="宋体" w:cs="宋体"/>
                <w:b/>
                <w:bCs/>
                <w:color w:val="auto"/>
                <w:highlight w:val="none"/>
              </w:rPr>
              <w:t>序号</w:t>
            </w:r>
          </w:p>
        </w:tc>
        <w:tc>
          <w:tcPr>
            <w:tcW w:w="3550" w:type="dxa"/>
          </w:tcPr>
          <w:p w14:paraId="50A03542">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b/>
                <w:bCs/>
                <w:color w:val="auto"/>
                <w:highlight w:val="none"/>
              </w:rPr>
            </w:pPr>
            <w:r>
              <w:rPr>
                <w:rFonts w:hint="eastAsia" w:ascii="宋体" w:hAnsi="宋体" w:eastAsia="宋体" w:cs="宋体"/>
                <w:b/>
                <w:bCs/>
                <w:color w:val="auto"/>
                <w:spacing w:val="-5"/>
                <w:highlight w:val="none"/>
              </w:rPr>
              <w:t>主要内容</w:t>
            </w:r>
          </w:p>
        </w:tc>
        <w:tc>
          <w:tcPr>
            <w:tcW w:w="2888" w:type="dxa"/>
          </w:tcPr>
          <w:p w14:paraId="4490D508">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b/>
                <w:bCs/>
                <w:color w:val="auto"/>
                <w:highlight w:val="none"/>
              </w:rPr>
            </w:pPr>
            <w:r>
              <w:rPr>
                <w:rFonts w:hint="eastAsia" w:ascii="宋体" w:hAnsi="宋体" w:eastAsia="宋体" w:cs="宋体"/>
                <w:b/>
                <w:bCs/>
                <w:color w:val="auto"/>
                <w:spacing w:val="-5"/>
                <w:highlight w:val="none"/>
              </w:rPr>
              <w:t>要求</w:t>
            </w:r>
          </w:p>
        </w:tc>
        <w:tc>
          <w:tcPr>
            <w:tcW w:w="1489" w:type="dxa"/>
          </w:tcPr>
          <w:p w14:paraId="4E361E20">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b/>
                <w:bCs/>
                <w:color w:val="auto"/>
                <w:highlight w:val="none"/>
              </w:rPr>
            </w:pPr>
            <w:r>
              <w:rPr>
                <w:rFonts w:hint="eastAsia" w:ascii="宋体" w:hAnsi="宋体" w:eastAsia="宋体" w:cs="宋体"/>
                <w:b/>
                <w:bCs/>
                <w:color w:val="auto"/>
                <w:spacing w:val="-5"/>
                <w:highlight w:val="none"/>
              </w:rPr>
              <w:t>备注</w:t>
            </w:r>
          </w:p>
        </w:tc>
      </w:tr>
      <w:tr w14:paraId="6DB2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06" w:type="dxa"/>
          </w:tcPr>
          <w:p w14:paraId="3BFD5F3C">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1</w:t>
            </w:r>
          </w:p>
        </w:tc>
        <w:tc>
          <w:tcPr>
            <w:tcW w:w="3550" w:type="dxa"/>
          </w:tcPr>
          <w:p w14:paraId="382EAC8C">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供应商资格要求</w:t>
            </w:r>
          </w:p>
        </w:tc>
        <w:tc>
          <w:tcPr>
            <w:tcW w:w="2888" w:type="dxa"/>
          </w:tcPr>
          <w:p w14:paraId="7E6155B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7306C7B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7D1D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06" w:type="dxa"/>
          </w:tcPr>
          <w:p w14:paraId="04064715">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2</w:t>
            </w:r>
          </w:p>
        </w:tc>
        <w:tc>
          <w:tcPr>
            <w:tcW w:w="3550" w:type="dxa"/>
          </w:tcPr>
          <w:p w14:paraId="4FD0FE0F">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业绩要求</w:t>
            </w:r>
          </w:p>
        </w:tc>
        <w:tc>
          <w:tcPr>
            <w:tcW w:w="2888" w:type="dxa"/>
          </w:tcPr>
          <w:p w14:paraId="7BDB85F1">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049C14A7">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05BEE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606" w:type="dxa"/>
          </w:tcPr>
          <w:p w14:paraId="53282B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3</w:t>
            </w:r>
          </w:p>
        </w:tc>
        <w:tc>
          <w:tcPr>
            <w:tcW w:w="3550" w:type="dxa"/>
          </w:tcPr>
          <w:p w14:paraId="47BD63C0">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注册资本要求</w:t>
            </w:r>
          </w:p>
        </w:tc>
        <w:tc>
          <w:tcPr>
            <w:tcW w:w="2888" w:type="dxa"/>
          </w:tcPr>
          <w:p w14:paraId="293049D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42A36DCE">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0B3B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06" w:type="dxa"/>
          </w:tcPr>
          <w:p w14:paraId="26114031">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4</w:t>
            </w:r>
          </w:p>
        </w:tc>
        <w:tc>
          <w:tcPr>
            <w:tcW w:w="3550" w:type="dxa"/>
          </w:tcPr>
          <w:p w14:paraId="4A48899C">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样品图册要求</w:t>
            </w:r>
          </w:p>
        </w:tc>
        <w:tc>
          <w:tcPr>
            <w:tcW w:w="2888" w:type="dxa"/>
          </w:tcPr>
          <w:p w14:paraId="5CE7D980">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10A93B0F">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CA69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606" w:type="dxa"/>
          </w:tcPr>
          <w:p w14:paraId="7D98CA67">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5</w:t>
            </w:r>
          </w:p>
        </w:tc>
        <w:tc>
          <w:tcPr>
            <w:tcW w:w="3550" w:type="dxa"/>
          </w:tcPr>
          <w:p w14:paraId="1EC2B67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售后服务条款</w:t>
            </w:r>
          </w:p>
        </w:tc>
        <w:tc>
          <w:tcPr>
            <w:tcW w:w="2888" w:type="dxa"/>
          </w:tcPr>
          <w:p w14:paraId="3C2091C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52400E6B">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6BD13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606" w:type="dxa"/>
          </w:tcPr>
          <w:p w14:paraId="3CA15737">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6</w:t>
            </w:r>
          </w:p>
        </w:tc>
        <w:tc>
          <w:tcPr>
            <w:tcW w:w="3550" w:type="dxa"/>
          </w:tcPr>
          <w:p w14:paraId="53D19176">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培训要求</w:t>
            </w:r>
          </w:p>
        </w:tc>
        <w:tc>
          <w:tcPr>
            <w:tcW w:w="2888" w:type="dxa"/>
          </w:tcPr>
          <w:p w14:paraId="522E9C35">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6094FA19">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675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06" w:type="dxa"/>
          </w:tcPr>
          <w:p w14:paraId="6C176B55">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7</w:t>
            </w:r>
          </w:p>
        </w:tc>
        <w:tc>
          <w:tcPr>
            <w:tcW w:w="3550" w:type="dxa"/>
          </w:tcPr>
          <w:p w14:paraId="38F29000">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安装条款</w:t>
            </w:r>
          </w:p>
        </w:tc>
        <w:tc>
          <w:tcPr>
            <w:tcW w:w="2888" w:type="dxa"/>
          </w:tcPr>
          <w:p w14:paraId="670C8388">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2A8B428B">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6036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606" w:type="dxa"/>
          </w:tcPr>
          <w:p w14:paraId="5AE2F164">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8</w:t>
            </w:r>
          </w:p>
        </w:tc>
        <w:tc>
          <w:tcPr>
            <w:tcW w:w="3550" w:type="dxa"/>
          </w:tcPr>
          <w:p w14:paraId="3A86DAEC">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物资生产、销售资格(授权或代理)</w:t>
            </w:r>
          </w:p>
        </w:tc>
        <w:tc>
          <w:tcPr>
            <w:tcW w:w="2888" w:type="dxa"/>
          </w:tcPr>
          <w:p w14:paraId="59E2CEC4">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2C9F318C">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47180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06" w:type="dxa"/>
          </w:tcPr>
          <w:p w14:paraId="2F18D2B2">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9</w:t>
            </w:r>
          </w:p>
        </w:tc>
        <w:tc>
          <w:tcPr>
            <w:tcW w:w="3550" w:type="dxa"/>
          </w:tcPr>
          <w:p w14:paraId="37424D89">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是否限价或相关要求</w:t>
            </w:r>
          </w:p>
        </w:tc>
        <w:tc>
          <w:tcPr>
            <w:tcW w:w="2888" w:type="dxa"/>
          </w:tcPr>
          <w:p w14:paraId="74B4BD83">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16C393D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43D2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06" w:type="dxa"/>
          </w:tcPr>
          <w:p w14:paraId="5D9AD821">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10</w:t>
            </w:r>
          </w:p>
        </w:tc>
        <w:tc>
          <w:tcPr>
            <w:tcW w:w="3550" w:type="dxa"/>
          </w:tcPr>
          <w:p w14:paraId="1B848E0B">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质量管理体系要求</w:t>
            </w:r>
          </w:p>
        </w:tc>
        <w:tc>
          <w:tcPr>
            <w:tcW w:w="2888" w:type="dxa"/>
          </w:tcPr>
          <w:p w14:paraId="6093D789">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641038F2">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r w14:paraId="51C8B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06" w:type="dxa"/>
          </w:tcPr>
          <w:p w14:paraId="55C95BEA">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11</w:t>
            </w:r>
          </w:p>
        </w:tc>
        <w:tc>
          <w:tcPr>
            <w:tcW w:w="3550" w:type="dxa"/>
          </w:tcPr>
          <w:p w14:paraId="6A9A4D89">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ascii="宋体" w:hAnsi="宋体" w:eastAsia="宋体" w:cs="宋体"/>
                <w:color w:val="auto"/>
                <w:spacing w:val="6"/>
                <w:highlight w:val="none"/>
              </w:rPr>
            </w:pPr>
            <w:r>
              <w:rPr>
                <w:rFonts w:hint="eastAsia" w:ascii="宋体" w:hAnsi="宋体" w:eastAsia="宋体" w:cs="宋体"/>
                <w:color w:val="auto"/>
                <w:spacing w:val="6"/>
                <w:highlight w:val="none"/>
              </w:rPr>
              <w:t>其他</w:t>
            </w:r>
          </w:p>
        </w:tc>
        <w:tc>
          <w:tcPr>
            <w:tcW w:w="2888" w:type="dxa"/>
          </w:tcPr>
          <w:p w14:paraId="435729CC">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c>
          <w:tcPr>
            <w:tcW w:w="1489" w:type="dxa"/>
          </w:tcPr>
          <w:p w14:paraId="295B59B6">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
              <w:jc w:val="both"/>
              <w:textAlignment w:val="baseline"/>
              <w:rPr>
                <w:rFonts w:ascii="宋体" w:hAnsi="宋体" w:eastAsia="宋体" w:cs="宋体"/>
                <w:color w:val="auto"/>
                <w:spacing w:val="6"/>
                <w:highlight w:val="none"/>
              </w:rPr>
            </w:pPr>
          </w:p>
        </w:tc>
      </w:tr>
    </w:tbl>
    <w:p w14:paraId="69BC7B25">
      <w:pPr>
        <w:spacing w:line="360" w:lineRule="auto"/>
        <w:rPr>
          <w:rFonts w:ascii="宋体" w:hAnsi="宋体" w:eastAsia="宋体" w:cs="宋体"/>
          <w:color w:val="auto"/>
          <w:highlight w:val="none"/>
        </w:rPr>
      </w:pPr>
    </w:p>
    <w:sectPr>
      <w:headerReference r:id="rId5" w:type="default"/>
      <w:footerReference r:id="rId6" w:type="default"/>
      <w:pgSz w:w="11910" w:h="16850"/>
      <w:pgMar w:top="1877" w:right="1417" w:bottom="1332" w:left="1706"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DA4B4">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1089F">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21089F">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D5BBF">
    <w:pPr>
      <w:spacing w:line="14" w:lineRule="auto"/>
      <w:ind w:firstLine="40"/>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BB5B18">
                          <w:pPr>
                            <w:pStyle w:val="12"/>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BB5B18">
                    <w:pPr>
                      <w:pStyle w:val="12"/>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19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02CB8">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912DC">
    <w:pPr>
      <w:spacing w:line="14" w:lineRule="auto"/>
      <w:ind w:firstLine="40"/>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26E29"/>
    <w:multiLevelType w:val="multilevel"/>
    <w:tmpl w:val="13A26E2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8"/>
      <w:lvlText w:val="%1.%2.%3.%4"/>
      <w:lvlJc w:val="left"/>
      <w:pPr>
        <w:tabs>
          <w:tab w:val="left" w:pos="864"/>
        </w:tabs>
        <w:ind w:left="864" w:hanging="864"/>
      </w:pPr>
      <w:rPr>
        <w:rFonts w:hint="eastAsia"/>
      </w:rPr>
    </w:lvl>
    <w:lvl w:ilvl="4" w:tentative="0">
      <w:start w:val="1"/>
      <w:numFmt w:val="decimal"/>
      <w:pStyle w:val="9"/>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DC32AC1"/>
    <w:multiLevelType w:val="singleLevel"/>
    <w:tmpl w:val="1DC32AC1"/>
    <w:lvl w:ilvl="0" w:tentative="0">
      <w:start w:val="1"/>
      <w:numFmt w:val="decimal"/>
      <w:suff w:val="nothing"/>
      <w:lvlText w:val="%1）"/>
      <w:lvlJc w:val="left"/>
    </w:lvl>
  </w:abstractNum>
  <w:abstractNum w:abstractNumId="2">
    <w:nsid w:val="275B860E"/>
    <w:multiLevelType w:val="singleLevel"/>
    <w:tmpl w:val="275B860E"/>
    <w:lvl w:ilvl="0" w:tentative="0">
      <w:start w:val="1"/>
      <w:numFmt w:val="decimal"/>
      <w:suff w:val="nothing"/>
      <w:lvlText w:val="%1）"/>
      <w:lvlJc w:val="left"/>
      <w:pPr>
        <w:tabs>
          <w:tab w:val="left" w:pos="0"/>
        </w:tabs>
      </w:pPr>
      <w:rPr>
        <w:rFonts w:hint="default"/>
      </w:rPr>
    </w:lvl>
  </w:abstractNum>
  <w:abstractNum w:abstractNumId="3">
    <w:nsid w:val="41635373"/>
    <w:multiLevelType w:val="singleLevel"/>
    <w:tmpl w:val="41635373"/>
    <w:lvl w:ilvl="0" w:tentative="0">
      <w:start w:val="2"/>
      <w:numFmt w:val="decimal"/>
      <w:suff w:val="nothing"/>
      <w:lvlText w:val="%1）"/>
      <w:lvlJc w:val="left"/>
    </w:lvl>
  </w:abstractNum>
  <w:abstractNum w:abstractNumId="4">
    <w:nsid w:val="45E22027"/>
    <w:multiLevelType w:val="multilevel"/>
    <w:tmpl w:val="45E22027"/>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5834F038"/>
    <w:multiLevelType w:val="singleLevel"/>
    <w:tmpl w:val="5834F038"/>
    <w:lvl w:ilvl="0" w:tentative="0">
      <w:start w:val="1"/>
      <w:numFmt w:val="bullet"/>
      <w:lvlText w:val=""/>
      <w:lvlJc w:val="left"/>
      <w:pPr>
        <w:ind w:left="420" w:hanging="420"/>
      </w:pPr>
      <w:rPr>
        <w:rFonts w:hint="default" w:ascii="Wingdings" w:hAnsi="Wingdings"/>
      </w:rPr>
    </w:lvl>
  </w:abstractNum>
  <w:abstractNum w:abstractNumId="6">
    <w:nsid w:val="66F61709"/>
    <w:multiLevelType w:val="singleLevel"/>
    <w:tmpl w:val="66F61709"/>
    <w:lvl w:ilvl="0" w:tentative="0">
      <w:start w:val="1"/>
      <w:numFmt w:val="decimal"/>
      <w:suff w:val="nothing"/>
      <w:lvlText w:val="%1）"/>
      <w:lvlJc w:val="left"/>
    </w:lvl>
  </w:abstractNum>
  <w:abstractNum w:abstractNumId="7">
    <w:nsid w:val="756D29A0"/>
    <w:multiLevelType w:val="multilevel"/>
    <w:tmpl w:val="756D29A0"/>
    <w:lvl w:ilvl="0" w:tentative="0">
      <w:start w:val="1"/>
      <w:numFmt w:val="decimal"/>
      <w:pStyle w:val="4"/>
      <w:lvlText w:val="%1"/>
      <w:lvlJc w:val="left"/>
      <w:pPr>
        <w:tabs>
          <w:tab w:val="left" w:pos="567"/>
        </w:tabs>
        <w:ind w:left="567" w:hanging="425"/>
      </w:pPr>
      <w:rPr>
        <w:rFonts w:hint="default" w:ascii="Times New Roman" w:hAnsi="Times New Roman" w:eastAsia="宋体"/>
        <w:b w:val="0"/>
        <w:i w:val="0"/>
        <w:spacing w:val="-12"/>
        <w:sz w:val="28"/>
        <w:szCs w:val="44"/>
      </w:rPr>
    </w:lvl>
    <w:lvl w:ilvl="1" w:tentative="0">
      <w:start w:val="1"/>
      <w:numFmt w:val="decimal"/>
      <w:lvlText w:val="%1.%2"/>
      <w:lvlJc w:val="left"/>
      <w:pPr>
        <w:tabs>
          <w:tab w:val="left" w:pos="567"/>
        </w:tabs>
        <w:ind w:left="567" w:hanging="567"/>
      </w:pPr>
      <w:rPr>
        <w:rFonts w:hint="default" w:ascii="Times New Roman" w:hAnsi="Times New Roman" w:eastAsia="宋体"/>
        <w:sz w:val="24"/>
        <w:szCs w:val="24"/>
        <w14:shadow w14:blurRad="0" w14:dist="0" w14:dir="0" w14:sx="0" w14:sy="0" w14:kx="0" w14:ky="0" w14:algn="none">
          <w14:srgbClr w14:val="000000"/>
        </w14:shadow>
      </w:rPr>
    </w:lvl>
    <w:lvl w:ilvl="2" w:tentative="0">
      <w:start w:val="1"/>
      <w:numFmt w:val="decimal"/>
      <w:lvlText w:val="%1.%2.%3"/>
      <w:lvlJc w:val="left"/>
      <w:pPr>
        <w:tabs>
          <w:tab w:val="left" w:pos="709"/>
        </w:tabs>
        <w:ind w:left="709" w:hanging="709"/>
      </w:pPr>
      <w:rPr>
        <w:rFonts w:hint="eastAsia"/>
        <w:sz w:val="24"/>
        <w:szCs w:val="24"/>
        <w14:shadow w14:blurRad="0" w14:dist="0" w14:dir="0" w14:sx="0" w14:sy="0" w14:kx="0" w14:ky="0" w14:algn="none">
          <w14:srgbClr w14:val="000000"/>
        </w14:shadow>
      </w:rPr>
    </w:lvl>
    <w:lvl w:ilvl="3" w:tentative="0">
      <w:start w:val="1"/>
      <w:numFmt w:val="decimal"/>
      <w:lvlText w:val="%1.%2.%3.%4"/>
      <w:lvlJc w:val="left"/>
      <w:pPr>
        <w:tabs>
          <w:tab w:val="left" w:pos="851"/>
        </w:tabs>
        <w:ind w:left="851" w:hanging="851"/>
      </w:pPr>
      <w:rPr>
        <w:rFonts w:hint="eastAsia"/>
        <w:sz w:val="24"/>
        <w:szCs w:val="24"/>
        <w14:shadow w14:blurRad="0" w14:dist="0" w14:dir="0" w14:sx="0" w14:sy="0" w14:kx="0" w14:ky="0" w14:algn="none">
          <w14:srgbClr w14:val="000000"/>
        </w14:shadow>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D4DB761"/>
    <w:multiLevelType w:val="multilevel"/>
    <w:tmpl w:val="7D4DB761"/>
    <w:lvl w:ilvl="0" w:tentative="0">
      <w:start w:val="9"/>
      <w:numFmt w:val="decimal"/>
      <w:lvlText w:val="%1"/>
      <w:lvlJc w:val="left"/>
      <w:pPr>
        <w:ind w:left="425" w:hanging="425"/>
      </w:pPr>
      <w:rPr>
        <w:rFonts w:hint="default"/>
      </w:rPr>
    </w:lvl>
    <w:lvl w:ilvl="1" w:tentative="0">
      <w:start w:val="1"/>
      <w:numFmt w:val="decimal"/>
      <w:lvlText w:val="%1.%2"/>
      <w:lvlJc w:val="left"/>
      <w:pPr>
        <w:ind w:left="992" w:hanging="567"/>
      </w:pPr>
      <w:rPr>
        <w:rFonts w:hint="default"/>
        <w:b w:val="0"/>
        <w:sz w:val="21"/>
        <w:szCs w:val="21"/>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7"/>
  </w:num>
  <w:num w:numId="2">
    <w:abstractNumId w:val="0"/>
  </w:num>
  <w:num w:numId="3">
    <w:abstractNumId w:val="1"/>
  </w:num>
  <w:num w:numId="4">
    <w:abstractNumId w:val="5"/>
  </w:num>
  <w:num w:numId="5">
    <w:abstractNumId w:val="3"/>
  </w:num>
  <w:num w:numId="6">
    <w:abstractNumId w:val="4"/>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3YzI0NjRlMDgxODYwY2MyYWEyYWY2ZTI3NTk4NDcifQ=="/>
  </w:docVars>
  <w:rsids>
    <w:rsidRoot w:val="00CF2884"/>
    <w:rsid w:val="002C7DAB"/>
    <w:rsid w:val="003332A4"/>
    <w:rsid w:val="00346AD7"/>
    <w:rsid w:val="003F1A92"/>
    <w:rsid w:val="008F21EE"/>
    <w:rsid w:val="009F6883"/>
    <w:rsid w:val="00A6244D"/>
    <w:rsid w:val="00A86C34"/>
    <w:rsid w:val="00CF2884"/>
    <w:rsid w:val="00EA62A3"/>
    <w:rsid w:val="00ED4554"/>
    <w:rsid w:val="00FD43A2"/>
    <w:rsid w:val="01311D17"/>
    <w:rsid w:val="019C7234"/>
    <w:rsid w:val="01A81B37"/>
    <w:rsid w:val="03404493"/>
    <w:rsid w:val="03BB2693"/>
    <w:rsid w:val="046A11E9"/>
    <w:rsid w:val="04C07D7D"/>
    <w:rsid w:val="05A47BA6"/>
    <w:rsid w:val="064A387B"/>
    <w:rsid w:val="065B25BA"/>
    <w:rsid w:val="06E80767"/>
    <w:rsid w:val="076B498B"/>
    <w:rsid w:val="08AB6853"/>
    <w:rsid w:val="09A4319E"/>
    <w:rsid w:val="0A133B76"/>
    <w:rsid w:val="0A7102DC"/>
    <w:rsid w:val="0B2428ED"/>
    <w:rsid w:val="0BD14896"/>
    <w:rsid w:val="0BDD0CD3"/>
    <w:rsid w:val="0C6F7B97"/>
    <w:rsid w:val="0C9F42C1"/>
    <w:rsid w:val="0CBE3561"/>
    <w:rsid w:val="0D9B3D3F"/>
    <w:rsid w:val="0DBC6E0C"/>
    <w:rsid w:val="0E1C1EBE"/>
    <w:rsid w:val="0E7A03B0"/>
    <w:rsid w:val="0EDA45A2"/>
    <w:rsid w:val="0F557518"/>
    <w:rsid w:val="0FED38B1"/>
    <w:rsid w:val="10030D22"/>
    <w:rsid w:val="10653770"/>
    <w:rsid w:val="124B0875"/>
    <w:rsid w:val="12624D7B"/>
    <w:rsid w:val="12662CA0"/>
    <w:rsid w:val="12786575"/>
    <w:rsid w:val="12DB7D35"/>
    <w:rsid w:val="13706F01"/>
    <w:rsid w:val="14016C1E"/>
    <w:rsid w:val="141379A2"/>
    <w:rsid w:val="1548367B"/>
    <w:rsid w:val="160D6EEF"/>
    <w:rsid w:val="163F682C"/>
    <w:rsid w:val="17CE57EA"/>
    <w:rsid w:val="19D9433F"/>
    <w:rsid w:val="1A191C35"/>
    <w:rsid w:val="1A1B135F"/>
    <w:rsid w:val="1A1C20CE"/>
    <w:rsid w:val="1B23671D"/>
    <w:rsid w:val="1B610FF3"/>
    <w:rsid w:val="1C266694"/>
    <w:rsid w:val="1C8838CD"/>
    <w:rsid w:val="1CED6FE2"/>
    <w:rsid w:val="1DC615E1"/>
    <w:rsid w:val="1E451BD3"/>
    <w:rsid w:val="1E90697D"/>
    <w:rsid w:val="1F7E655C"/>
    <w:rsid w:val="1FAE693C"/>
    <w:rsid w:val="202674D8"/>
    <w:rsid w:val="20D504B9"/>
    <w:rsid w:val="21E93AF0"/>
    <w:rsid w:val="21EB0234"/>
    <w:rsid w:val="22465CB3"/>
    <w:rsid w:val="23653DCF"/>
    <w:rsid w:val="237F0EF1"/>
    <w:rsid w:val="23AB72AF"/>
    <w:rsid w:val="24821FC1"/>
    <w:rsid w:val="24886DF2"/>
    <w:rsid w:val="251E47BB"/>
    <w:rsid w:val="252167C5"/>
    <w:rsid w:val="257F7258"/>
    <w:rsid w:val="259545CC"/>
    <w:rsid w:val="25ED0E84"/>
    <w:rsid w:val="26416B61"/>
    <w:rsid w:val="27D104B6"/>
    <w:rsid w:val="28A3569B"/>
    <w:rsid w:val="295B52D4"/>
    <w:rsid w:val="29C70BBB"/>
    <w:rsid w:val="2B6B2197"/>
    <w:rsid w:val="2B9E594C"/>
    <w:rsid w:val="2BB344A9"/>
    <w:rsid w:val="2C6F29A6"/>
    <w:rsid w:val="2C815051"/>
    <w:rsid w:val="2CB76124"/>
    <w:rsid w:val="2D5D48D9"/>
    <w:rsid w:val="2EFF6875"/>
    <w:rsid w:val="2F5729E1"/>
    <w:rsid w:val="30781B51"/>
    <w:rsid w:val="30F15537"/>
    <w:rsid w:val="31303DAE"/>
    <w:rsid w:val="317C3F79"/>
    <w:rsid w:val="31B6464D"/>
    <w:rsid w:val="32061F91"/>
    <w:rsid w:val="320A5AE9"/>
    <w:rsid w:val="32550391"/>
    <w:rsid w:val="33462B51"/>
    <w:rsid w:val="33A855B9"/>
    <w:rsid w:val="33B233E7"/>
    <w:rsid w:val="34086058"/>
    <w:rsid w:val="346516FC"/>
    <w:rsid w:val="34987879"/>
    <w:rsid w:val="34CE7ADE"/>
    <w:rsid w:val="358A4E98"/>
    <w:rsid w:val="360F1920"/>
    <w:rsid w:val="37BA3B48"/>
    <w:rsid w:val="380D1E8F"/>
    <w:rsid w:val="389023FE"/>
    <w:rsid w:val="38D01DEE"/>
    <w:rsid w:val="38F90665"/>
    <w:rsid w:val="39813491"/>
    <w:rsid w:val="3A2B753F"/>
    <w:rsid w:val="3B692C46"/>
    <w:rsid w:val="3B9603ED"/>
    <w:rsid w:val="3BEB6FBF"/>
    <w:rsid w:val="3C0B0DDB"/>
    <w:rsid w:val="3C0D06AF"/>
    <w:rsid w:val="3C0F2264"/>
    <w:rsid w:val="3C326F00"/>
    <w:rsid w:val="3C414133"/>
    <w:rsid w:val="3C6127A9"/>
    <w:rsid w:val="3E117D31"/>
    <w:rsid w:val="3EB52599"/>
    <w:rsid w:val="3EF50E21"/>
    <w:rsid w:val="3F2C3118"/>
    <w:rsid w:val="3F793D8D"/>
    <w:rsid w:val="3F8B6DD8"/>
    <w:rsid w:val="40623F64"/>
    <w:rsid w:val="436073AC"/>
    <w:rsid w:val="439A49DC"/>
    <w:rsid w:val="43FF78C1"/>
    <w:rsid w:val="441A605F"/>
    <w:rsid w:val="44C33ACC"/>
    <w:rsid w:val="44EE129A"/>
    <w:rsid w:val="45895E93"/>
    <w:rsid w:val="47107A2C"/>
    <w:rsid w:val="475A49C5"/>
    <w:rsid w:val="4772073E"/>
    <w:rsid w:val="47E349BA"/>
    <w:rsid w:val="480B08E9"/>
    <w:rsid w:val="488D5B16"/>
    <w:rsid w:val="491F7310"/>
    <w:rsid w:val="49706721"/>
    <w:rsid w:val="4A10240E"/>
    <w:rsid w:val="4ACF5B54"/>
    <w:rsid w:val="4B0E61F2"/>
    <w:rsid w:val="4BA10E14"/>
    <w:rsid w:val="4BCC2D24"/>
    <w:rsid w:val="4D924EB8"/>
    <w:rsid w:val="4DF0398D"/>
    <w:rsid w:val="4E6C6266"/>
    <w:rsid w:val="4F626B0C"/>
    <w:rsid w:val="4F8E16AF"/>
    <w:rsid w:val="4F9E7358"/>
    <w:rsid w:val="4FC43269"/>
    <w:rsid w:val="50A72E20"/>
    <w:rsid w:val="50D70E34"/>
    <w:rsid w:val="511D718F"/>
    <w:rsid w:val="528944AB"/>
    <w:rsid w:val="52966991"/>
    <w:rsid w:val="529E7F99"/>
    <w:rsid w:val="52D7336D"/>
    <w:rsid w:val="53937294"/>
    <w:rsid w:val="54414F42"/>
    <w:rsid w:val="54752E3E"/>
    <w:rsid w:val="56310FE7"/>
    <w:rsid w:val="563F707B"/>
    <w:rsid w:val="57551B31"/>
    <w:rsid w:val="57AB029B"/>
    <w:rsid w:val="57BF5C21"/>
    <w:rsid w:val="592866D1"/>
    <w:rsid w:val="5A4E298D"/>
    <w:rsid w:val="5B184523"/>
    <w:rsid w:val="5C8C1793"/>
    <w:rsid w:val="5D810AA5"/>
    <w:rsid w:val="5E371164"/>
    <w:rsid w:val="5E402A58"/>
    <w:rsid w:val="5EC6163E"/>
    <w:rsid w:val="5F3131F0"/>
    <w:rsid w:val="5F557AF4"/>
    <w:rsid w:val="5F6366B5"/>
    <w:rsid w:val="5F977CC5"/>
    <w:rsid w:val="6025396A"/>
    <w:rsid w:val="606041A7"/>
    <w:rsid w:val="60C767CF"/>
    <w:rsid w:val="61F53810"/>
    <w:rsid w:val="639F492F"/>
    <w:rsid w:val="6470717E"/>
    <w:rsid w:val="64F655C9"/>
    <w:rsid w:val="67006EDF"/>
    <w:rsid w:val="673F4A48"/>
    <w:rsid w:val="67753CD4"/>
    <w:rsid w:val="68882CE8"/>
    <w:rsid w:val="688906D7"/>
    <w:rsid w:val="69AE2A11"/>
    <w:rsid w:val="69F256DE"/>
    <w:rsid w:val="6A55309E"/>
    <w:rsid w:val="6A7554EE"/>
    <w:rsid w:val="6A7A0557"/>
    <w:rsid w:val="6B0C560A"/>
    <w:rsid w:val="6BBB746D"/>
    <w:rsid w:val="6D282CEC"/>
    <w:rsid w:val="6DC26C9C"/>
    <w:rsid w:val="6DD72E46"/>
    <w:rsid w:val="6DEA0A04"/>
    <w:rsid w:val="6E180321"/>
    <w:rsid w:val="6E5974AE"/>
    <w:rsid w:val="6E810310"/>
    <w:rsid w:val="6E82190E"/>
    <w:rsid w:val="6F394D3C"/>
    <w:rsid w:val="6F563B40"/>
    <w:rsid w:val="701557EF"/>
    <w:rsid w:val="706C4FFD"/>
    <w:rsid w:val="70CD5DAB"/>
    <w:rsid w:val="71145AA4"/>
    <w:rsid w:val="715379A4"/>
    <w:rsid w:val="71D74B4D"/>
    <w:rsid w:val="724818E8"/>
    <w:rsid w:val="7430524A"/>
    <w:rsid w:val="74424693"/>
    <w:rsid w:val="74620891"/>
    <w:rsid w:val="74956EB9"/>
    <w:rsid w:val="74BD1580"/>
    <w:rsid w:val="75C31C27"/>
    <w:rsid w:val="760322B0"/>
    <w:rsid w:val="76124A8D"/>
    <w:rsid w:val="764432A5"/>
    <w:rsid w:val="76756F9F"/>
    <w:rsid w:val="76C92E49"/>
    <w:rsid w:val="76EC6B38"/>
    <w:rsid w:val="76EC70A4"/>
    <w:rsid w:val="76F374B5"/>
    <w:rsid w:val="77D0645A"/>
    <w:rsid w:val="783C7A92"/>
    <w:rsid w:val="799139C7"/>
    <w:rsid w:val="7BA33820"/>
    <w:rsid w:val="7CD460A4"/>
    <w:rsid w:val="7EBF4B32"/>
    <w:rsid w:val="7ECB1303"/>
    <w:rsid w:val="7EF61719"/>
    <w:rsid w:val="7F24701E"/>
    <w:rsid w:val="7F596D35"/>
    <w:rsid w:val="7FB32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qFormat/>
    <w:uiPriority w:val="0"/>
    <w:pPr>
      <w:keepNext/>
      <w:keepLines/>
      <w:numPr>
        <w:ilvl w:val="0"/>
        <w:numId w:val="1"/>
      </w:numPr>
      <w:spacing w:before="240" w:after="240" w:line="480" w:lineRule="exact"/>
      <w:outlineLvl w:val="0"/>
    </w:pPr>
    <w:rPr>
      <w:rFonts w:ascii="宋体" w:hAnsi="宋体"/>
      <w:b/>
      <w:bCs/>
      <w:kern w:val="44"/>
      <w:sz w:val="28"/>
      <w:szCs w:val="28"/>
    </w:rPr>
  </w:style>
  <w:style w:type="paragraph" w:styleId="5">
    <w:name w:val="heading 2"/>
    <w:basedOn w:val="1"/>
    <w:next w:val="6"/>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qFormat/>
    <w:uiPriority w:val="0"/>
    <w:pPr>
      <w:keepNext/>
      <w:keepLines/>
      <w:spacing w:before="260" w:after="260" w:line="413" w:lineRule="auto"/>
      <w:jc w:val="left"/>
      <w:outlineLvl w:val="2"/>
    </w:pPr>
    <w:rPr>
      <w:b/>
      <w:sz w:val="24"/>
    </w:rPr>
  </w:style>
  <w:style w:type="paragraph" w:styleId="8">
    <w:name w:val="heading 4"/>
    <w:basedOn w:val="1"/>
    <w:next w:val="1"/>
    <w:qFormat/>
    <w:uiPriority w:val="0"/>
    <w:pPr>
      <w:keepNext/>
      <w:keepLines/>
      <w:numPr>
        <w:ilvl w:val="3"/>
        <w:numId w:val="2"/>
      </w:numPr>
      <w:topLinePunct/>
      <w:adjustRightInd w:val="0"/>
      <w:snapToGrid w:val="0"/>
      <w:spacing w:beforeLines="50" w:afterLines="50" w:line="480" w:lineRule="exact"/>
      <w:textAlignment w:val="center"/>
      <w:outlineLvl w:val="3"/>
    </w:pPr>
    <w:rPr>
      <w:rFonts w:ascii="Times New Roman" w:hAnsi="Times New Roman"/>
      <w:b/>
      <w:bCs/>
      <w:sz w:val="24"/>
      <w:szCs w:val="24"/>
      <w:lang w:val="sv-SE"/>
    </w:rPr>
  </w:style>
  <w:style w:type="paragraph" w:styleId="9">
    <w:name w:val="heading 5"/>
    <w:basedOn w:val="1"/>
    <w:next w:val="1"/>
    <w:qFormat/>
    <w:uiPriority w:val="0"/>
    <w:pPr>
      <w:keepNext/>
      <w:keepLines/>
      <w:numPr>
        <w:ilvl w:val="4"/>
        <w:numId w:val="2"/>
      </w:numPr>
      <w:topLinePunct/>
      <w:adjustRightInd w:val="0"/>
      <w:snapToGrid w:val="0"/>
      <w:spacing w:line="480" w:lineRule="atLeast"/>
      <w:textAlignment w:val="center"/>
      <w:outlineLvl w:val="4"/>
    </w:pPr>
    <w:rPr>
      <w:rFonts w:ascii="Times New Roman" w:hAnsi="Times New Roman"/>
      <w:b/>
      <w:bCs/>
      <w:sz w:val="24"/>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6">
    <w:name w:val="Body Text First Indent"/>
    <w:basedOn w:val="1"/>
    <w:qFormat/>
    <w:uiPriority w:val="0"/>
    <w:pPr>
      <w:ind w:firstLine="420" w:firstLineChars="200"/>
    </w:pPr>
  </w:style>
  <w:style w:type="paragraph" w:styleId="10">
    <w:name w:val="caption"/>
    <w:basedOn w:val="1"/>
    <w:next w:val="1"/>
    <w:qFormat/>
    <w:uiPriority w:val="0"/>
    <w:pPr>
      <w:spacing w:before="152" w:after="160"/>
    </w:pPr>
    <w:rPr>
      <w:rFonts w:ascii="Arial" w:hAnsi="Arial" w:eastAsia="黑体"/>
      <w:sz w:val="20"/>
      <w:szCs w:val="20"/>
    </w:rPr>
  </w:style>
  <w:style w:type="paragraph" w:styleId="11">
    <w:name w:val="annotation text"/>
    <w:basedOn w:val="1"/>
    <w:link w:val="25"/>
    <w:qFormat/>
    <w:uiPriority w:val="0"/>
  </w:style>
  <w:style w:type="paragraph" w:styleId="12">
    <w:name w:val="footer"/>
    <w:basedOn w:val="1"/>
    <w:qFormat/>
    <w:uiPriority w:val="0"/>
    <w:pPr>
      <w:tabs>
        <w:tab w:val="center" w:pos="4153"/>
        <w:tab w:val="right" w:pos="8306"/>
      </w:tabs>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annotation subject"/>
    <w:basedOn w:val="11"/>
    <w:next w:val="11"/>
    <w:link w:val="26"/>
    <w:qFormat/>
    <w:uiPriority w:val="0"/>
    <w:rPr>
      <w:b/>
      <w:bCs/>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qFormat/>
    <w:uiPriority w:val="0"/>
    <w:rPr>
      <w:sz w:val="21"/>
      <w:szCs w:val="21"/>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WPSOffice手动目录 1"/>
    <w:qFormat/>
    <w:uiPriority w:val="0"/>
    <w:rPr>
      <w:rFonts w:ascii="Arial" w:hAnsi="Arial" w:eastAsia="Arial" w:cs="Arial"/>
      <w:lang w:val="en-US" w:eastAsia="zh-CN" w:bidi="ar-SA"/>
    </w:rPr>
  </w:style>
  <w:style w:type="paragraph" w:customStyle="1" w:styleId="23">
    <w:name w:val="WPSOffice手动目录 2"/>
    <w:qFormat/>
    <w:uiPriority w:val="0"/>
    <w:pPr>
      <w:ind w:left="200" w:leftChars="200"/>
    </w:pPr>
    <w:rPr>
      <w:rFonts w:ascii="Arial" w:hAnsi="Arial" w:eastAsia="Arial" w:cs="Arial"/>
      <w:lang w:val="en-US" w:eastAsia="zh-CN" w:bidi="ar-SA"/>
    </w:rPr>
  </w:style>
  <w:style w:type="paragraph" w:customStyle="1" w:styleId="24">
    <w:name w:val="修订1"/>
    <w:hidden/>
    <w:unhideWhenUsed/>
    <w:qFormat/>
    <w:uiPriority w:val="99"/>
    <w:rPr>
      <w:rFonts w:ascii="Arial" w:hAnsi="Arial" w:eastAsia="Arial" w:cs="Arial"/>
      <w:snapToGrid w:val="0"/>
      <w:color w:val="000000"/>
      <w:sz w:val="21"/>
      <w:szCs w:val="21"/>
      <w:lang w:val="en-US" w:eastAsia="zh-CN" w:bidi="ar-SA"/>
    </w:rPr>
  </w:style>
  <w:style w:type="character" w:customStyle="1" w:styleId="25">
    <w:name w:val="批注文字 字符"/>
    <w:basedOn w:val="19"/>
    <w:link w:val="11"/>
    <w:qFormat/>
    <w:uiPriority w:val="0"/>
    <w:rPr>
      <w:rFonts w:eastAsia="Arial"/>
      <w:snapToGrid w:val="0"/>
      <w:color w:val="000000"/>
      <w:sz w:val="21"/>
      <w:szCs w:val="21"/>
    </w:rPr>
  </w:style>
  <w:style w:type="character" w:customStyle="1" w:styleId="26">
    <w:name w:val="批注主题 字符"/>
    <w:basedOn w:val="25"/>
    <w:link w:val="16"/>
    <w:qFormat/>
    <w:uiPriority w:val="0"/>
    <w:rPr>
      <w:rFonts w:eastAsia="Arial"/>
      <w:b/>
      <w:bCs/>
      <w:snapToGrid w:val="0"/>
      <w:color w:val="000000"/>
      <w:sz w:val="21"/>
      <w:szCs w:val="21"/>
    </w:rPr>
  </w:style>
  <w:style w:type="paragraph" w:customStyle="1" w:styleId="27">
    <w:name w:val="Revision"/>
    <w:hidden/>
    <w:unhideWhenUsed/>
    <w:qFormat/>
    <w:uiPriority w:val="99"/>
    <w:rPr>
      <w:rFonts w:ascii="Arial" w:hAnsi="Arial" w:eastAsia="Arial" w:cs="Arial"/>
      <w:snapToGrid w:val="0"/>
      <w:color w:val="000000"/>
      <w:sz w:val="21"/>
      <w:szCs w:val="21"/>
      <w:lang w:val="en-US" w:eastAsia="zh-CN" w:bidi="ar-SA"/>
    </w:rPr>
  </w:style>
  <w:style w:type="paragraph" w:styleId="2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19</Pages>
  <Words>9853</Words>
  <Characters>11365</Characters>
  <Lines>97</Lines>
  <Paragraphs>27</Paragraphs>
  <TotalTime>37</TotalTime>
  <ScaleCrop>false</ScaleCrop>
  <LinksUpToDate>false</LinksUpToDate>
  <CharactersWithSpaces>11887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2024-01-16T06:25:00Z</dcterms:created>
  <dc:creator>Kingsoft-PDF</dc:creator>
  <cp:lastModifiedBy>唐</cp:lastModifiedBy>
  <cp:lastPrinted>2024-01-15T02:05:00Z</cp:lastPrinted>
  <dcterms:modified xsi:type="dcterms:W3CDTF">2024-08-16T07:20:07Z</dcterms:modified>
  <dc:subject>pdfbuilder</dc:subject>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2023-04-21T14:35:21Z</vt:filetime>
  </property>
  <property fmtid="{D5CDD505-2E9C-101B-9397-08002B2CF9AE}" pid="4" name="UsrData">
    <vt:lpwstr>64422e8b0c8b29001566415f</vt:lpwstr>
  </property>
  <property fmtid="{D5CDD505-2E9C-101B-9397-08002B2CF9AE}" pid="5" name="KSOProductBuildVer">
    <vt:lpwstr>2052-12.1.0.17827</vt:lpwstr>
  </property>
  <property fmtid="{D5CDD505-2E9C-101B-9397-08002B2CF9AE}" pid="6" name="ICV">
    <vt:lpwstr>0359C8BBA9134023B21E57064F811498</vt:lpwstr>
  </property>
</Properties>
</file>