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
    <w:p/>
    <w:p/>
    <w:p/>
    <w:p/>
    <w:p/>
    <w:p/>
    <w:p>
      <w:pPr>
        <w:jc w:val="center"/>
        <w:rPr>
          <w:rFonts w:hint="eastAsia"/>
        </w:rPr>
      </w:pPr>
      <w:r>
        <w:rPr>
          <w:rFonts w:hint="eastAsia" w:ascii="方正小标宋_GBK" w:hAnsi="方正小标宋_GBK" w:eastAsia="方正小标宋_GBK" w:cs="方正小标宋_GBK"/>
          <w:sz w:val="44"/>
          <w:szCs w:val="44"/>
        </w:rPr>
        <w:t>贵州黔能企业有限责任公司2024-2025安全工器具技术规范书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贵州黔能企业有限责任公司</w:t>
      </w:r>
    </w:p>
    <w:p>
      <w:pPr>
        <w:jc w:val="center"/>
      </w:pPr>
      <w:r>
        <w:rPr>
          <w:rFonts w:hint="eastAsia" w:ascii="方正小标宋_GBK" w:hAnsi="方正小标宋_GBK" w:eastAsia="方正小标宋_GBK" w:cs="方正小标宋_GBK"/>
          <w:sz w:val="32"/>
          <w:szCs w:val="32"/>
        </w:rPr>
        <w:t>2024年5月</w:t>
      </w:r>
      <w:r>
        <w:drawing>
          <wp:anchor distT="0" distB="0" distL="0" distR="0" simplePos="0" relativeHeight="251659264" behindDoc="1" locked="0" layoutInCell="1" allowOverlap="1">
            <wp:simplePos x="0" y="0"/>
            <wp:positionH relativeFrom="page">
              <wp:posOffset>-21590</wp:posOffset>
            </wp:positionH>
            <wp:positionV relativeFrom="page">
              <wp:posOffset>19050</wp:posOffset>
            </wp:positionV>
            <wp:extent cx="7581900" cy="2963545"/>
            <wp:effectExtent l="0" t="0" r="0" b="825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4" cstate="print"/>
                    <a:srcRect l="294" t="744"/>
                    <a:stretch>
                      <a:fillRect/>
                    </a:stretch>
                  </pic:blipFill>
                  <pic:spPr>
                    <a:xfrm>
                      <a:off x="0" y="0"/>
                      <a:ext cx="7581900" cy="2963545"/>
                    </a:xfrm>
                    <a:prstGeom prst="rect">
                      <a:avLst/>
                    </a:prstGeom>
                  </pic:spPr>
                </pic:pic>
              </a:graphicData>
            </a:graphic>
          </wp:anchor>
        </w:drawing>
      </w:r>
    </w:p>
    <w:p>
      <w:pPr>
        <w:jc w:val="both"/>
        <w:rPr>
          <w:rFonts w:hint="eastAsia" w:ascii="仿宋_GB2312" w:hAnsi="仿宋_GB2312" w:eastAsia="仿宋_GB2312" w:cs="仿宋_GB2312"/>
          <w:sz w:val="28"/>
          <w:szCs w:val="36"/>
        </w:rPr>
      </w:pPr>
    </w:p>
    <w:p>
      <w:pPr>
        <w:rPr>
          <w:rFonts w:hint="eastAsia" w:ascii="仿宋_GB2312" w:hAnsi="仿宋_GB2312" w:eastAsia="仿宋_GB2312" w:cs="仿宋_GB2312"/>
          <w:sz w:val="28"/>
          <w:szCs w:val="36"/>
        </w:rPr>
      </w:pPr>
    </w:p>
    <w:sdt>
      <w:sdtPr>
        <w:rPr>
          <w:rFonts w:ascii="宋体" w:hAnsi="宋体" w:eastAsia="宋体" w:cstheme="minorBidi"/>
          <w:kern w:val="2"/>
          <w:sz w:val="44"/>
          <w:szCs w:val="52"/>
          <w:lang w:val="en-US" w:eastAsia="zh-CN" w:bidi="ar-SA"/>
        </w:rPr>
        <w:id w:val="147456422"/>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sz w:val="44"/>
              <w:szCs w:val="52"/>
            </w:rPr>
          </w:pPr>
          <w:r>
            <w:rPr>
              <w:rFonts w:ascii="宋体" w:hAnsi="宋体" w:eastAsia="宋体"/>
              <w:sz w:val="44"/>
              <w:szCs w:val="52"/>
            </w:rPr>
            <w:t>目</w:t>
          </w:r>
          <w:r>
            <w:rPr>
              <w:rFonts w:hint="eastAsia" w:ascii="宋体" w:hAnsi="宋体" w:eastAsia="宋体"/>
              <w:sz w:val="44"/>
              <w:szCs w:val="52"/>
              <w:lang w:val="en-US" w:eastAsia="zh-CN"/>
            </w:rPr>
            <w:t xml:space="preserve">  </w:t>
          </w:r>
          <w:r>
            <w:rPr>
              <w:rFonts w:ascii="宋体" w:hAnsi="宋体" w:eastAsia="宋体"/>
              <w:sz w:val="44"/>
              <w:szCs w:val="52"/>
            </w:rPr>
            <w:t>录</w:t>
          </w:r>
        </w:p>
        <w:p>
          <w:pPr>
            <w:pStyle w:val="2"/>
            <w:tabs>
              <w:tab w:val="right" w:leader="dot" w:pos="8306"/>
            </w:tabs>
            <w:rPr>
              <w:sz w:val="32"/>
              <w:szCs w:val="40"/>
            </w:rPr>
          </w:pPr>
          <w:r>
            <w:rPr>
              <w:rFonts w:hint="eastAsia"/>
            </w:rPr>
            <w:fldChar w:fldCharType="begin"/>
          </w:r>
          <w:r>
            <w:rPr>
              <w:rFonts w:hint="eastAsia"/>
            </w:rPr>
            <w:instrText xml:space="preserve">TOC \o "1-1" \h \u </w:instrText>
          </w:r>
          <w:r>
            <w:rPr>
              <w:rFonts w:hint="eastAsia"/>
            </w:rPr>
            <w:fldChar w:fldCharType="separate"/>
          </w:r>
          <w:r>
            <w:rPr>
              <w:rFonts w:hint="eastAsia"/>
              <w:sz w:val="32"/>
              <w:szCs w:val="40"/>
            </w:rPr>
            <w:fldChar w:fldCharType="begin"/>
          </w:r>
          <w:r>
            <w:rPr>
              <w:rFonts w:hint="eastAsia"/>
              <w:sz w:val="32"/>
              <w:szCs w:val="40"/>
            </w:rPr>
            <w:instrText xml:space="preserve"> HYPERLINK \l _Toc7610 </w:instrText>
          </w:r>
          <w:r>
            <w:rPr>
              <w:rFonts w:hint="eastAsia"/>
              <w:sz w:val="32"/>
              <w:szCs w:val="40"/>
            </w:rPr>
            <w:fldChar w:fldCharType="separate"/>
          </w:r>
          <w:r>
            <w:rPr>
              <w:rFonts w:hint="eastAsia" w:ascii="仿宋_GB2312" w:hAnsi="仿宋_GB2312" w:eastAsia="仿宋_GB2312" w:cs="仿宋_GB2312"/>
              <w:bCs/>
              <w:sz w:val="32"/>
              <w:szCs w:val="48"/>
            </w:rPr>
            <w:t>1</w:t>
          </w:r>
          <w:r>
            <w:rPr>
              <w:rFonts w:hint="eastAsia" w:ascii="仿宋_GB2312" w:hAnsi="仿宋_GB2312" w:eastAsia="仿宋_GB2312" w:cs="仿宋_GB2312"/>
              <w:bCs/>
              <w:sz w:val="32"/>
              <w:szCs w:val="48"/>
              <w:lang w:eastAsia="zh-CN"/>
            </w:rPr>
            <w:t>、</w:t>
          </w:r>
          <w:r>
            <w:rPr>
              <w:rFonts w:hint="eastAsia" w:ascii="仿宋_GB2312" w:hAnsi="仿宋_GB2312" w:eastAsia="仿宋_GB2312" w:cs="仿宋_GB2312"/>
              <w:bCs/>
              <w:sz w:val="32"/>
              <w:szCs w:val="48"/>
            </w:rPr>
            <w:t>总则</w:t>
          </w:r>
          <w:r>
            <w:rPr>
              <w:sz w:val="32"/>
              <w:szCs w:val="40"/>
            </w:rPr>
            <w:tab/>
          </w:r>
          <w:r>
            <w:rPr>
              <w:sz w:val="32"/>
              <w:szCs w:val="40"/>
            </w:rPr>
            <w:fldChar w:fldCharType="begin"/>
          </w:r>
          <w:r>
            <w:rPr>
              <w:sz w:val="32"/>
              <w:szCs w:val="40"/>
            </w:rPr>
            <w:instrText xml:space="preserve"> PAGEREF _Toc7610 \h </w:instrText>
          </w:r>
          <w:r>
            <w:rPr>
              <w:sz w:val="32"/>
              <w:szCs w:val="40"/>
            </w:rPr>
            <w:fldChar w:fldCharType="separate"/>
          </w:r>
          <w:r>
            <w:rPr>
              <w:sz w:val="32"/>
              <w:szCs w:val="40"/>
            </w:rPr>
            <w:t>3</w:t>
          </w:r>
          <w:r>
            <w:rPr>
              <w:sz w:val="32"/>
              <w:szCs w:val="40"/>
            </w:rPr>
            <w:fldChar w:fldCharType="end"/>
          </w:r>
          <w:r>
            <w:rPr>
              <w:rFonts w:hint="eastAsia"/>
              <w:sz w:val="32"/>
              <w:szCs w:val="40"/>
            </w:rPr>
            <w:fldChar w:fldCharType="end"/>
          </w:r>
        </w:p>
        <w:p>
          <w:pPr>
            <w:pStyle w:val="2"/>
            <w:tabs>
              <w:tab w:val="right" w:leader="dot" w:pos="8306"/>
            </w:tabs>
            <w:rPr>
              <w:sz w:val="32"/>
              <w:szCs w:val="40"/>
            </w:rPr>
          </w:pPr>
          <w:r>
            <w:rPr>
              <w:rFonts w:hint="eastAsia"/>
              <w:sz w:val="32"/>
              <w:szCs w:val="40"/>
            </w:rPr>
            <w:fldChar w:fldCharType="begin"/>
          </w:r>
          <w:r>
            <w:rPr>
              <w:rFonts w:hint="eastAsia"/>
              <w:sz w:val="32"/>
              <w:szCs w:val="40"/>
            </w:rPr>
            <w:instrText xml:space="preserve"> HYPERLINK \l _Toc5476 </w:instrText>
          </w:r>
          <w:r>
            <w:rPr>
              <w:rFonts w:hint="eastAsia"/>
              <w:sz w:val="32"/>
              <w:szCs w:val="40"/>
            </w:rPr>
            <w:fldChar w:fldCharType="separate"/>
          </w:r>
          <w:r>
            <w:rPr>
              <w:rFonts w:hint="eastAsia" w:ascii="仿宋_GB2312" w:hAnsi="仿宋_GB2312" w:eastAsia="仿宋_GB2312" w:cs="仿宋_GB2312"/>
              <w:bCs/>
              <w:sz w:val="32"/>
              <w:szCs w:val="48"/>
            </w:rPr>
            <w:t>2</w:t>
          </w:r>
          <w:r>
            <w:rPr>
              <w:rFonts w:hint="eastAsia" w:ascii="仿宋_GB2312" w:hAnsi="仿宋_GB2312" w:eastAsia="仿宋_GB2312" w:cs="仿宋_GB2312"/>
              <w:bCs/>
              <w:sz w:val="32"/>
              <w:szCs w:val="48"/>
              <w:lang w:eastAsia="zh-CN"/>
            </w:rPr>
            <w:t>、</w:t>
          </w:r>
          <w:r>
            <w:rPr>
              <w:rFonts w:hint="eastAsia" w:ascii="仿宋_GB2312" w:hAnsi="仿宋_GB2312" w:eastAsia="仿宋_GB2312" w:cs="仿宋_GB2312"/>
              <w:bCs/>
              <w:sz w:val="32"/>
              <w:szCs w:val="48"/>
            </w:rPr>
            <w:t>技术要求</w:t>
          </w:r>
          <w:r>
            <w:rPr>
              <w:sz w:val="32"/>
              <w:szCs w:val="40"/>
            </w:rPr>
            <w:tab/>
          </w:r>
          <w:r>
            <w:rPr>
              <w:sz w:val="32"/>
              <w:szCs w:val="40"/>
            </w:rPr>
            <w:fldChar w:fldCharType="begin"/>
          </w:r>
          <w:r>
            <w:rPr>
              <w:sz w:val="32"/>
              <w:szCs w:val="40"/>
            </w:rPr>
            <w:instrText xml:space="preserve"> PAGEREF _Toc5476 \h </w:instrText>
          </w:r>
          <w:r>
            <w:rPr>
              <w:sz w:val="32"/>
              <w:szCs w:val="40"/>
            </w:rPr>
            <w:fldChar w:fldCharType="separate"/>
          </w:r>
          <w:r>
            <w:rPr>
              <w:sz w:val="32"/>
              <w:szCs w:val="40"/>
            </w:rPr>
            <w:t>4</w:t>
          </w:r>
          <w:r>
            <w:rPr>
              <w:sz w:val="32"/>
              <w:szCs w:val="40"/>
            </w:rPr>
            <w:fldChar w:fldCharType="end"/>
          </w:r>
          <w:r>
            <w:rPr>
              <w:rFonts w:hint="eastAsia"/>
              <w:sz w:val="32"/>
              <w:szCs w:val="40"/>
            </w:rPr>
            <w:fldChar w:fldCharType="end"/>
          </w:r>
        </w:p>
        <w:p>
          <w:pPr>
            <w:pStyle w:val="2"/>
            <w:tabs>
              <w:tab w:val="right" w:leader="dot" w:pos="8306"/>
            </w:tabs>
            <w:rPr>
              <w:sz w:val="32"/>
              <w:szCs w:val="40"/>
            </w:rPr>
          </w:pPr>
          <w:r>
            <w:rPr>
              <w:rFonts w:hint="eastAsia"/>
              <w:sz w:val="32"/>
              <w:szCs w:val="40"/>
            </w:rPr>
            <w:fldChar w:fldCharType="begin"/>
          </w:r>
          <w:r>
            <w:rPr>
              <w:rFonts w:hint="eastAsia"/>
              <w:sz w:val="32"/>
              <w:szCs w:val="40"/>
            </w:rPr>
            <w:instrText xml:space="preserve"> HYPERLINK \l _Toc12521 </w:instrText>
          </w:r>
          <w:r>
            <w:rPr>
              <w:rFonts w:hint="eastAsia"/>
              <w:sz w:val="32"/>
              <w:szCs w:val="40"/>
            </w:rPr>
            <w:fldChar w:fldCharType="separate"/>
          </w:r>
          <w:r>
            <w:rPr>
              <w:rFonts w:hint="eastAsia" w:ascii="仿宋_GB2312" w:hAnsi="仿宋_GB2312" w:eastAsia="仿宋_GB2312" w:cs="仿宋_GB2312"/>
              <w:bCs/>
              <w:sz w:val="32"/>
              <w:szCs w:val="48"/>
            </w:rPr>
            <w:t>3</w:t>
          </w:r>
          <w:r>
            <w:rPr>
              <w:rFonts w:hint="eastAsia" w:ascii="仿宋_GB2312" w:hAnsi="仿宋_GB2312" w:eastAsia="仿宋_GB2312" w:cs="仿宋_GB2312"/>
              <w:bCs/>
              <w:sz w:val="32"/>
              <w:szCs w:val="48"/>
              <w:lang w:eastAsia="zh-CN"/>
            </w:rPr>
            <w:t>、</w:t>
          </w:r>
          <w:r>
            <w:rPr>
              <w:rFonts w:hint="eastAsia" w:ascii="仿宋_GB2312" w:hAnsi="仿宋_GB2312" w:eastAsia="仿宋_GB2312" w:cs="仿宋_GB2312"/>
              <w:bCs/>
              <w:sz w:val="32"/>
              <w:szCs w:val="48"/>
            </w:rPr>
            <w:t>样品要求</w:t>
          </w:r>
          <w:r>
            <w:rPr>
              <w:sz w:val="32"/>
              <w:szCs w:val="40"/>
            </w:rPr>
            <w:tab/>
          </w:r>
          <w:r>
            <w:rPr>
              <w:sz w:val="32"/>
              <w:szCs w:val="40"/>
            </w:rPr>
            <w:fldChar w:fldCharType="begin"/>
          </w:r>
          <w:r>
            <w:rPr>
              <w:sz w:val="32"/>
              <w:szCs w:val="40"/>
            </w:rPr>
            <w:instrText xml:space="preserve"> PAGEREF _Toc12521 \h </w:instrText>
          </w:r>
          <w:r>
            <w:rPr>
              <w:sz w:val="32"/>
              <w:szCs w:val="40"/>
            </w:rPr>
            <w:fldChar w:fldCharType="separate"/>
          </w:r>
          <w:r>
            <w:rPr>
              <w:sz w:val="32"/>
              <w:szCs w:val="40"/>
            </w:rPr>
            <w:t>10</w:t>
          </w:r>
          <w:r>
            <w:rPr>
              <w:sz w:val="32"/>
              <w:szCs w:val="40"/>
            </w:rPr>
            <w:fldChar w:fldCharType="end"/>
          </w:r>
          <w:r>
            <w:rPr>
              <w:rFonts w:hint="eastAsia"/>
              <w:sz w:val="32"/>
              <w:szCs w:val="40"/>
            </w:rPr>
            <w:fldChar w:fldCharType="end"/>
          </w:r>
        </w:p>
        <w:p>
          <w:pPr>
            <w:pStyle w:val="2"/>
            <w:tabs>
              <w:tab w:val="right" w:leader="dot" w:pos="8306"/>
            </w:tabs>
            <w:rPr>
              <w:sz w:val="32"/>
              <w:szCs w:val="40"/>
            </w:rPr>
          </w:pPr>
          <w:r>
            <w:rPr>
              <w:rFonts w:hint="eastAsia"/>
              <w:sz w:val="32"/>
              <w:szCs w:val="40"/>
            </w:rPr>
            <w:fldChar w:fldCharType="begin"/>
          </w:r>
          <w:r>
            <w:rPr>
              <w:rFonts w:hint="eastAsia"/>
              <w:sz w:val="32"/>
              <w:szCs w:val="40"/>
            </w:rPr>
            <w:instrText xml:space="preserve"> HYPERLINK \l _Toc18943 </w:instrText>
          </w:r>
          <w:r>
            <w:rPr>
              <w:rFonts w:hint="eastAsia"/>
              <w:sz w:val="32"/>
              <w:szCs w:val="40"/>
            </w:rPr>
            <w:fldChar w:fldCharType="separate"/>
          </w:r>
          <w:r>
            <w:rPr>
              <w:rFonts w:hint="eastAsia" w:ascii="仿宋_GB2312" w:hAnsi="仿宋_GB2312" w:eastAsia="仿宋_GB2312" w:cs="仿宋_GB2312"/>
              <w:bCs/>
              <w:sz w:val="32"/>
              <w:szCs w:val="48"/>
            </w:rPr>
            <w:t>4</w:t>
          </w:r>
          <w:r>
            <w:rPr>
              <w:rFonts w:hint="eastAsia" w:ascii="仿宋_GB2312" w:hAnsi="仿宋_GB2312" w:eastAsia="仿宋_GB2312" w:cs="仿宋_GB2312"/>
              <w:bCs/>
              <w:sz w:val="32"/>
              <w:szCs w:val="48"/>
              <w:lang w:eastAsia="zh-CN"/>
            </w:rPr>
            <w:t>、</w:t>
          </w:r>
          <w:r>
            <w:rPr>
              <w:rFonts w:hint="eastAsia" w:ascii="仿宋_GB2312" w:hAnsi="仿宋_GB2312" w:eastAsia="仿宋_GB2312" w:cs="仿宋_GB2312"/>
              <w:bCs/>
              <w:sz w:val="32"/>
              <w:szCs w:val="48"/>
            </w:rPr>
            <w:t>验收要求</w:t>
          </w:r>
          <w:r>
            <w:rPr>
              <w:sz w:val="32"/>
              <w:szCs w:val="40"/>
            </w:rPr>
            <w:tab/>
          </w:r>
          <w:r>
            <w:rPr>
              <w:sz w:val="32"/>
              <w:szCs w:val="40"/>
            </w:rPr>
            <w:fldChar w:fldCharType="begin"/>
          </w:r>
          <w:r>
            <w:rPr>
              <w:sz w:val="32"/>
              <w:szCs w:val="40"/>
            </w:rPr>
            <w:instrText xml:space="preserve"> PAGEREF _Toc18943 \h </w:instrText>
          </w:r>
          <w:r>
            <w:rPr>
              <w:sz w:val="32"/>
              <w:szCs w:val="40"/>
            </w:rPr>
            <w:fldChar w:fldCharType="separate"/>
          </w:r>
          <w:r>
            <w:rPr>
              <w:sz w:val="32"/>
              <w:szCs w:val="40"/>
            </w:rPr>
            <w:t>10</w:t>
          </w:r>
          <w:r>
            <w:rPr>
              <w:sz w:val="32"/>
              <w:szCs w:val="40"/>
            </w:rPr>
            <w:fldChar w:fldCharType="end"/>
          </w:r>
          <w:r>
            <w:rPr>
              <w:rFonts w:hint="eastAsia"/>
              <w:sz w:val="32"/>
              <w:szCs w:val="40"/>
            </w:rPr>
            <w:fldChar w:fldCharType="end"/>
          </w:r>
        </w:p>
        <w:p>
          <w:pPr>
            <w:pStyle w:val="2"/>
            <w:tabs>
              <w:tab w:val="right" w:leader="dot" w:pos="8306"/>
            </w:tabs>
            <w:rPr>
              <w:sz w:val="32"/>
              <w:szCs w:val="40"/>
            </w:rPr>
          </w:pPr>
          <w:r>
            <w:rPr>
              <w:rFonts w:hint="eastAsia"/>
              <w:sz w:val="32"/>
              <w:szCs w:val="40"/>
            </w:rPr>
            <w:fldChar w:fldCharType="begin"/>
          </w:r>
          <w:r>
            <w:rPr>
              <w:rFonts w:hint="eastAsia"/>
              <w:sz w:val="32"/>
              <w:szCs w:val="40"/>
            </w:rPr>
            <w:instrText xml:space="preserve"> HYPERLINK \l _Toc8761 </w:instrText>
          </w:r>
          <w:r>
            <w:rPr>
              <w:rFonts w:hint="eastAsia"/>
              <w:sz w:val="32"/>
              <w:szCs w:val="40"/>
            </w:rPr>
            <w:fldChar w:fldCharType="separate"/>
          </w:r>
          <w:r>
            <w:rPr>
              <w:rFonts w:hint="eastAsia" w:ascii="仿宋_GB2312" w:hAnsi="仿宋_GB2312" w:eastAsia="仿宋_GB2312" w:cs="仿宋_GB2312"/>
              <w:bCs/>
              <w:sz w:val="32"/>
              <w:szCs w:val="48"/>
            </w:rPr>
            <w:t>5</w:t>
          </w:r>
          <w:r>
            <w:rPr>
              <w:rFonts w:hint="eastAsia" w:ascii="仿宋_GB2312" w:hAnsi="仿宋_GB2312" w:eastAsia="仿宋_GB2312" w:cs="仿宋_GB2312"/>
              <w:bCs/>
              <w:sz w:val="32"/>
              <w:szCs w:val="48"/>
              <w:lang w:eastAsia="zh-CN"/>
            </w:rPr>
            <w:t>、</w:t>
          </w:r>
          <w:r>
            <w:rPr>
              <w:rFonts w:hint="eastAsia" w:ascii="仿宋_GB2312" w:hAnsi="仿宋_GB2312" w:eastAsia="仿宋_GB2312" w:cs="仿宋_GB2312"/>
              <w:bCs/>
              <w:sz w:val="32"/>
              <w:szCs w:val="48"/>
            </w:rPr>
            <w:t>质量保证及技术服务</w:t>
          </w:r>
          <w:r>
            <w:rPr>
              <w:sz w:val="32"/>
              <w:szCs w:val="40"/>
            </w:rPr>
            <w:tab/>
          </w:r>
          <w:r>
            <w:rPr>
              <w:sz w:val="32"/>
              <w:szCs w:val="40"/>
            </w:rPr>
            <w:fldChar w:fldCharType="begin"/>
          </w:r>
          <w:r>
            <w:rPr>
              <w:sz w:val="32"/>
              <w:szCs w:val="40"/>
            </w:rPr>
            <w:instrText xml:space="preserve"> PAGEREF _Toc8761 \h </w:instrText>
          </w:r>
          <w:r>
            <w:rPr>
              <w:sz w:val="32"/>
              <w:szCs w:val="40"/>
            </w:rPr>
            <w:fldChar w:fldCharType="separate"/>
          </w:r>
          <w:r>
            <w:rPr>
              <w:sz w:val="32"/>
              <w:szCs w:val="40"/>
            </w:rPr>
            <w:t>10</w:t>
          </w:r>
          <w:r>
            <w:rPr>
              <w:sz w:val="32"/>
              <w:szCs w:val="40"/>
            </w:rPr>
            <w:fldChar w:fldCharType="end"/>
          </w:r>
          <w:r>
            <w:rPr>
              <w:rFonts w:hint="eastAsia"/>
              <w:sz w:val="32"/>
              <w:szCs w:val="40"/>
            </w:rPr>
            <w:fldChar w:fldCharType="end"/>
          </w:r>
        </w:p>
        <w:p>
          <w:pPr>
            <w:pStyle w:val="2"/>
            <w:tabs>
              <w:tab w:val="right" w:leader="dot" w:pos="8306"/>
            </w:tabs>
            <w:rPr>
              <w:sz w:val="32"/>
              <w:szCs w:val="40"/>
            </w:rPr>
          </w:pPr>
          <w:r>
            <w:rPr>
              <w:rFonts w:hint="eastAsia"/>
              <w:sz w:val="32"/>
              <w:szCs w:val="40"/>
            </w:rPr>
            <w:fldChar w:fldCharType="begin"/>
          </w:r>
          <w:r>
            <w:rPr>
              <w:rFonts w:hint="eastAsia"/>
              <w:sz w:val="32"/>
              <w:szCs w:val="40"/>
            </w:rPr>
            <w:instrText xml:space="preserve"> HYPERLINK \l _Toc15306 </w:instrText>
          </w:r>
          <w:r>
            <w:rPr>
              <w:rFonts w:hint="eastAsia"/>
              <w:sz w:val="32"/>
              <w:szCs w:val="40"/>
            </w:rPr>
            <w:fldChar w:fldCharType="separate"/>
          </w:r>
          <w:r>
            <w:rPr>
              <w:rFonts w:hint="eastAsia" w:ascii="仿宋_GB2312" w:hAnsi="仿宋_GB2312" w:eastAsia="仿宋_GB2312" w:cs="仿宋_GB2312"/>
              <w:bCs/>
              <w:sz w:val="32"/>
              <w:szCs w:val="48"/>
            </w:rPr>
            <w:t>★6、增值服务</w:t>
          </w:r>
          <w:r>
            <w:rPr>
              <w:sz w:val="32"/>
              <w:szCs w:val="40"/>
            </w:rPr>
            <w:tab/>
          </w:r>
          <w:r>
            <w:rPr>
              <w:sz w:val="32"/>
              <w:szCs w:val="40"/>
            </w:rPr>
            <w:fldChar w:fldCharType="begin"/>
          </w:r>
          <w:r>
            <w:rPr>
              <w:sz w:val="32"/>
              <w:szCs w:val="40"/>
            </w:rPr>
            <w:instrText xml:space="preserve"> PAGEREF _Toc15306 \h </w:instrText>
          </w:r>
          <w:r>
            <w:rPr>
              <w:sz w:val="32"/>
              <w:szCs w:val="40"/>
            </w:rPr>
            <w:fldChar w:fldCharType="separate"/>
          </w:r>
          <w:r>
            <w:rPr>
              <w:sz w:val="32"/>
              <w:szCs w:val="40"/>
            </w:rPr>
            <w:t>11</w:t>
          </w:r>
          <w:r>
            <w:rPr>
              <w:sz w:val="32"/>
              <w:szCs w:val="40"/>
            </w:rPr>
            <w:fldChar w:fldCharType="end"/>
          </w:r>
          <w:r>
            <w:rPr>
              <w:rFonts w:hint="eastAsia"/>
              <w:sz w:val="32"/>
              <w:szCs w:val="40"/>
            </w:rPr>
            <w:fldChar w:fldCharType="end"/>
          </w:r>
        </w:p>
        <w:p>
          <w:pPr>
            <w:pStyle w:val="2"/>
            <w:tabs>
              <w:tab w:val="right" w:leader="dot" w:pos="8306"/>
            </w:tabs>
          </w:pPr>
          <w:r>
            <w:rPr>
              <w:rFonts w:hint="eastAsia"/>
              <w:sz w:val="32"/>
              <w:szCs w:val="40"/>
            </w:rPr>
            <w:fldChar w:fldCharType="begin"/>
          </w:r>
          <w:r>
            <w:rPr>
              <w:rFonts w:hint="eastAsia"/>
              <w:sz w:val="32"/>
              <w:szCs w:val="40"/>
            </w:rPr>
            <w:instrText xml:space="preserve"> HYPERLINK \l _Toc8782 </w:instrText>
          </w:r>
          <w:r>
            <w:rPr>
              <w:rFonts w:hint="eastAsia"/>
              <w:sz w:val="32"/>
              <w:szCs w:val="40"/>
            </w:rPr>
            <w:fldChar w:fldCharType="separate"/>
          </w:r>
          <w:r>
            <w:rPr>
              <w:rFonts w:hint="eastAsia" w:ascii="仿宋_GB2312" w:hAnsi="仿宋_GB2312" w:eastAsia="仿宋_GB2312" w:cs="仿宋_GB2312"/>
              <w:bCs/>
              <w:sz w:val="32"/>
              <w:szCs w:val="48"/>
            </w:rPr>
            <w:t>7、投标人响应部分</w:t>
          </w:r>
          <w:r>
            <w:rPr>
              <w:sz w:val="32"/>
              <w:szCs w:val="40"/>
            </w:rPr>
            <w:tab/>
          </w:r>
          <w:r>
            <w:rPr>
              <w:sz w:val="32"/>
              <w:szCs w:val="40"/>
            </w:rPr>
            <w:fldChar w:fldCharType="begin"/>
          </w:r>
          <w:r>
            <w:rPr>
              <w:sz w:val="32"/>
              <w:szCs w:val="40"/>
            </w:rPr>
            <w:instrText xml:space="preserve"> PAGEREF _Toc8782 \h </w:instrText>
          </w:r>
          <w:r>
            <w:rPr>
              <w:sz w:val="32"/>
              <w:szCs w:val="40"/>
            </w:rPr>
            <w:fldChar w:fldCharType="separate"/>
          </w:r>
          <w:r>
            <w:rPr>
              <w:sz w:val="32"/>
              <w:szCs w:val="40"/>
            </w:rPr>
            <w:t>11</w:t>
          </w:r>
          <w:r>
            <w:rPr>
              <w:sz w:val="32"/>
              <w:szCs w:val="40"/>
            </w:rPr>
            <w:fldChar w:fldCharType="end"/>
          </w:r>
          <w:r>
            <w:rPr>
              <w:rFonts w:hint="eastAsia"/>
              <w:sz w:val="32"/>
              <w:szCs w:val="40"/>
            </w:rPr>
            <w:fldChar w:fldCharType="end"/>
          </w:r>
        </w:p>
        <w:p>
          <w:pPr>
            <w:rPr>
              <w:rFonts w:hint="eastAsia"/>
            </w:rPr>
          </w:pPr>
          <w:r>
            <w:rPr>
              <w:rFonts w:hint="eastAsia"/>
            </w:rPr>
            <w:fldChar w:fldCharType="end"/>
          </w:r>
        </w:p>
      </w:sdtContent>
    </w:sdt>
    <w:p>
      <w:pPr>
        <w:rPr>
          <w:rFonts w:hint="eastAsia"/>
        </w:rPr>
      </w:pPr>
    </w:p>
    <w:p>
      <w:pPr>
        <w:rPr>
          <w:rFonts w:hint="eastAsia"/>
        </w:rPr>
      </w:pPr>
    </w:p>
    <w:p>
      <w:pPr>
        <w:outlineLvl w:val="9"/>
        <w:rPr>
          <w:rFonts w:hint="eastAsia"/>
          <w:b/>
          <w:bCs/>
          <w:sz w:val="32"/>
          <w:szCs w:val="40"/>
        </w:rPr>
      </w:pPr>
    </w:p>
    <w:p>
      <w:pPr>
        <w:outlineLvl w:val="9"/>
        <w:rPr>
          <w:rFonts w:hint="eastAsia"/>
          <w:b/>
          <w:bCs/>
          <w:sz w:val="32"/>
          <w:szCs w:val="40"/>
        </w:rPr>
      </w:pPr>
    </w:p>
    <w:p>
      <w:pPr>
        <w:outlineLvl w:val="9"/>
        <w:rPr>
          <w:rFonts w:hint="eastAsia"/>
          <w:b/>
          <w:bCs/>
          <w:sz w:val="32"/>
          <w:szCs w:val="40"/>
        </w:rPr>
      </w:pPr>
    </w:p>
    <w:p>
      <w:pPr>
        <w:outlineLvl w:val="9"/>
        <w:rPr>
          <w:rFonts w:hint="eastAsia"/>
          <w:b/>
          <w:bCs/>
          <w:sz w:val="32"/>
          <w:szCs w:val="40"/>
        </w:rPr>
      </w:pPr>
    </w:p>
    <w:p>
      <w:pPr>
        <w:outlineLvl w:val="9"/>
        <w:rPr>
          <w:rFonts w:hint="eastAsia"/>
          <w:b/>
          <w:bCs/>
          <w:sz w:val="32"/>
          <w:szCs w:val="40"/>
        </w:rPr>
      </w:pPr>
    </w:p>
    <w:p>
      <w:pPr>
        <w:outlineLvl w:val="9"/>
      </w:pPr>
      <w:r>
        <w:rPr>
          <w:rFonts w:hint="eastAsia"/>
          <w:b/>
          <w:bCs/>
          <w:sz w:val="32"/>
          <w:szCs w:val="40"/>
        </w:rPr>
        <w:t>本技术规范书带★部分为关键技术要求，必须响应，否则按 否决投标处理。</w:t>
      </w:r>
    </w:p>
    <w:p/>
    <w:p>
      <w:r>
        <w:br w:type="page"/>
      </w:r>
    </w:p>
    <w:p>
      <w:pPr>
        <w:jc w:val="center"/>
        <w:outlineLvl w:val="0"/>
        <w:rPr>
          <w:rFonts w:hint="eastAsia" w:ascii="仿宋_GB2312" w:hAnsi="仿宋_GB2312" w:eastAsia="仿宋_GB2312" w:cs="仿宋_GB2312"/>
          <w:b/>
          <w:bCs/>
          <w:sz w:val="44"/>
          <w:szCs w:val="44"/>
        </w:rPr>
      </w:pPr>
      <w:bookmarkStart w:id="0" w:name="_Toc7610"/>
      <w:r>
        <w:rPr>
          <w:rFonts w:hint="eastAsia" w:ascii="仿宋_GB2312" w:hAnsi="仿宋_GB2312" w:eastAsia="仿宋_GB2312" w:cs="仿宋_GB2312"/>
          <w:b/>
          <w:bCs/>
          <w:sz w:val="44"/>
          <w:szCs w:val="44"/>
        </w:rPr>
        <w:t>贵州黔能企业有限责任公司2024-2025安全工器具技术规范书</w:t>
      </w:r>
    </w:p>
    <w:p>
      <w:pPr>
        <w:outlineLvl w:val="0"/>
        <w:rPr>
          <w:rFonts w:hint="eastAsia" w:ascii="仿宋_GB2312" w:hAnsi="仿宋_GB2312" w:eastAsia="仿宋_GB2312" w:cs="仿宋_GB2312"/>
          <w:b/>
          <w:bCs/>
          <w:sz w:val="32"/>
          <w:szCs w:val="32"/>
        </w:rPr>
      </w:pPr>
    </w:p>
    <w:p>
      <w:pPr>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总则</w:t>
      </w:r>
      <w:bookmarkEnd w:id="0"/>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技术条件书适用于贵州电网有限责任有限公司贵州黔能企业有限责任公司2024-2025安全施工用具公开招标工作，对要招标的所有安全用品结构、性能、验收及售后服务等方面的技术要求。部分技术规范要求参照贵州电网有限责任公司电力安全工器具标准技术规范书（2023年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本技术条件书提出的是最低限度的技术要求，并未对一切技术细节作出规定，也未充分引述有关标准和规范的条文，卖方应提供符合本规范书和工业标准的优质产品。凡本技术 规范中未规定，但在相关国家标准中有规定的规范条文，卖方应按相应标准的条文进行设计、制造、试验。对国家有关安全、环保等强制性标准，必须满足其要求。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如果卖方没有以书面形式对本规范书的条文提出异议，则买方认为卖方提供的设备完全符合本规范书的要求。如有任何异议，都应在报价书中以“对招标技术文件的意见和同招标技术文件的差异”为标题的专门章节中加以详细描述。</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本招标技术文件所使用的标准如遇与投标方所执行的标准不一致时，按较高标准执行。</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本招标技术文件经买、卖双方确认后作为订货合同的技术附件，与合同正文具有同等法律效力。</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本招标技术文件未尽事宜，由买、卖双方协商确定。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投标方应在供货时向买方提供经国家相关检验机构鉴定的合格证书和符合国家、行业标准的产品证明资料，产品预防性试验报告、出厂试验报告、安装使用、测试、运行、维护说明资料等(随产品打包提供)。</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规范书未尽事宜，均须遵守最新的国家标准(GB)、国际电工委员会(IEC)标准、国际单位制(SI)标准、电力行业标准（DL/T）、南方电网公司相关标准等，以上标准未规定事宜由招标人和投标人在合同技术谈判时双方协商确定。</w:t>
      </w:r>
    </w:p>
    <w:p>
      <w:pPr>
        <w:outlineLvl w:val="0"/>
        <w:rPr>
          <w:rFonts w:hint="eastAsia" w:ascii="仿宋_GB2312" w:hAnsi="仿宋_GB2312" w:eastAsia="仿宋_GB2312" w:cs="仿宋_GB2312"/>
          <w:b/>
          <w:bCs/>
          <w:sz w:val="32"/>
          <w:szCs w:val="32"/>
        </w:rPr>
      </w:pPr>
      <w:bookmarkStart w:id="1" w:name="_Toc5476"/>
      <w:r>
        <w:rPr>
          <w:rFonts w:hint="eastAsia" w:ascii="仿宋_GB2312" w:hAnsi="仿宋_GB2312" w:eastAsia="仿宋_GB2312" w:cs="仿宋_GB2312"/>
          <w:b/>
          <w:bCs/>
          <w:sz w:val="32"/>
          <w:szCs w:val="32"/>
        </w:rPr>
        <w:t>2</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技术要求</w:t>
      </w:r>
      <w:bookmarkEnd w:id="1"/>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技术标准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下列文件中的条款通过本规范的引用而成为本规范的 条款。凡是注日期的引用文件，其随后所有的修改单（不包括勘误的内容）或修订版均不适用于本规范。凡是不注日期的引用文件，其最新版本适用于本规范。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投标方提供的产品要符合以下标准但不局限于以下标准：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26860</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电业安全工作规程（发电厂和变电所电气部分）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14286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带电作业工具设备术语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16927.1</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高电压试验技术 第1部分：一般定义及试验要求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976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带电作业用工具、装置和设备预防性试验规程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1476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电力安全工器具预防性试验规程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17622</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带电作业用绝缘手套</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Q/CSG 510001 中国南方电网有限责任公司电力安全工作规程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23469 坠落防护 连接器GB 24543 坠落防护 安全绳GB 6095 安全带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24537 坠落防护 带柔性导轨的自锁器GB 23468 坠落防护装备安全使用规范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24544 坠落防护 速差自控器GB/T 24538 坠落防护 缓冲器GB/T 6096 安全带测试方法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GB/T9944 不锈钢丝绳</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1147 电力高处作业防坠器GB 2811 头部防护 安全帽GB/T 2812 安全帽测试方法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30041 头部防护 安全帽选用规范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Q/CSG 510001 中国南方电网有限责任公司电力安全工作规程</w:t>
      </w:r>
    </w:p>
    <w:p>
      <w:pPr>
        <w:rPr>
          <w:rFonts w:hint="eastAsia" w:ascii="仿宋_GB2312" w:hAnsi="仿宋_GB2312" w:eastAsia="仿宋_GB2312" w:cs="仿宋_GB2312"/>
          <w:sz w:val="32"/>
          <w:szCs w:val="32"/>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13398</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带电作业用空心绝缘管、泡沫填充绝缘管和实心绝缘棒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2900.55</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电工术语 带电作业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12970.2</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电工软铜交线</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第2部分：软铜绞线标准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13035</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带电作业用绝缘绳索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14286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带电作业工具设备术语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16927.1</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高电压试验技术 第一部分：一般定义及试验要求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477</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农村电网低压电气安全工作规程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878</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带电作业用绝缘工具试验导则</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879</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带电作业用便携式接地和接地短路装置</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976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带电作业工具、装置和设备预防性试验规程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740-2014 《电容型验电器》标准GB 12011-2009 足部防护 电绝缘鞋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676-2012 带电作业用绝缘鞋(靴)通用技术条件</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3293-2017 中国鞋楦系列</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GB/T 13035</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带电作业用绝缘绳索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DL/T 976</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带电作业工具、装置和设备预防性试验规程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26860</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电力安全工作规程发电厂和变电站电气部分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GB 26859</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电力安全工作规程电力线路部分 2.2 一般要求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2.2.1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投标产品必须符合国家和行业有关安全工器具的法律法规、强制性标准及技术规程规范的要求，并具有权威机构试验检验报告。</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2.2.2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投标方产品的材质、样式和颜色必须符合有关岗位工种操作、使用的安全要求。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2.2.3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投标方应承诺履行以下责任：</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（1）对产品的安全性能、质量保证和技术指标负责；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（2）负责对用户做好其产品使用、维护的培训工作；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（3）负责对有质量问题的产品，及时、无偿更换或退货；</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（4）根据用户需要，向用户提供相应备品、备件；</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（5）承担因产品质量问题造成不良后果的责任；</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（6）对被强制要求退出使用的产品，未使用过的应全数全额退款；已使用的应根据使用年限按适当比例全数退款；</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（7）提供的出厂检验报告及内容、项目符合要求并属实；新型产品应有机械、电气、安全检测试验的数据报告。</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2.3 类别及需求（</w:t>
      </w:r>
      <w:r>
        <w:rPr>
          <w:rFonts w:hint="eastAsia" w:ascii="仿宋_GB2312" w:hAnsi="仿宋_GB2312" w:eastAsia="仿宋_GB2312" w:cs="仿宋_GB2312"/>
          <w:b/>
          <w:bCs/>
          <w:sz w:val="32"/>
          <w:szCs w:val="32"/>
        </w:rPr>
        <w:t>带★的需要提供第三方检测报告</w:t>
      </w:r>
      <w:r>
        <w:rPr>
          <w:rFonts w:hint="eastAsia" w:ascii="仿宋_GB2312" w:hAnsi="仿宋_GB2312" w:eastAsia="仿宋_GB2312" w:cs="仿宋_GB2312"/>
          <w:sz w:val="32"/>
          <w:szCs w:val="32"/>
        </w:rPr>
        <w:t>）</w:t>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明细及需求</w:t>
      </w:r>
    </w:p>
    <w:tbl>
      <w:tblPr>
        <w:tblStyle w:val="4"/>
        <w:tblW w:w="11134" w:type="dxa"/>
        <w:tblInd w:w="-1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453"/>
        <w:gridCol w:w="5885"/>
        <w:gridCol w:w="727"/>
        <w:gridCol w:w="1165"/>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序号</w:t>
            </w:r>
          </w:p>
        </w:tc>
        <w:tc>
          <w:tcPr>
            <w:tcW w:w="1453"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名称</w:t>
            </w:r>
          </w:p>
        </w:tc>
        <w:tc>
          <w:tcPr>
            <w:tcW w:w="5885"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规格</w:t>
            </w:r>
          </w:p>
        </w:tc>
        <w:tc>
          <w:tcPr>
            <w:tcW w:w="727"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单位</w:t>
            </w:r>
          </w:p>
        </w:tc>
        <w:tc>
          <w:tcPr>
            <w:tcW w:w="1165"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备注</w:t>
            </w:r>
          </w:p>
        </w:tc>
        <w:tc>
          <w:tcPr>
            <w:tcW w:w="1200" w:type="dxa"/>
            <w:vAlign w:val="center"/>
          </w:tcPr>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投标人相</w:t>
            </w:r>
          </w:p>
          <w:p>
            <w:pPr>
              <w:jc w:val="center"/>
              <w:rPr>
                <w:rFonts w:hint="eastAsia" w:ascii="仿宋_GB2312" w:hAnsi="仿宋_GB2312" w:eastAsia="仿宋_GB2312" w:cs="仿宋_GB2312"/>
                <w:b/>
                <w:bCs/>
                <w:sz w:val="24"/>
                <w:szCs w:val="24"/>
                <w:vertAlign w:val="baseline"/>
              </w:rPr>
            </w:pPr>
            <w:r>
              <w:rPr>
                <w:rFonts w:hint="eastAsia" w:ascii="仿宋_GB2312" w:hAnsi="仿宋_GB2312" w:eastAsia="仿宋_GB2312" w:cs="仿宋_GB2312"/>
                <w:b/>
                <w:bCs/>
                <w:sz w:val="24"/>
                <w:szCs w:val="24"/>
                <w:vertAlign w:val="baseline"/>
              </w:rPr>
              <w:t>应值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★全方位安全带</w:t>
            </w:r>
          </w:p>
        </w:tc>
        <w:tc>
          <w:tcPr>
            <w:tcW w:w="5885" w:type="dxa"/>
            <w:vAlign w:val="center"/>
          </w:tcPr>
          <w:p>
            <w:pPr>
              <w:numPr>
                <w:ilvl w:val="0"/>
                <w:numId w:val="1"/>
              </w:num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双背带蚕丝绝缘安全带或同等质量产品。</w:t>
            </w:r>
          </w:p>
          <w:p>
            <w:pPr>
              <w:numPr>
                <w:ilvl w:val="0"/>
                <w:numId w:val="1"/>
              </w:num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每副安全带配有绝缘定位腰绳，长度2米。根据工程配220KV后背保险绳φ18X4米(配备双钩、品字环)或500kV后背保险绳φ18X8米(配备双钩、品字环)。</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付</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配缓冲器，中标后送样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★接地线</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0.4</w:t>
            </w:r>
            <w:r>
              <w:rPr>
                <w:rFonts w:hint="eastAsia" w:ascii="仿宋_GB2312" w:hAnsi="仿宋_GB2312" w:eastAsia="仿宋_GB2312" w:cs="仿宋_GB2312"/>
                <w:sz w:val="24"/>
                <w:szCs w:val="24"/>
                <w:vertAlign w:val="baseline"/>
              </w:rPr>
              <w:t>kV线路型，三相分相式，夹导线型平口螺旋接地线夹，普通螺旋型，接地铜线连接处均采用双螺栓固定。绝缘操作杆共三相，每相操作杆直径*长*根数为φ3</w:t>
            </w:r>
            <w:r>
              <w:rPr>
                <w:rFonts w:hint="eastAsia" w:ascii="仿宋_GB2312" w:hAnsi="仿宋_GB2312" w:eastAsia="仿宋_GB2312" w:cs="仿宋_GB2312"/>
                <w:sz w:val="24"/>
                <w:szCs w:val="24"/>
                <w:vertAlign w:val="baseline"/>
                <w:lang w:val="en-US" w:eastAsia="zh-CN"/>
              </w:rPr>
              <w:t>0</w:t>
            </w:r>
            <w:r>
              <w:rPr>
                <w:rFonts w:hint="eastAsia" w:ascii="仿宋_GB2312" w:hAnsi="仿宋_GB2312" w:eastAsia="仿宋_GB2312" w:cs="仿宋_GB2312"/>
                <w:sz w:val="24"/>
                <w:szCs w:val="24"/>
                <w:vertAlign w:val="baseline"/>
              </w:rPr>
              <w:t>mm*1m*</w:t>
            </w:r>
            <w:r>
              <w:rPr>
                <w:rFonts w:hint="eastAsia" w:ascii="仿宋_GB2312" w:hAnsi="仿宋_GB2312" w:eastAsia="仿宋_GB2312" w:cs="仿宋_GB2312"/>
                <w:sz w:val="24"/>
                <w:szCs w:val="24"/>
                <w:vertAlign w:val="baseline"/>
                <w:lang w:val="en-US" w:eastAsia="zh-CN"/>
              </w:rPr>
              <w:t>3</w:t>
            </w:r>
            <w:r>
              <w:rPr>
                <w:rFonts w:hint="eastAsia" w:ascii="仿宋_GB2312" w:hAnsi="仿宋_GB2312" w:eastAsia="仿宋_GB2312" w:cs="仿宋_GB2312"/>
                <w:sz w:val="24"/>
                <w:szCs w:val="24"/>
                <w:vertAlign w:val="baseline"/>
              </w:rPr>
              <w:t>，颜色</w:t>
            </w:r>
            <w:r>
              <w:rPr>
                <w:rFonts w:hint="eastAsia" w:ascii="仿宋_GB2312" w:hAnsi="仿宋_GB2312" w:eastAsia="仿宋_GB2312" w:cs="仿宋_GB2312"/>
                <w:sz w:val="24"/>
                <w:szCs w:val="24"/>
                <w:vertAlign w:val="baseline"/>
                <w:lang w:val="en-US" w:eastAsia="zh-CN"/>
              </w:rPr>
              <w:t>绿</w:t>
            </w:r>
            <w:r>
              <w:rPr>
                <w:rFonts w:hint="eastAsia" w:ascii="仿宋_GB2312" w:hAnsi="仿宋_GB2312" w:eastAsia="仿宋_GB2312" w:cs="仿宋_GB2312"/>
                <w:sz w:val="24"/>
                <w:szCs w:val="24"/>
                <w:vertAlign w:val="baseline"/>
              </w:rPr>
              <w:t>色；接地线采用多股铜质软绞线，截面不小于25mm2，外覆透明绝缘层；接地线长为2m*3+12m；接地端采用0.8m长、φ16mm圆钢接地针；配单独防水背袋。</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3</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★接地线</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220kV线路型，三相分相式，夹导线型平口螺旋接地线夹，普通螺旋型，接地铜线连接处均采用双螺栓固定；绝缘操作杆共三相，每相直径*长*根数为φ30mm*1.5m*3，颜色蓝色；接地线采用多股铜质软绞线，截面不小于25mm2，外覆透明绝缘层；每相接地线长不小于4m；每相接地端采用螺旋扭紧式接地线夹；配单独防水背袋。</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4</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★接地线</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110kV线路型（铁塔、钢管杆、门型杆用），三相分相式，夹导线型圆口式螺旋接地线夹，接地铜线连接处均采用双螺栓固定；绝缘操作杆与导线端线夹可脱卸操作，绝缘操作杆共三根，操作杆直径*长*根数为φ30mm*1.5m*</w:t>
            </w:r>
            <w:r>
              <w:rPr>
                <w:rFonts w:hint="eastAsia" w:ascii="仿宋_GB2312" w:hAnsi="仿宋_GB2312" w:eastAsia="仿宋_GB2312" w:cs="仿宋_GB2312"/>
                <w:sz w:val="24"/>
                <w:szCs w:val="24"/>
                <w:vertAlign w:val="baseline"/>
                <w:lang w:val="en-US" w:eastAsia="zh-CN"/>
              </w:rPr>
              <w:t>3</w:t>
            </w:r>
            <w:r>
              <w:rPr>
                <w:rFonts w:hint="eastAsia" w:ascii="仿宋_GB2312" w:hAnsi="仿宋_GB2312" w:eastAsia="仿宋_GB2312" w:cs="仿宋_GB2312"/>
                <w:sz w:val="24"/>
                <w:szCs w:val="24"/>
                <w:vertAlign w:val="baseline"/>
              </w:rPr>
              <w:t>，颜色红色；接地线采用多股铜质软绞线，截面不小于25mm2，外覆透明绝缘层，每相接地线长大于5m；每相接地端采用螺旋扭紧式接地线夹；配单独防水背袋。</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5</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★接地线</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35kV线路型，三相合相式，夹导线型平口接地线夹，普通螺旋型，接地铜线连接处均采用双螺栓固定；绝缘操作杆共三根，每根直径*长为φ30mm*1.5m，颜色黄色；接地线采用多股铜质软绞线，截面不小于25mm2，外覆透明绝缘层；接地线长为5m*3+15m；接地端采用0.8m 长、φ16mm 圆钢接地针；配单独防水背袋。</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★接地线</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10kV线路型，三相合相式，夹导线型平口螺旋接地线夹，普通螺旋型，接地铜线连接处均采用双螺栓固定；绝缘操作杆共三根，每根直径*长为φ30mm*1m，颜色绿色；接地线采用多股铜质软绞线，截面不小于25mm2，外覆透明绝缘层，接地线长为2m*3+12m；接地端采用 0.8m长、φ16mm圆钢接地针；配单独防水背袋。</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7</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★绝缘手套</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名称：绝缘手套参数：12kV 材质:橡胶 执行标准：GB/T17622-2008标准试验电压：25kV/3 分钟适用范围：交流：≤21.75kV 该系列产品适用于电力、电器设备带电作业时戴用防止手部直接触碰带电体，以免遭到电击，起到手部绝缘防护作用，操作者可根据不同电压等级的作业场作选择不同型号的产品。注：一般劳动防护用品产品符合国家一般劳动防护用品相关规定，特种劳动防护用品产品符合国家关于特</w:t>
            </w:r>
          </w:p>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种劳动防护用品相关规定。</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8</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★绝缘手套</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名称：绝缘手套参数：25kV 材质:橡胶执行标准： GB/T17622-2008 标准试验电压：25kV/3 分钟适用范围：交流：≤21.76kV 该系列产品适用于电力、电器设备带电作业时戴用防止手部直接触碰带电体，以免遭到电击，起到手部绝缘防护作用，操作者可根据不同电压等级的作业场作选择不同型号的产品。注：一般劳动防护用品产品符合国家一般劳动防护用品相关规定，特种劳动防护用品产品符合国家关于特种劳动防护用品相关规定。</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9</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★绝缘手套</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名称：绝缘手套参数：35kV 材质:橡胶 符合</w:t>
            </w:r>
          </w:p>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GB/T17622-2008、Q/12HG6837</w:t>
            </w:r>
            <w:r>
              <w:rPr>
                <w:rFonts w:hint="eastAsia" w:ascii="仿宋_GB2312" w:hAnsi="仿宋_GB2312" w:eastAsia="仿宋_GB2312" w:cs="仿宋_GB2312"/>
                <w:sz w:val="24"/>
                <w:szCs w:val="24"/>
                <w:vertAlign w:val="baseline"/>
              </w:rPr>
              <w:tab/>
            </w:r>
            <w:r>
              <w:rPr>
                <w:rFonts w:hint="eastAsia" w:ascii="仿宋_GB2312" w:hAnsi="仿宋_GB2312" w:eastAsia="仿宋_GB2312" w:cs="仿宋_GB2312"/>
                <w:sz w:val="24"/>
                <w:szCs w:val="24"/>
                <w:vertAlign w:val="baseline"/>
              </w:rPr>
              <w:t>标准试验电压：35kV/3 分钟适用范围：交流：≤22kV,最大使用电压：21.25KV。该系列产品适用于电力、电器设备带电作业时戴用防止手部直接触碰带电体，以免遭到电击，起到手部绝缘防护作用， 操作者可根据不同电压等级的作业场作选择不同型号的产品。注：一般劳动防护用品产品符合国家一般劳动防护用品相关规定，特种劳动防护用品产品符合国家关于特种劳动防护用品相关规定。</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★绝缘靴</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25kV，符合 DL/T 676-2012 《带电作业用绝缘鞋(靴)通用技术条件》标准，由天然橡胶及填充剂等绝缘材料制成，鞋底具备防滑功能，辅助绝缘安全工器具，防止工作人员脚部触电，样式:高筒，高度不小于 GB12011-2009 标准要求:鞋底厚度&gt;4mm。鞋帮抗张强度≥15N/mm²</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11</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★绝缘靴</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35kV，符合DL/T 676-2012 《带电作业用绝缘鞋(靴)通用技术条件》标准，由天然橡胶及填充剂等绝缘材料制成，鞋底具备防滑功能，辅助绝缘安全工器具，防止工作人员脚部触电，样式:高筒，高度不小于 GB12011-2009 标准要求:鞋底厚度&gt;4mm。鞋帮抗张强度≥</w:t>
            </w:r>
          </w:p>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15N/mm²</w:t>
            </w:r>
          </w:p>
        </w:tc>
        <w:tc>
          <w:tcPr>
            <w:tcW w:w="727"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双</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12</w:t>
            </w:r>
          </w:p>
        </w:tc>
        <w:tc>
          <w:tcPr>
            <w:tcW w:w="1453"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★普通安全帽</w:t>
            </w:r>
          </w:p>
        </w:tc>
        <w:tc>
          <w:tcPr>
            <w:tcW w:w="5885" w:type="dxa"/>
            <w:vAlign w:val="center"/>
          </w:tcPr>
          <w:p>
            <w:pPr>
              <w:jc w:val="left"/>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满足 GB 2811-2019《头部防护 安全帽》标准，普通型， 使用无毒、无害及非回收再生材料作为原料，下颏带宽度不小于 10mm，质量不超过 430g，具备通风散热设计，帽壳通气孔总面积 150mm2~450mm2，安全帽内衬大小可自动调节，头筛调节带为按钮式:便于套装卸防寒内衬，按招标方要求在安全帽外表面印刷指定的图案、文字和编号。</w:t>
            </w:r>
          </w:p>
        </w:tc>
        <w:tc>
          <w:tcPr>
            <w:tcW w:w="727" w:type="dxa"/>
            <w:vAlign w:val="center"/>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顶</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13</w:t>
            </w:r>
          </w:p>
        </w:tc>
        <w:tc>
          <w:tcPr>
            <w:tcW w:w="1453"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rPr>
              <w:t>★</w:t>
            </w:r>
            <w:r>
              <w:rPr>
                <w:rFonts w:hint="eastAsia" w:ascii="仿宋_GB2312" w:hAnsi="仿宋_GB2312" w:eastAsia="仿宋_GB2312" w:cs="仿宋_GB2312"/>
                <w:sz w:val="24"/>
                <w:szCs w:val="24"/>
                <w:vertAlign w:val="baseline"/>
                <w:lang w:val="en-US" w:eastAsia="zh-CN"/>
              </w:rPr>
              <w:t>绝缘挡板</w:t>
            </w:r>
          </w:p>
        </w:tc>
        <w:tc>
          <w:tcPr>
            <w:tcW w:w="5885" w:type="dxa"/>
            <w:vAlign w:val="center"/>
          </w:tcPr>
          <w:p>
            <w:pPr>
              <w:jc w:val="left"/>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10kV型，标识清晰完整，表面均匀，无小孔、裂缝、局部隆起、切口、异物、折缝、空隙等。</w:t>
            </w:r>
          </w:p>
        </w:tc>
        <w:tc>
          <w:tcPr>
            <w:tcW w:w="727" w:type="dxa"/>
            <w:vAlign w:val="center"/>
          </w:tcPr>
          <w:p>
            <w:p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块</w:t>
            </w:r>
          </w:p>
        </w:tc>
        <w:tc>
          <w:tcPr>
            <w:tcW w:w="1165" w:type="dxa"/>
            <w:vAlign w:val="center"/>
          </w:tcPr>
          <w:p>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中标后送样</w:t>
            </w:r>
          </w:p>
        </w:tc>
        <w:tc>
          <w:tcPr>
            <w:tcW w:w="1200" w:type="dxa"/>
            <w:vAlign w:val="center"/>
          </w:tcPr>
          <w:p>
            <w:pPr>
              <w:jc w:val="center"/>
              <w:rPr>
                <w:rFonts w:hint="eastAsia" w:ascii="仿宋_GB2312" w:hAnsi="仿宋_GB2312" w:eastAsia="仿宋_GB2312" w:cs="仿宋_GB2312"/>
                <w:sz w:val="24"/>
                <w:szCs w:val="24"/>
                <w:vertAlign w:val="baseline"/>
              </w:rPr>
            </w:pPr>
            <w:bookmarkStart w:id="7" w:name="_GoBack"/>
            <w:bookmarkEnd w:id="7"/>
          </w:p>
        </w:tc>
      </w:tr>
    </w:tbl>
    <w:p>
      <w:pPr>
        <w:jc w:val="center"/>
        <w:rPr>
          <w:rFonts w:hint="eastAsia" w:ascii="仿宋_GB2312" w:hAnsi="仿宋_GB2312" w:eastAsia="仿宋_GB2312" w:cs="仿宋_GB2312"/>
          <w:sz w:val="32"/>
          <w:szCs w:val="32"/>
        </w:rPr>
      </w:pPr>
    </w:p>
    <w:p>
      <w:pPr>
        <w:jc w:val="both"/>
        <w:outlineLvl w:val="0"/>
        <w:rPr>
          <w:rFonts w:hint="eastAsia" w:ascii="仿宋_GB2312" w:hAnsi="仿宋_GB2312" w:eastAsia="仿宋_GB2312" w:cs="仿宋_GB2312"/>
          <w:b/>
          <w:bCs/>
          <w:sz w:val="32"/>
          <w:szCs w:val="32"/>
        </w:rPr>
      </w:pPr>
      <w:bookmarkStart w:id="2" w:name="_Toc12521"/>
      <w:r>
        <w:rPr>
          <w:rFonts w:hint="eastAsia" w:ascii="仿宋_GB2312" w:hAnsi="仿宋_GB2312" w:eastAsia="仿宋_GB2312" w:cs="仿宋_GB2312"/>
          <w:b/>
          <w:bCs/>
          <w:sz w:val="32"/>
          <w:szCs w:val="32"/>
        </w:rPr>
        <w:t>3</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样品要求</w:t>
      </w:r>
      <w:bookmarkEnd w:id="2"/>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中标后，厂家需提供以下样品备检：样品须满足本文件中技术要求。</w:t>
      </w:r>
    </w:p>
    <w:p>
      <w:pPr>
        <w:jc w:val="both"/>
        <w:outlineLvl w:val="0"/>
        <w:rPr>
          <w:rFonts w:hint="eastAsia" w:ascii="仿宋_GB2312" w:hAnsi="仿宋_GB2312" w:eastAsia="仿宋_GB2312" w:cs="仿宋_GB2312"/>
          <w:sz w:val="32"/>
          <w:szCs w:val="32"/>
        </w:rPr>
      </w:pPr>
      <w:bookmarkStart w:id="3" w:name="_Toc18943"/>
      <w:r>
        <w:rPr>
          <w:rFonts w:hint="eastAsia" w:ascii="仿宋_GB2312" w:hAnsi="仿宋_GB2312" w:eastAsia="仿宋_GB2312" w:cs="仿宋_GB2312"/>
          <w:b/>
          <w:bCs/>
          <w:sz w:val="32"/>
          <w:szCs w:val="32"/>
        </w:rPr>
        <w:t>4</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验收要求</w:t>
      </w:r>
      <w:bookmarkEnd w:id="3"/>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到货检验</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货物到货签收时，按送货批次中货物数量进行抽检，对照 GB/T 2828.1-2003《计数抽样检验程序》，原则上按一批次货物数量1-50抽检样本量为1、51-200抽检样本量为3、201-500抽检样本量为5、501及以上抽检样本量为10。中标方将产品送至有国家认可有合法检测资质的单位进行品控检验，并以检验合格为判断标准，合格者由中标方将产品送至合同约定的收货地点。</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投标报价需考虑产品抽检试验费用，该费用由投标方负责，抽检试验不合格者，由中标方负责更换。</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投入使用前使用方将对产品进行全检，全检试验不合格者，由中标方负责更换。全检不合格率超过 10%取消供货资格。</w:t>
      </w:r>
    </w:p>
    <w:p>
      <w:pPr>
        <w:jc w:val="both"/>
        <w:outlineLvl w:val="0"/>
        <w:rPr>
          <w:rFonts w:hint="eastAsia" w:ascii="仿宋_GB2312" w:hAnsi="仿宋_GB2312" w:eastAsia="仿宋_GB2312" w:cs="仿宋_GB2312"/>
          <w:sz w:val="32"/>
          <w:szCs w:val="32"/>
        </w:rPr>
      </w:pPr>
      <w:bookmarkStart w:id="4" w:name="_Toc8761"/>
      <w:r>
        <w:rPr>
          <w:rFonts w:hint="eastAsia" w:ascii="仿宋_GB2312" w:hAnsi="仿宋_GB2312" w:eastAsia="仿宋_GB2312" w:cs="仿宋_GB2312"/>
          <w:b/>
          <w:bCs/>
          <w:sz w:val="32"/>
          <w:szCs w:val="32"/>
        </w:rPr>
        <w:t>5</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质量保证及技术服务</w:t>
      </w:r>
      <w:bookmarkEnd w:id="4"/>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检验规则：出厂检验是验证产品在出厂前，其产品性能是否符合要求，出厂时由制造厂负责进行。</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物资统一到货后，中标方负责送达相关需求单位，并由需求单位验收合格后出具签收证明，对性能不符合要求的产品，中标方应积极进行退换。</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产品标志齐全，包装完整，包装袋（箱）上应注明厂名、厂址、商标、产品名称、规格、型号、合格证及产品说明书。</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5.4</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产品运输过程中和移交前应保存在干燥、通风、避免阳 光直晒和无腐蚀及有害物质的环境场所。</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5.5</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中标方应根据需求单位提出的要求，提供必要的使用培 训和现场指导等服务。</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5.6</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永久标识</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5.6.1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需采购商品的永久标识与产品一体并可识别的永久性 铭牌上，并在产品整个生命周期内一直保持清晰可辨的标识，至少应包括以下内容：</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执行标准编号； 制造厂名；</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生产日期（年、月）；</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产品名称（由生产厂命名）； 产品的分类标记；</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产品的使用期限。</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5.7 未尽事宜由供货商与各需求单位安监部门协商。</w:t>
      </w:r>
    </w:p>
    <w:p>
      <w:pPr>
        <w:jc w:val="both"/>
        <w:outlineLvl w:val="0"/>
        <w:rPr>
          <w:rFonts w:hint="eastAsia" w:ascii="仿宋_GB2312" w:hAnsi="仿宋_GB2312" w:eastAsia="仿宋_GB2312" w:cs="仿宋_GB2312"/>
          <w:b/>
          <w:bCs/>
          <w:sz w:val="32"/>
          <w:szCs w:val="32"/>
        </w:rPr>
      </w:pPr>
      <w:bookmarkStart w:id="5" w:name="_Toc15306"/>
      <w:r>
        <w:rPr>
          <w:rFonts w:hint="eastAsia" w:ascii="仿宋_GB2312" w:hAnsi="仿宋_GB2312" w:eastAsia="仿宋_GB2312" w:cs="仿宋_GB2312"/>
          <w:b/>
          <w:bCs/>
          <w:sz w:val="32"/>
          <w:szCs w:val="32"/>
        </w:rPr>
        <w:t>★6、增值服务</w:t>
      </w:r>
      <w:bookmarkEnd w:id="5"/>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对贵州</w:t>
      </w:r>
      <w:r>
        <w:rPr>
          <w:rFonts w:hint="eastAsia" w:ascii="仿宋_GB2312" w:hAnsi="仿宋_GB2312" w:eastAsia="仿宋_GB2312" w:cs="仿宋_GB2312"/>
          <w:sz w:val="32"/>
          <w:szCs w:val="32"/>
          <w:lang w:val="en-US" w:eastAsia="zh-CN"/>
        </w:rPr>
        <w:t>黔能企业有限责任</w:t>
      </w:r>
      <w:r>
        <w:rPr>
          <w:rFonts w:hint="eastAsia" w:ascii="仿宋_GB2312" w:hAnsi="仿宋_GB2312" w:eastAsia="仿宋_GB2312" w:cs="仿宋_GB2312"/>
          <w:sz w:val="32"/>
          <w:szCs w:val="32"/>
        </w:rPr>
        <w:t>公司每一批次购买的安全工器具，在临近检测周期前提醒甲方到期检测。</w:t>
      </w:r>
    </w:p>
    <w:p>
      <w:pPr>
        <w:jc w:val="both"/>
        <w:outlineLvl w:val="0"/>
        <w:rPr>
          <w:rFonts w:hint="eastAsia" w:ascii="仿宋_GB2312" w:hAnsi="仿宋_GB2312" w:eastAsia="仿宋_GB2312" w:cs="仿宋_GB2312"/>
          <w:sz w:val="32"/>
          <w:szCs w:val="32"/>
        </w:rPr>
      </w:pPr>
      <w:bookmarkStart w:id="6" w:name="_Toc8782"/>
      <w:r>
        <w:rPr>
          <w:rFonts w:hint="eastAsia" w:ascii="仿宋_GB2312" w:hAnsi="仿宋_GB2312" w:eastAsia="仿宋_GB2312" w:cs="仿宋_GB2312"/>
          <w:b/>
          <w:bCs/>
          <w:sz w:val="32"/>
          <w:szCs w:val="32"/>
        </w:rPr>
        <w:t>7、投标人响应部分</w:t>
      </w:r>
      <w:bookmarkEnd w:id="6"/>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7.1 技术偏差</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投标人提供的产品技术规范应与本招标文件中规定的 要求一致。若有偏差投标人应如实、认真地填写偏差值；若无技术偏差视为完全满足本技术规范的要求，则在投标人技术偏差表中注明“无偏差”。</w:t>
      </w:r>
    </w:p>
    <w:p>
      <w:pPr>
        <w:jc w:val="both"/>
        <w:rPr>
          <w:rFonts w:hint="eastAsia" w:ascii="仿宋_GB2312" w:hAnsi="仿宋_GB2312" w:eastAsia="仿宋_GB2312" w:cs="仿宋_GB2312"/>
          <w:sz w:val="32"/>
          <w:szCs w:val="32"/>
        </w:rPr>
      </w:pPr>
    </w:p>
    <w:p>
      <w:pPr>
        <w:jc w:val="both"/>
        <w:rPr>
          <w:rFonts w:hint="eastAsia" w:ascii="仿宋_GB2312" w:hAnsi="仿宋_GB2312" w:eastAsia="仿宋_GB2312" w:cs="仿宋_GB2312"/>
          <w:sz w:val="32"/>
          <w:szCs w:val="32"/>
        </w:rPr>
      </w:pP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投标人技术偏差表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序号</w:t>
            </w:r>
          </w:p>
        </w:tc>
        <w:tc>
          <w:tcPr>
            <w:tcW w:w="1420"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项</w:t>
            </w:r>
            <w:r>
              <w:rPr>
                <w:rFonts w:hint="eastAsia" w:ascii="仿宋_GB2312" w:hAnsi="仿宋_GB2312" w:eastAsia="仿宋_GB2312" w:cs="仿宋_GB2312"/>
                <w:sz w:val="32"/>
                <w:szCs w:val="32"/>
                <w:vertAlign w:val="baseline"/>
              </w:rPr>
              <w:tab/>
            </w:r>
            <w:r>
              <w:rPr>
                <w:rFonts w:hint="eastAsia" w:ascii="仿宋_GB2312" w:hAnsi="仿宋_GB2312" w:eastAsia="仿宋_GB2312" w:cs="仿宋_GB2312"/>
                <w:sz w:val="32"/>
                <w:szCs w:val="32"/>
                <w:vertAlign w:val="baseline"/>
              </w:rPr>
              <w:t>目</w:t>
            </w:r>
          </w:p>
        </w:tc>
        <w:tc>
          <w:tcPr>
            <w:tcW w:w="1420"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对应条款编号</w:t>
            </w:r>
          </w:p>
        </w:tc>
        <w:tc>
          <w:tcPr>
            <w:tcW w:w="1420"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技术规范要求</w:t>
            </w:r>
          </w:p>
        </w:tc>
        <w:tc>
          <w:tcPr>
            <w:tcW w:w="1421"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偏</w:t>
            </w:r>
            <w:r>
              <w:rPr>
                <w:rFonts w:hint="eastAsia" w:ascii="仿宋_GB2312" w:hAnsi="仿宋_GB2312" w:eastAsia="仿宋_GB2312" w:cs="仿宋_GB2312"/>
                <w:sz w:val="32"/>
                <w:szCs w:val="32"/>
                <w:vertAlign w:val="baseline"/>
              </w:rPr>
              <w:tab/>
            </w:r>
            <w:r>
              <w:rPr>
                <w:rFonts w:hint="eastAsia" w:ascii="仿宋_GB2312" w:hAnsi="仿宋_GB2312" w:eastAsia="仿宋_GB2312" w:cs="仿宋_GB2312"/>
                <w:sz w:val="32"/>
                <w:szCs w:val="32"/>
                <w:vertAlign w:val="baseline"/>
              </w:rPr>
              <w:t>差</w:t>
            </w:r>
          </w:p>
        </w:tc>
        <w:tc>
          <w:tcPr>
            <w:tcW w:w="1421" w:type="dxa"/>
            <w:vAlign w:val="center"/>
          </w:tcPr>
          <w:p>
            <w:pPr>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vertAlign w:val="baseline"/>
              </w:rPr>
              <w:t>备</w:t>
            </w:r>
            <w:r>
              <w:rPr>
                <w:rFonts w:hint="eastAsia" w:ascii="仿宋_GB2312" w:hAnsi="仿宋_GB2312" w:eastAsia="仿宋_GB2312" w:cs="仿宋_GB2312"/>
                <w:sz w:val="32"/>
                <w:szCs w:val="32"/>
                <w:vertAlign w:val="baseline"/>
              </w:rPr>
              <w:tab/>
            </w:r>
            <w:r>
              <w:rPr>
                <w:rFonts w:hint="eastAsia" w:ascii="仿宋_GB2312" w:hAnsi="仿宋_GB2312" w:eastAsia="仿宋_GB2312" w:cs="仿宋_GB2312"/>
                <w:sz w:val="32"/>
                <w:szCs w:val="32"/>
                <w:vertAlign w:val="baseli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1420" w:type="dxa"/>
          </w:tcPr>
          <w:p>
            <w:pPr>
              <w:jc w:val="center"/>
              <w:rPr>
                <w:rFonts w:hint="eastAsia" w:ascii="仿宋_GB2312" w:hAnsi="仿宋_GB2312" w:eastAsia="仿宋_GB2312" w:cs="仿宋_GB2312"/>
                <w:sz w:val="32"/>
                <w:szCs w:val="32"/>
                <w:vertAlign w:val="baseline"/>
              </w:rPr>
            </w:pPr>
          </w:p>
        </w:tc>
        <w:tc>
          <w:tcPr>
            <w:tcW w:w="1420" w:type="dxa"/>
          </w:tcPr>
          <w:p>
            <w:pPr>
              <w:jc w:val="center"/>
              <w:rPr>
                <w:rFonts w:hint="eastAsia" w:ascii="仿宋_GB2312" w:hAnsi="仿宋_GB2312" w:eastAsia="仿宋_GB2312" w:cs="仿宋_GB2312"/>
                <w:sz w:val="32"/>
                <w:szCs w:val="32"/>
                <w:vertAlign w:val="baseline"/>
              </w:rPr>
            </w:pPr>
          </w:p>
        </w:tc>
        <w:tc>
          <w:tcPr>
            <w:tcW w:w="1420" w:type="dxa"/>
          </w:tcPr>
          <w:p>
            <w:pPr>
              <w:jc w:val="center"/>
              <w:rPr>
                <w:rFonts w:hint="eastAsia" w:ascii="仿宋_GB2312" w:hAnsi="仿宋_GB2312" w:eastAsia="仿宋_GB2312" w:cs="仿宋_GB2312"/>
                <w:sz w:val="32"/>
                <w:szCs w:val="32"/>
                <w:vertAlign w:val="baseline"/>
              </w:rPr>
            </w:pPr>
          </w:p>
        </w:tc>
        <w:tc>
          <w:tcPr>
            <w:tcW w:w="1421" w:type="dxa"/>
          </w:tcPr>
          <w:p>
            <w:pPr>
              <w:jc w:val="center"/>
              <w:rPr>
                <w:rFonts w:hint="eastAsia" w:ascii="仿宋_GB2312" w:hAnsi="仿宋_GB2312" w:eastAsia="仿宋_GB2312" w:cs="仿宋_GB2312"/>
                <w:sz w:val="32"/>
                <w:szCs w:val="32"/>
                <w:vertAlign w:val="baseline"/>
              </w:rPr>
            </w:pPr>
          </w:p>
        </w:tc>
        <w:tc>
          <w:tcPr>
            <w:tcW w:w="1421" w:type="dxa"/>
          </w:tcPr>
          <w:p>
            <w:pPr>
              <w:jc w:val="center"/>
              <w:rPr>
                <w:rFonts w:hint="eastAsia"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jc w:val="center"/>
              <w:rPr>
                <w:rFonts w:hint="eastAsia" w:ascii="仿宋_GB2312" w:hAnsi="仿宋_GB2312" w:eastAsia="仿宋_GB2312" w:cs="仿宋_GB2312"/>
                <w:sz w:val="32"/>
                <w:szCs w:val="32"/>
                <w:vertAlign w:val="baseline"/>
              </w:rPr>
            </w:pPr>
          </w:p>
        </w:tc>
        <w:tc>
          <w:tcPr>
            <w:tcW w:w="1420" w:type="dxa"/>
          </w:tcPr>
          <w:p>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w:t>
            </w:r>
          </w:p>
        </w:tc>
        <w:tc>
          <w:tcPr>
            <w:tcW w:w="1420" w:type="dxa"/>
          </w:tcPr>
          <w:p>
            <w:pPr>
              <w:jc w:val="center"/>
              <w:rPr>
                <w:rFonts w:hint="eastAsia" w:ascii="仿宋_GB2312" w:hAnsi="仿宋_GB2312" w:eastAsia="仿宋_GB2312" w:cs="仿宋_GB2312"/>
                <w:sz w:val="32"/>
                <w:szCs w:val="32"/>
                <w:vertAlign w:val="baseline"/>
              </w:rPr>
            </w:pPr>
          </w:p>
        </w:tc>
        <w:tc>
          <w:tcPr>
            <w:tcW w:w="1420" w:type="dxa"/>
          </w:tcPr>
          <w:p>
            <w:pPr>
              <w:jc w:val="center"/>
              <w:rPr>
                <w:rFonts w:hint="eastAsia" w:ascii="仿宋_GB2312" w:hAnsi="仿宋_GB2312" w:eastAsia="仿宋_GB2312" w:cs="仿宋_GB2312"/>
                <w:sz w:val="32"/>
                <w:szCs w:val="32"/>
                <w:vertAlign w:val="baseline"/>
              </w:rPr>
            </w:pPr>
          </w:p>
        </w:tc>
        <w:tc>
          <w:tcPr>
            <w:tcW w:w="1421" w:type="dxa"/>
          </w:tcPr>
          <w:p>
            <w:pPr>
              <w:jc w:val="center"/>
              <w:rPr>
                <w:rFonts w:hint="eastAsia" w:ascii="仿宋_GB2312" w:hAnsi="仿宋_GB2312" w:eastAsia="仿宋_GB2312" w:cs="仿宋_GB2312"/>
                <w:sz w:val="32"/>
                <w:szCs w:val="32"/>
                <w:vertAlign w:val="baseline"/>
              </w:rPr>
            </w:pPr>
          </w:p>
        </w:tc>
        <w:tc>
          <w:tcPr>
            <w:tcW w:w="1421" w:type="dxa"/>
          </w:tcPr>
          <w:p>
            <w:pPr>
              <w:jc w:val="center"/>
              <w:rPr>
                <w:rFonts w:hint="eastAsia" w:ascii="仿宋_GB2312" w:hAnsi="仿宋_GB2312" w:eastAsia="仿宋_GB2312" w:cs="仿宋_GB2312"/>
                <w:sz w:val="32"/>
                <w:szCs w:val="32"/>
                <w:vertAlign w:val="baseline"/>
              </w:rPr>
            </w:pPr>
          </w:p>
        </w:tc>
      </w:tr>
    </w:tbl>
    <w:p>
      <w:pPr>
        <w:jc w:val="center"/>
        <w:rPr>
          <w:rFonts w:hint="eastAsia" w:ascii="仿宋_GB2312" w:hAnsi="仿宋_GB2312" w:eastAsia="仿宋_GB2312" w:cs="仿宋_GB2312"/>
          <w:sz w:val="32"/>
          <w:szCs w:val="32"/>
        </w:rPr>
      </w:pPr>
    </w:p>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089ACE"/>
    <w:multiLevelType w:val="singleLevel"/>
    <w:tmpl w:val="6E089A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3372A"/>
    <w:rsid w:val="00240819"/>
    <w:rsid w:val="00740672"/>
    <w:rsid w:val="01286784"/>
    <w:rsid w:val="01485C0C"/>
    <w:rsid w:val="014D0658"/>
    <w:rsid w:val="01673C87"/>
    <w:rsid w:val="02001358"/>
    <w:rsid w:val="020122DA"/>
    <w:rsid w:val="02904261"/>
    <w:rsid w:val="029F7FAB"/>
    <w:rsid w:val="02C40623"/>
    <w:rsid w:val="02EA301E"/>
    <w:rsid w:val="02FF015E"/>
    <w:rsid w:val="03223178"/>
    <w:rsid w:val="03442953"/>
    <w:rsid w:val="03455D47"/>
    <w:rsid w:val="03743BAB"/>
    <w:rsid w:val="03D32258"/>
    <w:rsid w:val="04A92DCB"/>
    <w:rsid w:val="04CA4976"/>
    <w:rsid w:val="04ED23F9"/>
    <w:rsid w:val="050444EB"/>
    <w:rsid w:val="05291195"/>
    <w:rsid w:val="053D321C"/>
    <w:rsid w:val="059D1D9F"/>
    <w:rsid w:val="05F37DC3"/>
    <w:rsid w:val="06200138"/>
    <w:rsid w:val="067117E9"/>
    <w:rsid w:val="069B6F58"/>
    <w:rsid w:val="06EC1E1B"/>
    <w:rsid w:val="076A2BAD"/>
    <w:rsid w:val="077A050A"/>
    <w:rsid w:val="07A66930"/>
    <w:rsid w:val="07AD2B8D"/>
    <w:rsid w:val="07D764F1"/>
    <w:rsid w:val="07DF0DEA"/>
    <w:rsid w:val="07E539F5"/>
    <w:rsid w:val="07E6142F"/>
    <w:rsid w:val="08182B7E"/>
    <w:rsid w:val="08C00808"/>
    <w:rsid w:val="08E95270"/>
    <w:rsid w:val="091C2597"/>
    <w:rsid w:val="094D7793"/>
    <w:rsid w:val="0A214CE1"/>
    <w:rsid w:val="0A481D62"/>
    <w:rsid w:val="0A5D0809"/>
    <w:rsid w:val="0A654921"/>
    <w:rsid w:val="0A6B7849"/>
    <w:rsid w:val="0A857AF8"/>
    <w:rsid w:val="0A872697"/>
    <w:rsid w:val="0ABD176A"/>
    <w:rsid w:val="0ABF45CE"/>
    <w:rsid w:val="0AD00B59"/>
    <w:rsid w:val="0AE015CF"/>
    <w:rsid w:val="0AF80EA6"/>
    <w:rsid w:val="0B241B95"/>
    <w:rsid w:val="0BD33E31"/>
    <w:rsid w:val="0C1F23E0"/>
    <w:rsid w:val="0C774117"/>
    <w:rsid w:val="0C77460C"/>
    <w:rsid w:val="0C8F772F"/>
    <w:rsid w:val="0CA5076F"/>
    <w:rsid w:val="0CBD330B"/>
    <w:rsid w:val="0CCC7819"/>
    <w:rsid w:val="0D500345"/>
    <w:rsid w:val="0D686B74"/>
    <w:rsid w:val="0D8235EB"/>
    <w:rsid w:val="0D845D58"/>
    <w:rsid w:val="0DAB7815"/>
    <w:rsid w:val="0DB1631A"/>
    <w:rsid w:val="0DBB1DA0"/>
    <w:rsid w:val="0DD83824"/>
    <w:rsid w:val="0E081B7F"/>
    <w:rsid w:val="0E2B5725"/>
    <w:rsid w:val="0E50761A"/>
    <w:rsid w:val="0EA34236"/>
    <w:rsid w:val="0EB61AA0"/>
    <w:rsid w:val="0EC362F1"/>
    <w:rsid w:val="0EF04552"/>
    <w:rsid w:val="0F457EDB"/>
    <w:rsid w:val="0F532D43"/>
    <w:rsid w:val="0F5F4F70"/>
    <w:rsid w:val="0FA7146B"/>
    <w:rsid w:val="0FE86AF0"/>
    <w:rsid w:val="10182483"/>
    <w:rsid w:val="10245834"/>
    <w:rsid w:val="10296400"/>
    <w:rsid w:val="104A5429"/>
    <w:rsid w:val="104F00F3"/>
    <w:rsid w:val="106E7C7D"/>
    <w:rsid w:val="10714299"/>
    <w:rsid w:val="10E0449C"/>
    <w:rsid w:val="10E92EC4"/>
    <w:rsid w:val="111F4944"/>
    <w:rsid w:val="114C7072"/>
    <w:rsid w:val="11503B5C"/>
    <w:rsid w:val="11625145"/>
    <w:rsid w:val="118074E5"/>
    <w:rsid w:val="118E42B5"/>
    <w:rsid w:val="11972212"/>
    <w:rsid w:val="11C9467D"/>
    <w:rsid w:val="12176561"/>
    <w:rsid w:val="12301E75"/>
    <w:rsid w:val="12AC6FBE"/>
    <w:rsid w:val="12B34E25"/>
    <w:rsid w:val="12D837D2"/>
    <w:rsid w:val="12EC355A"/>
    <w:rsid w:val="13255E6D"/>
    <w:rsid w:val="133F77E1"/>
    <w:rsid w:val="13417F5B"/>
    <w:rsid w:val="13971462"/>
    <w:rsid w:val="13B51FC6"/>
    <w:rsid w:val="13C84025"/>
    <w:rsid w:val="13D11424"/>
    <w:rsid w:val="14107DA0"/>
    <w:rsid w:val="14256689"/>
    <w:rsid w:val="14413A26"/>
    <w:rsid w:val="146337D4"/>
    <w:rsid w:val="147B6B64"/>
    <w:rsid w:val="148A3437"/>
    <w:rsid w:val="14972E92"/>
    <w:rsid w:val="14A05745"/>
    <w:rsid w:val="14AB0A6A"/>
    <w:rsid w:val="152E5479"/>
    <w:rsid w:val="154245A2"/>
    <w:rsid w:val="15EE53D2"/>
    <w:rsid w:val="15F4454D"/>
    <w:rsid w:val="161D40F4"/>
    <w:rsid w:val="16AE6690"/>
    <w:rsid w:val="172023A5"/>
    <w:rsid w:val="17A51ABC"/>
    <w:rsid w:val="17D82285"/>
    <w:rsid w:val="183019A0"/>
    <w:rsid w:val="18B72EA1"/>
    <w:rsid w:val="18D07C06"/>
    <w:rsid w:val="18D55A8C"/>
    <w:rsid w:val="18D65CBB"/>
    <w:rsid w:val="18D775C9"/>
    <w:rsid w:val="199C7CAC"/>
    <w:rsid w:val="19B9106A"/>
    <w:rsid w:val="19F039E5"/>
    <w:rsid w:val="19FB4499"/>
    <w:rsid w:val="1A2B64E4"/>
    <w:rsid w:val="1A355183"/>
    <w:rsid w:val="1A4378A2"/>
    <w:rsid w:val="1A4D2183"/>
    <w:rsid w:val="1A8F70CD"/>
    <w:rsid w:val="1B241E07"/>
    <w:rsid w:val="1B646361"/>
    <w:rsid w:val="1B757FDB"/>
    <w:rsid w:val="1B7D641A"/>
    <w:rsid w:val="1BF84CEB"/>
    <w:rsid w:val="1C01766F"/>
    <w:rsid w:val="1C404557"/>
    <w:rsid w:val="1CBF21B0"/>
    <w:rsid w:val="1CC31011"/>
    <w:rsid w:val="1CC70DD3"/>
    <w:rsid w:val="1CC86F0D"/>
    <w:rsid w:val="1CEB0054"/>
    <w:rsid w:val="1D547802"/>
    <w:rsid w:val="1D906060"/>
    <w:rsid w:val="1E363710"/>
    <w:rsid w:val="1E432827"/>
    <w:rsid w:val="1E9052DA"/>
    <w:rsid w:val="1E927ACE"/>
    <w:rsid w:val="1E940DE7"/>
    <w:rsid w:val="1E946215"/>
    <w:rsid w:val="1EEA5043"/>
    <w:rsid w:val="1F1C4C67"/>
    <w:rsid w:val="1F7C16D8"/>
    <w:rsid w:val="1F815221"/>
    <w:rsid w:val="1FD80CF1"/>
    <w:rsid w:val="1FEF1144"/>
    <w:rsid w:val="200D51D5"/>
    <w:rsid w:val="201E1EB0"/>
    <w:rsid w:val="202337EC"/>
    <w:rsid w:val="202D43C3"/>
    <w:rsid w:val="204B2B38"/>
    <w:rsid w:val="207C0C0E"/>
    <w:rsid w:val="208E089E"/>
    <w:rsid w:val="209D56AF"/>
    <w:rsid w:val="20BD23D1"/>
    <w:rsid w:val="20F5301A"/>
    <w:rsid w:val="211B7E33"/>
    <w:rsid w:val="212406B7"/>
    <w:rsid w:val="2126356D"/>
    <w:rsid w:val="21360CE8"/>
    <w:rsid w:val="219E504E"/>
    <w:rsid w:val="21CB1C6B"/>
    <w:rsid w:val="21E06886"/>
    <w:rsid w:val="222C2F7C"/>
    <w:rsid w:val="22457153"/>
    <w:rsid w:val="22510D34"/>
    <w:rsid w:val="22521830"/>
    <w:rsid w:val="227521AE"/>
    <w:rsid w:val="22960977"/>
    <w:rsid w:val="232B1848"/>
    <w:rsid w:val="232F22EC"/>
    <w:rsid w:val="23750226"/>
    <w:rsid w:val="23A61BCB"/>
    <w:rsid w:val="23BE361D"/>
    <w:rsid w:val="23FF594A"/>
    <w:rsid w:val="243E207C"/>
    <w:rsid w:val="244657EE"/>
    <w:rsid w:val="2498313C"/>
    <w:rsid w:val="249A705D"/>
    <w:rsid w:val="24E021D8"/>
    <w:rsid w:val="25166C28"/>
    <w:rsid w:val="251E794D"/>
    <w:rsid w:val="252D79AA"/>
    <w:rsid w:val="254E5C9C"/>
    <w:rsid w:val="256E468E"/>
    <w:rsid w:val="25BD6AE9"/>
    <w:rsid w:val="25C53337"/>
    <w:rsid w:val="26213D76"/>
    <w:rsid w:val="263631D5"/>
    <w:rsid w:val="26B53905"/>
    <w:rsid w:val="26F94658"/>
    <w:rsid w:val="271B74A5"/>
    <w:rsid w:val="273A7080"/>
    <w:rsid w:val="27501B34"/>
    <w:rsid w:val="27FE5F82"/>
    <w:rsid w:val="285C63F7"/>
    <w:rsid w:val="289252DB"/>
    <w:rsid w:val="28961EA8"/>
    <w:rsid w:val="28965CD3"/>
    <w:rsid w:val="29102645"/>
    <w:rsid w:val="291D46E5"/>
    <w:rsid w:val="292E693C"/>
    <w:rsid w:val="296D4E85"/>
    <w:rsid w:val="297C2557"/>
    <w:rsid w:val="29930E7F"/>
    <w:rsid w:val="29A30684"/>
    <w:rsid w:val="29D059F0"/>
    <w:rsid w:val="29FD1A09"/>
    <w:rsid w:val="2A326F03"/>
    <w:rsid w:val="2A531AA7"/>
    <w:rsid w:val="2A695767"/>
    <w:rsid w:val="2BB04601"/>
    <w:rsid w:val="2BDD3EEB"/>
    <w:rsid w:val="2C161BB3"/>
    <w:rsid w:val="2C487B52"/>
    <w:rsid w:val="2C8009AD"/>
    <w:rsid w:val="2C9A629E"/>
    <w:rsid w:val="2CBC19D1"/>
    <w:rsid w:val="2CE04C02"/>
    <w:rsid w:val="2CEB1A04"/>
    <w:rsid w:val="2D005BD6"/>
    <w:rsid w:val="2D0B5138"/>
    <w:rsid w:val="2D1C6315"/>
    <w:rsid w:val="2D3F4443"/>
    <w:rsid w:val="2D7309EF"/>
    <w:rsid w:val="2D842C02"/>
    <w:rsid w:val="2D850AE9"/>
    <w:rsid w:val="2DE60FC6"/>
    <w:rsid w:val="2E107B5B"/>
    <w:rsid w:val="2E964BB1"/>
    <w:rsid w:val="2EBC4D70"/>
    <w:rsid w:val="2F000EB6"/>
    <w:rsid w:val="2F2F6DD8"/>
    <w:rsid w:val="2F491542"/>
    <w:rsid w:val="2F4D53AC"/>
    <w:rsid w:val="2F8C7EE3"/>
    <w:rsid w:val="2F9173F9"/>
    <w:rsid w:val="2FA336C6"/>
    <w:rsid w:val="2FBA6493"/>
    <w:rsid w:val="2FC91901"/>
    <w:rsid w:val="2FD4094A"/>
    <w:rsid w:val="306979E5"/>
    <w:rsid w:val="30BE7130"/>
    <w:rsid w:val="30E40535"/>
    <w:rsid w:val="30FA4235"/>
    <w:rsid w:val="31182704"/>
    <w:rsid w:val="311E0731"/>
    <w:rsid w:val="314720FC"/>
    <w:rsid w:val="316558FB"/>
    <w:rsid w:val="31C1477C"/>
    <w:rsid w:val="31EB5E4A"/>
    <w:rsid w:val="31F50C82"/>
    <w:rsid w:val="321331C4"/>
    <w:rsid w:val="321F7AF6"/>
    <w:rsid w:val="325810F8"/>
    <w:rsid w:val="32592065"/>
    <w:rsid w:val="32A42D0A"/>
    <w:rsid w:val="32F73494"/>
    <w:rsid w:val="331B4E9F"/>
    <w:rsid w:val="33385CB2"/>
    <w:rsid w:val="33626C58"/>
    <w:rsid w:val="336E343B"/>
    <w:rsid w:val="339C1665"/>
    <w:rsid w:val="33AD7FFF"/>
    <w:rsid w:val="33B26BD8"/>
    <w:rsid w:val="33F96637"/>
    <w:rsid w:val="34014A33"/>
    <w:rsid w:val="343B67CD"/>
    <w:rsid w:val="345B0F66"/>
    <w:rsid w:val="34736F09"/>
    <w:rsid w:val="34873160"/>
    <w:rsid w:val="34F04B70"/>
    <w:rsid w:val="3520421C"/>
    <w:rsid w:val="352227C3"/>
    <w:rsid w:val="35357112"/>
    <w:rsid w:val="355D1888"/>
    <w:rsid w:val="356F2340"/>
    <w:rsid w:val="357574B9"/>
    <w:rsid w:val="357D39AC"/>
    <w:rsid w:val="364E137B"/>
    <w:rsid w:val="36662A1D"/>
    <w:rsid w:val="36677799"/>
    <w:rsid w:val="36B0486C"/>
    <w:rsid w:val="36F828D1"/>
    <w:rsid w:val="37854542"/>
    <w:rsid w:val="37946AF1"/>
    <w:rsid w:val="37BD1ECD"/>
    <w:rsid w:val="37F722A2"/>
    <w:rsid w:val="38044B0B"/>
    <w:rsid w:val="38856332"/>
    <w:rsid w:val="38952CBD"/>
    <w:rsid w:val="38A02A25"/>
    <w:rsid w:val="38B7753B"/>
    <w:rsid w:val="38C7022A"/>
    <w:rsid w:val="38E00C2D"/>
    <w:rsid w:val="39391A18"/>
    <w:rsid w:val="39624467"/>
    <w:rsid w:val="39DD0B18"/>
    <w:rsid w:val="3A12706A"/>
    <w:rsid w:val="3A1D00A4"/>
    <w:rsid w:val="3A3B3796"/>
    <w:rsid w:val="3A494D25"/>
    <w:rsid w:val="3A887647"/>
    <w:rsid w:val="3ABB1451"/>
    <w:rsid w:val="3AD775D5"/>
    <w:rsid w:val="3ADC3A11"/>
    <w:rsid w:val="3AF57EC3"/>
    <w:rsid w:val="3B7011A3"/>
    <w:rsid w:val="3B98543A"/>
    <w:rsid w:val="3BA6384E"/>
    <w:rsid w:val="3BE93303"/>
    <w:rsid w:val="3BF97E95"/>
    <w:rsid w:val="3C372AC2"/>
    <w:rsid w:val="3C6A4B5F"/>
    <w:rsid w:val="3CF12743"/>
    <w:rsid w:val="3D1E60FB"/>
    <w:rsid w:val="3D4C7562"/>
    <w:rsid w:val="3D4F0CE8"/>
    <w:rsid w:val="3DF96339"/>
    <w:rsid w:val="3E0973DC"/>
    <w:rsid w:val="3E147834"/>
    <w:rsid w:val="3E237533"/>
    <w:rsid w:val="3E3202FD"/>
    <w:rsid w:val="3E3B0792"/>
    <w:rsid w:val="3E42604D"/>
    <w:rsid w:val="3EB1153B"/>
    <w:rsid w:val="3EE13562"/>
    <w:rsid w:val="3EE22EE9"/>
    <w:rsid w:val="3F333AF0"/>
    <w:rsid w:val="3F74728F"/>
    <w:rsid w:val="4030230F"/>
    <w:rsid w:val="409C7AAC"/>
    <w:rsid w:val="40B53234"/>
    <w:rsid w:val="410D3F4D"/>
    <w:rsid w:val="410E2CC8"/>
    <w:rsid w:val="416B101A"/>
    <w:rsid w:val="41F05759"/>
    <w:rsid w:val="421C061E"/>
    <w:rsid w:val="424A7B1B"/>
    <w:rsid w:val="426358BF"/>
    <w:rsid w:val="429519EC"/>
    <w:rsid w:val="42B0779E"/>
    <w:rsid w:val="42D21FF9"/>
    <w:rsid w:val="435668AB"/>
    <w:rsid w:val="439B5DCE"/>
    <w:rsid w:val="43E6472A"/>
    <w:rsid w:val="43F14796"/>
    <w:rsid w:val="43FD3B76"/>
    <w:rsid w:val="44006699"/>
    <w:rsid w:val="44463151"/>
    <w:rsid w:val="44694C5F"/>
    <w:rsid w:val="44A93783"/>
    <w:rsid w:val="45114692"/>
    <w:rsid w:val="451F4235"/>
    <w:rsid w:val="45203BBB"/>
    <w:rsid w:val="457F6873"/>
    <w:rsid w:val="459616F4"/>
    <w:rsid w:val="45D52885"/>
    <w:rsid w:val="45DD2336"/>
    <w:rsid w:val="46A609A5"/>
    <w:rsid w:val="46DF49DF"/>
    <w:rsid w:val="46F35B4C"/>
    <w:rsid w:val="473F2F1B"/>
    <w:rsid w:val="474A29F4"/>
    <w:rsid w:val="474B1CCE"/>
    <w:rsid w:val="47520489"/>
    <w:rsid w:val="47D866CE"/>
    <w:rsid w:val="47EB592C"/>
    <w:rsid w:val="47F04161"/>
    <w:rsid w:val="4840325F"/>
    <w:rsid w:val="48BC5243"/>
    <w:rsid w:val="48D727AF"/>
    <w:rsid w:val="491A36B6"/>
    <w:rsid w:val="49297E99"/>
    <w:rsid w:val="49400679"/>
    <w:rsid w:val="49424F26"/>
    <w:rsid w:val="49443925"/>
    <w:rsid w:val="49DF4F7D"/>
    <w:rsid w:val="49F56BB3"/>
    <w:rsid w:val="4A203173"/>
    <w:rsid w:val="4A4F4F3F"/>
    <w:rsid w:val="4A805CE9"/>
    <w:rsid w:val="4AAA164C"/>
    <w:rsid w:val="4ACF4F1E"/>
    <w:rsid w:val="4B0B44C5"/>
    <w:rsid w:val="4B4F2F73"/>
    <w:rsid w:val="4B4F3773"/>
    <w:rsid w:val="4B4F6C96"/>
    <w:rsid w:val="4B6C211D"/>
    <w:rsid w:val="4B8B1836"/>
    <w:rsid w:val="4BCC2CCE"/>
    <w:rsid w:val="4C066DD8"/>
    <w:rsid w:val="4C4669FB"/>
    <w:rsid w:val="4C69143B"/>
    <w:rsid w:val="4CF021BA"/>
    <w:rsid w:val="4CF144C0"/>
    <w:rsid w:val="4D01266A"/>
    <w:rsid w:val="4D100A57"/>
    <w:rsid w:val="4D5D22BE"/>
    <w:rsid w:val="4D6B759F"/>
    <w:rsid w:val="4D6C06DF"/>
    <w:rsid w:val="4DF62789"/>
    <w:rsid w:val="4E1A1DD3"/>
    <w:rsid w:val="4EFA04F2"/>
    <w:rsid w:val="4EFF2DFC"/>
    <w:rsid w:val="4F0878DA"/>
    <w:rsid w:val="4F365CAC"/>
    <w:rsid w:val="4F4D341F"/>
    <w:rsid w:val="4F5A373F"/>
    <w:rsid w:val="4F5C1F80"/>
    <w:rsid w:val="4F770644"/>
    <w:rsid w:val="4F9D700F"/>
    <w:rsid w:val="4FE45E04"/>
    <w:rsid w:val="4FE47A26"/>
    <w:rsid w:val="501C79F2"/>
    <w:rsid w:val="502A57F5"/>
    <w:rsid w:val="50CC0984"/>
    <w:rsid w:val="50CC3675"/>
    <w:rsid w:val="51005FDC"/>
    <w:rsid w:val="512A08D8"/>
    <w:rsid w:val="5138425A"/>
    <w:rsid w:val="5167625E"/>
    <w:rsid w:val="51DD3EA7"/>
    <w:rsid w:val="52067BB6"/>
    <w:rsid w:val="521F618E"/>
    <w:rsid w:val="523B437B"/>
    <w:rsid w:val="52750DA1"/>
    <w:rsid w:val="52AD201F"/>
    <w:rsid w:val="52B126EB"/>
    <w:rsid w:val="52C1396F"/>
    <w:rsid w:val="53010A6C"/>
    <w:rsid w:val="536E1E11"/>
    <w:rsid w:val="539519A7"/>
    <w:rsid w:val="539E16C2"/>
    <w:rsid w:val="53AD5C85"/>
    <w:rsid w:val="54295964"/>
    <w:rsid w:val="54722DEF"/>
    <w:rsid w:val="549370E7"/>
    <w:rsid w:val="54AB51D1"/>
    <w:rsid w:val="54D83AD1"/>
    <w:rsid w:val="54F617C8"/>
    <w:rsid w:val="558B2CE8"/>
    <w:rsid w:val="56085E44"/>
    <w:rsid w:val="56266603"/>
    <w:rsid w:val="565915EF"/>
    <w:rsid w:val="566364EF"/>
    <w:rsid w:val="56683751"/>
    <w:rsid w:val="566D5A4A"/>
    <w:rsid w:val="567D55FB"/>
    <w:rsid w:val="56C64BA9"/>
    <w:rsid w:val="572574DC"/>
    <w:rsid w:val="57B165A0"/>
    <w:rsid w:val="57F02D63"/>
    <w:rsid w:val="582D7F5B"/>
    <w:rsid w:val="585F6897"/>
    <w:rsid w:val="58B433AC"/>
    <w:rsid w:val="58C23969"/>
    <w:rsid w:val="59562FEF"/>
    <w:rsid w:val="5A2D7A14"/>
    <w:rsid w:val="5A572184"/>
    <w:rsid w:val="5A6E0BCA"/>
    <w:rsid w:val="5A700127"/>
    <w:rsid w:val="5A9D31BC"/>
    <w:rsid w:val="5B1A7E46"/>
    <w:rsid w:val="5B264E28"/>
    <w:rsid w:val="5B9042E4"/>
    <w:rsid w:val="5B952BA8"/>
    <w:rsid w:val="5C090CC6"/>
    <w:rsid w:val="5C4844BB"/>
    <w:rsid w:val="5CE1518D"/>
    <w:rsid w:val="5D4532A0"/>
    <w:rsid w:val="5D4D6013"/>
    <w:rsid w:val="5D5723D4"/>
    <w:rsid w:val="5D941D14"/>
    <w:rsid w:val="5D9E2E1F"/>
    <w:rsid w:val="5DB21974"/>
    <w:rsid w:val="5DB84F9B"/>
    <w:rsid w:val="5DE16FE6"/>
    <w:rsid w:val="5DFE4562"/>
    <w:rsid w:val="5E453D82"/>
    <w:rsid w:val="5E556B46"/>
    <w:rsid w:val="5E776311"/>
    <w:rsid w:val="5EB32031"/>
    <w:rsid w:val="5ECE4FE6"/>
    <w:rsid w:val="5EE10E8A"/>
    <w:rsid w:val="5EFB16AB"/>
    <w:rsid w:val="5F54577A"/>
    <w:rsid w:val="5F677483"/>
    <w:rsid w:val="5F6B4AC2"/>
    <w:rsid w:val="5FA10561"/>
    <w:rsid w:val="602308E7"/>
    <w:rsid w:val="608F0314"/>
    <w:rsid w:val="609119D3"/>
    <w:rsid w:val="60A326A4"/>
    <w:rsid w:val="60DE5BEB"/>
    <w:rsid w:val="60E55FC1"/>
    <w:rsid w:val="60EB488D"/>
    <w:rsid w:val="60F54570"/>
    <w:rsid w:val="61161E96"/>
    <w:rsid w:val="611F5A62"/>
    <w:rsid w:val="6148707A"/>
    <w:rsid w:val="614D1F89"/>
    <w:rsid w:val="61AE213C"/>
    <w:rsid w:val="61B066C5"/>
    <w:rsid w:val="61CD4DEE"/>
    <w:rsid w:val="62296546"/>
    <w:rsid w:val="62692345"/>
    <w:rsid w:val="62832E52"/>
    <w:rsid w:val="62BB609B"/>
    <w:rsid w:val="62C76168"/>
    <w:rsid w:val="630E65EE"/>
    <w:rsid w:val="63105897"/>
    <w:rsid w:val="63106D2E"/>
    <w:rsid w:val="63176CF6"/>
    <w:rsid w:val="6321774C"/>
    <w:rsid w:val="63472B05"/>
    <w:rsid w:val="63616BCC"/>
    <w:rsid w:val="63A377B7"/>
    <w:rsid w:val="63DD6229"/>
    <w:rsid w:val="64842F6D"/>
    <w:rsid w:val="64A54A13"/>
    <w:rsid w:val="64B966C7"/>
    <w:rsid w:val="64BD3720"/>
    <w:rsid w:val="64C54D13"/>
    <w:rsid w:val="64FE74AC"/>
    <w:rsid w:val="65234BE8"/>
    <w:rsid w:val="65646E47"/>
    <w:rsid w:val="65E21577"/>
    <w:rsid w:val="65F64595"/>
    <w:rsid w:val="66190146"/>
    <w:rsid w:val="66207E80"/>
    <w:rsid w:val="66473391"/>
    <w:rsid w:val="664B55A8"/>
    <w:rsid w:val="665040EA"/>
    <w:rsid w:val="66512921"/>
    <w:rsid w:val="66761D69"/>
    <w:rsid w:val="66883CC4"/>
    <w:rsid w:val="66B8735A"/>
    <w:rsid w:val="66D66ABB"/>
    <w:rsid w:val="66ED2110"/>
    <w:rsid w:val="67002EAC"/>
    <w:rsid w:val="67020C85"/>
    <w:rsid w:val="6704213D"/>
    <w:rsid w:val="6739293D"/>
    <w:rsid w:val="677645B7"/>
    <w:rsid w:val="677C4BBC"/>
    <w:rsid w:val="682F171B"/>
    <w:rsid w:val="698062AE"/>
    <w:rsid w:val="6A4D22AB"/>
    <w:rsid w:val="6A7013F0"/>
    <w:rsid w:val="6AAA466D"/>
    <w:rsid w:val="6AAC50E3"/>
    <w:rsid w:val="6AEF6C62"/>
    <w:rsid w:val="6AFE7EF0"/>
    <w:rsid w:val="6B045B00"/>
    <w:rsid w:val="6B1E1DB5"/>
    <w:rsid w:val="6B316063"/>
    <w:rsid w:val="6B3E1E61"/>
    <w:rsid w:val="6B6722E9"/>
    <w:rsid w:val="6B9432FD"/>
    <w:rsid w:val="6BAC3F37"/>
    <w:rsid w:val="6BB27ADF"/>
    <w:rsid w:val="6BB32DF2"/>
    <w:rsid w:val="6BC40DC5"/>
    <w:rsid w:val="6BD73B1B"/>
    <w:rsid w:val="6BDC73BB"/>
    <w:rsid w:val="6C627BB7"/>
    <w:rsid w:val="6CAD1EBA"/>
    <w:rsid w:val="6CE96358"/>
    <w:rsid w:val="6D350DE6"/>
    <w:rsid w:val="6D773698"/>
    <w:rsid w:val="6D7F41C9"/>
    <w:rsid w:val="6DE539BE"/>
    <w:rsid w:val="6DEA0590"/>
    <w:rsid w:val="6E9C7772"/>
    <w:rsid w:val="6F1745A3"/>
    <w:rsid w:val="6F32260B"/>
    <w:rsid w:val="706A6D7C"/>
    <w:rsid w:val="707028A6"/>
    <w:rsid w:val="709010B3"/>
    <w:rsid w:val="70DA2745"/>
    <w:rsid w:val="70FC1985"/>
    <w:rsid w:val="7100057C"/>
    <w:rsid w:val="71402407"/>
    <w:rsid w:val="714558E4"/>
    <w:rsid w:val="714842BA"/>
    <w:rsid w:val="71914C36"/>
    <w:rsid w:val="71B60298"/>
    <w:rsid w:val="71D3297A"/>
    <w:rsid w:val="72512A30"/>
    <w:rsid w:val="728C0497"/>
    <w:rsid w:val="728C3281"/>
    <w:rsid w:val="731355F2"/>
    <w:rsid w:val="73F23444"/>
    <w:rsid w:val="740C7AFD"/>
    <w:rsid w:val="74212175"/>
    <w:rsid w:val="74604F58"/>
    <w:rsid w:val="74834838"/>
    <w:rsid w:val="74922811"/>
    <w:rsid w:val="74B110F3"/>
    <w:rsid w:val="75943A37"/>
    <w:rsid w:val="75A6270D"/>
    <w:rsid w:val="763F54DA"/>
    <w:rsid w:val="76CA1A9D"/>
    <w:rsid w:val="76F06DA3"/>
    <w:rsid w:val="76FB4DE2"/>
    <w:rsid w:val="77391E54"/>
    <w:rsid w:val="7747039F"/>
    <w:rsid w:val="775F6526"/>
    <w:rsid w:val="7769372B"/>
    <w:rsid w:val="77812F2B"/>
    <w:rsid w:val="77F215F5"/>
    <w:rsid w:val="77F24928"/>
    <w:rsid w:val="78AF6D61"/>
    <w:rsid w:val="78B402C2"/>
    <w:rsid w:val="78D36276"/>
    <w:rsid w:val="790F7293"/>
    <w:rsid w:val="792E425D"/>
    <w:rsid w:val="794E01A1"/>
    <w:rsid w:val="797056C7"/>
    <w:rsid w:val="79856CBE"/>
    <w:rsid w:val="79B41368"/>
    <w:rsid w:val="79EC24B6"/>
    <w:rsid w:val="7A35140D"/>
    <w:rsid w:val="7A3C26A7"/>
    <w:rsid w:val="7A4A682E"/>
    <w:rsid w:val="7ADB2192"/>
    <w:rsid w:val="7B0C7868"/>
    <w:rsid w:val="7B1A5B6D"/>
    <w:rsid w:val="7BB019CB"/>
    <w:rsid w:val="7BDA35E7"/>
    <w:rsid w:val="7BEE17F3"/>
    <w:rsid w:val="7C03774A"/>
    <w:rsid w:val="7CA55D09"/>
    <w:rsid w:val="7CAD36C7"/>
    <w:rsid w:val="7CB70A91"/>
    <w:rsid w:val="7CCC06D0"/>
    <w:rsid w:val="7CFB2579"/>
    <w:rsid w:val="7D015E7D"/>
    <w:rsid w:val="7DA4658A"/>
    <w:rsid w:val="7DE93E26"/>
    <w:rsid w:val="7DEF630F"/>
    <w:rsid w:val="7E206867"/>
    <w:rsid w:val="7E333EEE"/>
    <w:rsid w:val="7E492FF9"/>
    <w:rsid w:val="7E595CD2"/>
    <w:rsid w:val="7E753258"/>
    <w:rsid w:val="7E9844A0"/>
    <w:rsid w:val="7EA2558E"/>
    <w:rsid w:val="7EBE57C2"/>
    <w:rsid w:val="7EC17F18"/>
    <w:rsid w:val="7F1E43C0"/>
    <w:rsid w:val="7F352200"/>
    <w:rsid w:val="7F3D3A41"/>
    <w:rsid w:val="7F406350"/>
    <w:rsid w:val="7F726DD9"/>
    <w:rsid w:val="7F7E493A"/>
    <w:rsid w:val="7FA87AA5"/>
    <w:rsid w:val="7FC338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1"/>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2024-01-12T07:04:00Z</dcterms:created>
  <dc:creator>Administrator</dc:creator>
  <cp:lastModifiedBy>李柱根</cp:lastModifiedBy>
  <dcterms:modified xsi:type="dcterms:W3CDTF">2024-06-13T03:09:50Z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F11F2C6C4174437D949631282B4E4B33</vt:lpwstr>
  </property>
</Properties>
</file>