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bookmarkStart w:id="0" w:name="_Toc131168595"/>
      <w:bookmarkStart w:id="1" w:name="_Toc114028927"/>
      <w:bookmarkStart w:id="2" w:name="_Toc131134226"/>
      <w:bookmarkStart w:id="3" w:name="_Toc131133981"/>
      <w:bookmarkStart w:id="4" w:name="_Toc183578143"/>
      <w:bookmarkStart w:id="5" w:name="_Toc131134327"/>
      <w:r>
        <w:rPr>
          <w:color w:val="auto"/>
        </w:rPr>
        <w:drawing>
          <wp:anchor distT="0" distB="0" distL="114300" distR="114300" simplePos="0" relativeHeight="251659264" behindDoc="1" locked="0" layoutInCell="1" allowOverlap="1">
            <wp:simplePos x="0" y="0"/>
            <wp:positionH relativeFrom="column">
              <wp:posOffset>-1000125</wp:posOffset>
            </wp:positionH>
            <wp:positionV relativeFrom="paragraph">
              <wp:posOffset>-925195</wp:posOffset>
            </wp:positionV>
            <wp:extent cx="8915400" cy="2736850"/>
            <wp:effectExtent l="0" t="0" r="0" b="6350"/>
            <wp:wrapTight wrapText="bothSides">
              <wp:wrapPolygon>
                <wp:start x="0" y="0"/>
                <wp:lineTo x="0" y="21500"/>
                <wp:lineTo x="21554" y="21500"/>
                <wp:lineTo x="21554" y="0"/>
                <wp:lineTo x="0" y="0"/>
              </wp:wrapPolygon>
            </wp:wrapTight>
            <wp:docPr id="1" name="Picture 5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2"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adjustRightInd w:val="0"/>
        <w:spacing w:line="360" w:lineRule="auto"/>
        <w:jc w:val="center"/>
        <w:rPr>
          <w:rFonts w:hint="eastAsia" w:eastAsia="黑体"/>
          <w:b/>
          <w:color w:val="auto"/>
          <w:sz w:val="48"/>
          <w:szCs w:val="48"/>
          <w:highlight w:val="none"/>
          <w:lang w:val="en-US" w:eastAsia="zh-CN"/>
        </w:rPr>
      </w:pPr>
      <w:r>
        <w:rPr>
          <w:rFonts w:hint="eastAsia" w:eastAsia="黑体"/>
          <w:b/>
          <w:color w:val="auto"/>
          <w:sz w:val="48"/>
          <w:szCs w:val="48"/>
          <w:highlight w:val="none"/>
          <w:lang w:val="en-US" w:eastAsia="zh-CN"/>
        </w:rPr>
        <w:t>云南电网</w:t>
      </w:r>
      <w:r>
        <w:rPr>
          <w:rFonts w:hint="default" w:eastAsia="黑体"/>
          <w:b/>
          <w:color w:val="auto"/>
          <w:sz w:val="48"/>
          <w:szCs w:val="48"/>
          <w:highlight w:val="none"/>
          <w:lang w:val="en-US" w:eastAsia="zh-CN"/>
        </w:rPr>
        <w:t>普洱供电局变电修试所2024年500kV墨江变共计2组35kV电抗器更换</w:t>
      </w:r>
      <w:r>
        <w:rPr>
          <w:rFonts w:hint="eastAsia" w:eastAsia="黑体"/>
          <w:b/>
          <w:color w:val="auto"/>
          <w:sz w:val="48"/>
          <w:szCs w:val="48"/>
          <w:highlight w:val="none"/>
          <w:lang w:val="en-US" w:eastAsia="zh-CN"/>
        </w:rPr>
        <w:t>50吨吊车租赁服务零星采购</w:t>
      </w: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pStyle w:val="11"/>
        <w:spacing w:line="480" w:lineRule="auto"/>
        <w:ind w:firstLine="3132" w:firstLineChars="600"/>
        <w:jc w:val="both"/>
        <w:rPr>
          <w:rFonts w:hint="default"/>
          <w:color w:val="auto"/>
          <w:sz w:val="52"/>
          <w:szCs w:val="52"/>
          <w:lang w:val="en-US"/>
        </w:rPr>
      </w:pPr>
      <w:r>
        <w:rPr>
          <w:rFonts w:hint="eastAsia" w:eastAsia="黑体"/>
          <w:b/>
          <w:color w:val="auto"/>
          <w:sz w:val="52"/>
          <w:highlight w:val="none"/>
          <w:lang w:val="en-US" w:eastAsia="zh-CN"/>
        </w:rPr>
        <w:t>技术规范书</w:t>
      </w:r>
    </w:p>
    <w:p>
      <w:pPr>
        <w:pStyle w:val="11"/>
        <w:spacing w:line="480" w:lineRule="auto"/>
        <w:ind w:firstLine="0" w:firstLineChars="0"/>
        <w:jc w:val="both"/>
        <w:rPr>
          <w:color w:val="auto"/>
          <w:sz w:val="52"/>
          <w:szCs w:val="52"/>
        </w:rPr>
      </w:pPr>
    </w:p>
    <w:p>
      <w:pPr>
        <w:jc w:val="center"/>
        <w:rPr>
          <w:rFonts w:hint="eastAsia"/>
          <w:b/>
          <w:bCs/>
          <w:color w:val="auto"/>
          <w:sz w:val="32"/>
          <w:szCs w:val="32"/>
        </w:rPr>
      </w:pPr>
    </w:p>
    <w:p>
      <w:pPr>
        <w:jc w:val="center"/>
        <w:rPr>
          <w:rFonts w:hint="eastAsia"/>
          <w:b/>
          <w:bCs/>
          <w:color w:val="auto"/>
          <w:sz w:val="32"/>
          <w:szCs w:val="32"/>
        </w:rPr>
      </w:pPr>
    </w:p>
    <w:p>
      <w:pPr>
        <w:jc w:val="center"/>
        <w:rPr>
          <w:b/>
          <w:bCs/>
          <w:color w:val="auto"/>
        </w:rPr>
        <w:sectPr>
          <w:footerReference r:id="rId7" w:type="first"/>
          <w:headerReference r:id="rId3" w:type="default"/>
          <w:footerReference r:id="rId5" w:type="default"/>
          <w:headerReference r:id="rId4" w:type="even"/>
          <w:footerReference r:id="rId6" w:type="even"/>
          <w:pgSz w:w="11906" w:h="16838"/>
          <w:pgMar w:top="1440" w:right="1616" w:bottom="1440" w:left="1575" w:header="851" w:footer="992" w:gutter="0"/>
          <w:pgNumType w:start="0"/>
          <w:cols w:space="720" w:num="1"/>
          <w:titlePg/>
          <w:docGrid w:type="lines" w:linePitch="312" w:charSpace="0"/>
        </w:sectPr>
      </w:pPr>
      <w:r>
        <w:rPr>
          <w:rFonts w:hint="eastAsia"/>
          <w:b/>
          <w:bCs/>
          <w:color w:val="auto"/>
          <w:sz w:val="32"/>
          <w:szCs w:val="32"/>
        </w:rPr>
        <w:t>202</w:t>
      </w:r>
      <w:r>
        <w:rPr>
          <w:rFonts w:hint="eastAsia"/>
          <w:b/>
          <w:bCs/>
          <w:color w:val="auto"/>
          <w:sz w:val="32"/>
          <w:szCs w:val="32"/>
          <w:lang w:val="en-US" w:eastAsia="zh-CN"/>
        </w:rPr>
        <w:t>4</w:t>
      </w:r>
      <w:r>
        <w:rPr>
          <w:rFonts w:hint="eastAsia"/>
          <w:b/>
          <w:bCs/>
          <w:color w:val="auto"/>
          <w:sz w:val="32"/>
          <w:szCs w:val="32"/>
        </w:rPr>
        <w:t>年</w:t>
      </w:r>
      <w:r>
        <w:rPr>
          <w:rFonts w:hint="eastAsia"/>
          <w:b/>
          <w:bCs/>
          <w:color w:val="auto"/>
          <w:sz w:val="32"/>
          <w:szCs w:val="32"/>
          <w:lang w:val="en-US" w:eastAsia="zh-CN"/>
        </w:rPr>
        <w:t>08</w:t>
      </w:r>
      <w:r>
        <w:rPr>
          <w:rFonts w:hint="eastAsia"/>
          <w:b/>
          <w:bCs/>
          <w:color w:val="auto"/>
          <w:sz w:val="32"/>
          <w:szCs w:val="32"/>
        </w:rPr>
        <w:t>月</w:t>
      </w:r>
      <w:bookmarkEnd w:id="0"/>
      <w:bookmarkEnd w:id="1"/>
      <w:bookmarkEnd w:id="2"/>
      <w:bookmarkEnd w:id="3"/>
      <w:bookmarkEnd w:id="4"/>
      <w:bookmarkEnd w:id="5"/>
      <w:bookmarkStart w:id="6" w:name="_Toc241911990"/>
    </w:p>
    <w:bookmarkEnd w:id="6"/>
    <w:sdt>
      <w:sdtPr>
        <w:rPr>
          <w:rFonts w:ascii="宋体" w:hAnsi="宋体" w:eastAsia="宋体" w:cs="Times New Roman"/>
          <w:kern w:val="2"/>
          <w:sz w:val="21"/>
          <w:szCs w:val="24"/>
          <w:lang w:val="en-US" w:eastAsia="zh-CN" w:bidi="ar-SA"/>
        </w:rPr>
        <w:id w:val="147476315"/>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7" w:name="_Toc17024_WPSOffice_Type2"/>
          <w:r>
            <w:rPr>
              <w:rFonts w:ascii="宋体" w:hAnsi="宋体" w:eastAsia="宋体"/>
              <w:sz w:val="21"/>
            </w:rPr>
            <w:t>目录</w:t>
          </w:r>
        </w:p>
        <w:p>
          <w:pPr>
            <w:pStyle w:val="13"/>
            <w:tabs>
              <w:tab w:val="right" w:leader="dot" w:pos="9299"/>
            </w:tabs>
          </w:pPr>
          <w:r>
            <w:rPr>
              <w:b/>
              <w:bCs/>
            </w:rPr>
            <w:fldChar w:fldCharType="begin"/>
          </w:r>
          <w:r>
            <w:instrText xml:space="preserve"> HYPERLINK \l _Toc20275_WPSOffice_Level1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92799b6d-bb01-46a6-8846-10dc46013b06}"/>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1  总则</w:t>
              </w:r>
            </w:sdtContent>
          </w:sdt>
          <w:r>
            <w:rPr>
              <w:b/>
              <w:bCs/>
            </w:rPr>
            <w:tab/>
          </w:r>
          <w:bookmarkStart w:id="8" w:name="_Toc20275_WPSOffice_Level1Page"/>
          <w:r>
            <w:rPr>
              <w:b/>
              <w:bCs/>
            </w:rPr>
            <w:t>1</w:t>
          </w:r>
          <w:bookmarkEnd w:id="8"/>
          <w:r>
            <w:rPr>
              <w:b/>
              <w:bCs/>
            </w:rPr>
            <w:fldChar w:fldCharType="end"/>
          </w:r>
        </w:p>
        <w:p>
          <w:pPr>
            <w:pStyle w:val="14"/>
            <w:tabs>
              <w:tab w:val="right" w:leader="dot" w:pos="9299"/>
            </w:tabs>
          </w:pPr>
          <w:r>
            <w:fldChar w:fldCharType="begin"/>
          </w:r>
          <w:r>
            <w:instrText xml:space="preserve"> HYPERLINK \l _Toc17024_WPSOffice_Level2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5621f2a-5020-4188-bbe9-dde3156398a1}"/>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1.1  引言</w:t>
              </w:r>
            </w:sdtContent>
          </w:sdt>
          <w:r>
            <w:tab/>
          </w:r>
          <w:bookmarkStart w:id="9" w:name="_Toc17024_WPSOffice_Level2Page"/>
          <w:r>
            <w:t>1</w:t>
          </w:r>
          <w:bookmarkEnd w:id="9"/>
          <w:r>
            <w:fldChar w:fldCharType="end"/>
          </w:r>
        </w:p>
        <w:p>
          <w:pPr>
            <w:pStyle w:val="14"/>
            <w:tabs>
              <w:tab w:val="right" w:leader="dot" w:pos="9299"/>
            </w:tabs>
          </w:pPr>
          <w:r>
            <w:fldChar w:fldCharType="begin"/>
          </w:r>
          <w:r>
            <w:instrText xml:space="preserve"> HYPERLINK \l _Toc22516_WPSOffice_Level2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69976f9c-a02f-4b7a-857c-4d010063a5ea}"/>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1.2</w:t>
              </w:r>
              <w:r>
                <w:rPr>
                  <w:rFonts w:hint="eastAsia" w:ascii="EU-F1" w:hAnsi="Times New Roman" w:eastAsia="黑体" w:cs="Times New Roman"/>
                </w:rPr>
                <w:t xml:space="preserve">  </w:t>
              </w:r>
              <w:r>
                <w:rPr>
                  <w:rFonts w:hint="eastAsia" w:ascii="EU-F1" w:eastAsia="黑体" w:cs="Times New Roman"/>
                  <w:lang w:val="en-US" w:eastAsia="zh-CN"/>
                </w:rPr>
                <w:t>服务</w:t>
              </w:r>
              <w:r>
                <w:rPr>
                  <w:rFonts w:hint="eastAsia" w:ascii="EU-F1" w:hAnsi="Times New Roman" w:eastAsia="黑体" w:cs="Times New Roman"/>
                </w:rPr>
                <w:t>需求及供货范围一览表</w:t>
              </w:r>
            </w:sdtContent>
          </w:sdt>
          <w:r>
            <w:tab/>
          </w:r>
          <w:bookmarkStart w:id="10" w:name="_Toc22516_WPSOffice_Level2Page"/>
          <w:r>
            <w:t>1</w:t>
          </w:r>
          <w:bookmarkEnd w:id="10"/>
          <w:r>
            <w:fldChar w:fldCharType="end"/>
          </w:r>
        </w:p>
        <w:p>
          <w:pPr>
            <w:pStyle w:val="14"/>
            <w:tabs>
              <w:tab w:val="right" w:leader="dot" w:pos="9299"/>
            </w:tabs>
            <w:rPr>
              <w:rFonts w:hint="default" w:eastAsia="宋体"/>
              <w:lang w:val="en-US" w:eastAsia="zh-CN"/>
            </w:rPr>
          </w:pPr>
          <w:r>
            <w:fldChar w:fldCharType="begin"/>
          </w:r>
          <w:r>
            <w:instrText xml:space="preserve"> HYPERLINK \l _Toc1514_WPSOffice_Level2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572f5e4f-100e-46d5-85e1-288877a36738}"/>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w:t>
              </w:r>
              <w:r>
                <w:rPr>
                  <w:rFonts w:hint="eastAsia" w:ascii="EU-F1" w:hAnsi="Times New Roman" w:eastAsia="黑体" w:cs="Times New Roman"/>
                </w:rPr>
                <w:t>3  技术服务要求</w:t>
              </w:r>
            </w:sdtContent>
          </w:sdt>
          <w:r>
            <w:tab/>
          </w:r>
          <w:bookmarkStart w:id="11" w:name="_Toc1514_WPSOffice_Level2Page"/>
          <w:r>
            <w:t>2</w:t>
          </w:r>
          <w:bookmarkEnd w:id="11"/>
          <w:r>
            <w:fldChar w:fldCharType="end"/>
          </w:r>
          <w:r>
            <w:br w:type="textWrapping"/>
          </w:r>
          <w:r>
            <w:rPr>
              <w:rFonts w:hint="eastAsia" w:ascii="EU-F1" w:hAnsi="Times New Roman" w:eastAsia="黑体" w:cs="Times New Roman"/>
              <w:lang w:val="en-US" w:eastAsia="zh-CN"/>
            </w:rPr>
            <w:t>1.4供方职责</w:t>
          </w:r>
          <w:r>
            <w:tab/>
          </w:r>
          <w:r>
            <w:t>2</w:t>
          </w:r>
        </w:p>
        <w:p>
          <w:pPr>
            <w:pStyle w:val="13"/>
            <w:tabs>
              <w:tab w:val="right" w:leader="dot" w:pos="9299"/>
            </w:tabs>
          </w:pPr>
          <w:r>
            <w:rPr>
              <w:b/>
              <w:bCs/>
            </w:rPr>
            <w:fldChar w:fldCharType="begin"/>
          </w:r>
          <w:r>
            <w:instrText xml:space="preserve"> HYPERLINK \l _Toc17024_WPSOffice_Level1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18db1acb-0299-47e4-82ad-fd933b254db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2  应遵循的主要标准</w:t>
              </w:r>
            </w:sdtContent>
          </w:sdt>
          <w:r>
            <w:rPr>
              <w:b/>
              <w:bCs/>
            </w:rPr>
            <w:tab/>
          </w:r>
          <w:bookmarkStart w:id="12" w:name="_Toc17024_WPSOffice_Level1Page"/>
          <w:r>
            <w:rPr>
              <w:b/>
              <w:bCs/>
            </w:rPr>
            <w:t>2</w:t>
          </w:r>
          <w:bookmarkEnd w:id="12"/>
          <w:r>
            <w:rPr>
              <w:b/>
              <w:bCs/>
            </w:rPr>
            <w:fldChar w:fldCharType="end"/>
          </w:r>
        </w:p>
        <w:p>
          <w:pPr>
            <w:pStyle w:val="13"/>
            <w:tabs>
              <w:tab w:val="right" w:leader="dot" w:pos="9299"/>
            </w:tabs>
          </w:pPr>
          <w:r>
            <w:rPr>
              <w:b/>
              <w:bCs/>
            </w:rPr>
            <w:fldChar w:fldCharType="begin"/>
          </w:r>
          <w:r>
            <w:instrText xml:space="preserve"> HYPERLINK \l _Toc22516_WPSOffice_Level1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d655dd11-cbd4-4c3e-9832-9bd07193fe1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 xml:space="preserve">3  </w:t>
              </w:r>
              <w:r>
                <w:rPr>
                  <w:rFonts w:hint="eastAsia" w:ascii="EU-F1" w:eastAsia="黑体" w:cs="Times New Roman"/>
                  <w:b/>
                  <w:bCs/>
                  <w:lang w:val="en-US" w:eastAsia="zh-CN"/>
                </w:rPr>
                <w:t>现场工作环境及相关要求</w:t>
              </w:r>
            </w:sdtContent>
          </w:sdt>
          <w:r>
            <w:rPr>
              <w:b/>
              <w:bCs/>
            </w:rPr>
            <w:tab/>
          </w:r>
          <w:bookmarkStart w:id="13" w:name="_Toc22516_WPSOffice_Level1Page"/>
          <w:r>
            <w:rPr>
              <w:b/>
              <w:bCs/>
            </w:rPr>
            <w:t>3</w:t>
          </w:r>
          <w:bookmarkEnd w:id="13"/>
          <w:r>
            <w:rPr>
              <w:b/>
              <w:bCs/>
            </w:rPr>
            <w:fldChar w:fldCharType="end"/>
          </w:r>
        </w:p>
        <w:p>
          <w:pPr>
            <w:pStyle w:val="14"/>
            <w:tabs>
              <w:tab w:val="right" w:leader="dot" w:pos="9299"/>
            </w:tabs>
          </w:pPr>
          <w:r>
            <w:fldChar w:fldCharType="begin"/>
          </w:r>
          <w:r>
            <w:instrText xml:space="preserve"> HYPERLINK \l _Toc8945_WPSOffice_Level2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a57c55c0-43a1-4fb8-8649-ccd983973a19}"/>
              </w:placeholder>
            </w:sdtPr>
            <w:sdtEndPr>
              <w:rPr>
                <w:rFonts w:hint="eastAsia" w:ascii="宋体" w:hAnsi="宋体" w:eastAsia="宋体" w:cs="Times New Roman"/>
                <w:kern w:val="2"/>
                <w:sz w:val="21"/>
                <w:szCs w:val="24"/>
                <w:lang w:val="en-US" w:eastAsia="zh-CN" w:bidi="ar-SA"/>
              </w:rPr>
            </w:sdtEndPr>
            <w:sdtContent>
              <w:r>
                <w:rPr>
                  <w:rFonts w:hint="eastAsia" w:ascii="宋体" w:hAnsi="宋体" w:eastAsia="宋体" w:cs="Times New Roman"/>
                </w:rPr>
                <w:t>3.1  环境温度</w:t>
              </w:r>
            </w:sdtContent>
          </w:sdt>
          <w:r>
            <w:rPr>
              <w:rFonts w:hint="eastAsia" w:ascii="宋体" w:hAnsi="宋体" w:cs="Times New Roman"/>
              <w:kern w:val="2"/>
              <w:sz w:val="21"/>
              <w:szCs w:val="24"/>
              <w:lang w:val="en-US" w:eastAsia="zh-CN" w:bidi="ar-SA"/>
            </w:rPr>
            <w:t>及相对湿度</w:t>
          </w:r>
          <w:r>
            <w:tab/>
          </w:r>
          <w:bookmarkStart w:id="14" w:name="_Toc8945_WPSOffice_Level2Page"/>
          <w:r>
            <w:t>3</w:t>
          </w:r>
          <w:bookmarkEnd w:id="14"/>
          <w:r>
            <w:fldChar w:fldCharType="end"/>
          </w:r>
        </w:p>
        <w:p>
          <w:pPr>
            <w:pStyle w:val="14"/>
            <w:tabs>
              <w:tab w:val="right" w:leader="dot" w:pos="9299"/>
            </w:tabs>
            <w:rPr>
              <w:rFonts w:hint="default" w:ascii="宋体" w:hAnsi="宋体" w:eastAsia="宋体" w:cs="Times New Roman"/>
              <w:lang w:val="en-US" w:eastAsia="zh-CN"/>
            </w:rPr>
          </w:pPr>
          <w:r>
            <w:fldChar w:fldCharType="begin"/>
          </w:r>
          <w:r>
            <w:instrText xml:space="preserve"> HYPERLINK \l _Toc13664_WPSOffice_Level2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fc20e22-2bdc-4127-817e-49cf45177426}"/>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w:t>
              </w:r>
              <w:r>
                <w:rPr>
                  <w:rFonts w:ascii="宋体" w:hAnsi="宋体" w:eastAsia="宋体" w:cs="Times New Roman"/>
                </w:rPr>
                <w:t xml:space="preserve">.2 </w:t>
              </w:r>
              <w:r>
                <w:rPr>
                  <w:rFonts w:hint="eastAsia" w:ascii="宋体" w:hAnsi="宋体" w:eastAsia="宋体" w:cs="Times New Roman"/>
                </w:rPr>
                <w:t xml:space="preserve"> 工作地点及作业环境</w:t>
              </w:r>
            </w:sdtContent>
          </w:sdt>
          <w:r>
            <w:tab/>
          </w:r>
          <w:bookmarkStart w:id="15" w:name="_Toc13664_WPSOffice_Level2Page"/>
          <w:r>
            <w:t>3</w:t>
          </w:r>
          <w:bookmarkEnd w:id="15"/>
          <w:r>
            <w:fldChar w:fldCharType="end"/>
          </w:r>
          <w:r>
            <w:br w:type="textWrapping"/>
          </w:r>
          <w:r>
            <w:rPr>
              <w:rFonts w:hint="eastAsia" w:ascii="宋体" w:hAnsi="宋体" w:eastAsia="宋体" w:cs="Times New Roman"/>
              <w:lang w:val="en-US" w:eastAsia="zh-CN"/>
            </w:rPr>
            <w:t>3.3  设备标志</w:t>
          </w:r>
          <w:r>
            <w:tab/>
          </w:r>
          <w:r>
            <w:t>3</w:t>
          </w:r>
          <w:r>
            <w:br w:type="textWrapping"/>
          </w:r>
          <w:r>
            <w:rPr>
              <w:rFonts w:hint="eastAsia" w:ascii="宋体" w:hAnsi="宋体" w:eastAsia="宋体" w:cs="Times New Roman"/>
              <w:lang w:val="en-US" w:eastAsia="zh-CN"/>
            </w:rPr>
            <w:t>3.4  安全防护要</w:t>
          </w:r>
          <w:r>
            <w:rPr>
              <w:rFonts w:hint="eastAsia"/>
              <w:lang w:val="en-US" w:eastAsia="zh-CN"/>
            </w:rPr>
            <w:t>求</w:t>
          </w:r>
          <w:r>
            <w:tab/>
          </w:r>
          <w:r>
            <w:t>3</w:t>
          </w:r>
        </w:p>
        <w:p>
          <w:pPr>
            <w:pStyle w:val="13"/>
            <w:tabs>
              <w:tab w:val="right" w:leader="dot" w:pos="9299"/>
            </w:tabs>
          </w:pPr>
          <w:r>
            <w:rPr>
              <w:b/>
              <w:bCs/>
            </w:rPr>
            <w:fldChar w:fldCharType="begin"/>
          </w:r>
          <w:r>
            <w:instrText xml:space="preserve"> HYPERLINK \l _Toc1514_WPSOffice_Level1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49deb65a-b7b2-40d5-b2a4-e3d24140f5a4}"/>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4  服务</w:t>
              </w:r>
              <w:r>
                <w:rPr>
                  <w:rFonts w:ascii="EU-F1" w:hAnsi="Times New Roman" w:eastAsia="黑体" w:cs="Times New Roman"/>
                  <w:b/>
                  <w:bCs/>
                </w:rPr>
                <w:t>质量保证</w:t>
              </w:r>
            </w:sdtContent>
          </w:sdt>
          <w:r>
            <w:rPr>
              <w:b/>
              <w:bCs/>
            </w:rPr>
            <w:tab/>
          </w:r>
          <w:bookmarkStart w:id="16" w:name="_Toc1514_WPSOffice_Level1Page"/>
          <w:r>
            <w:rPr>
              <w:b/>
              <w:bCs/>
            </w:rPr>
            <w:t>3</w:t>
          </w:r>
          <w:bookmarkEnd w:id="16"/>
          <w:r>
            <w:rPr>
              <w:b/>
              <w:bCs/>
            </w:rPr>
            <w:fldChar w:fldCharType="end"/>
          </w:r>
        </w:p>
        <w:p>
          <w:pPr>
            <w:pStyle w:val="14"/>
            <w:tabs>
              <w:tab w:val="right" w:leader="dot" w:pos="9299"/>
            </w:tabs>
          </w:pPr>
          <w:r>
            <w:fldChar w:fldCharType="begin"/>
          </w:r>
          <w:r>
            <w:instrText xml:space="preserve"> HYPERLINK \l _Toc12237_WPSOffice_Level2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cab3144-a20e-4ce9-97e5-d19abf59f536}"/>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4.1  服务保证</w:t>
              </w:r>
            </w:sdtContent>
          </w:sdt>
          <w:r>
            <w:tab/>
          </w:r>
          <w:bookmarkStart w:id="17" w:name="_Toc12237_WPSOffice_Level2Page"/>
          <w:r>
            <w:t>3</w:t>
          </w:r>
          <w:bookmarkEnd w:id="17"/>
          <w:r>
            <w:fldChar w:fldCharType="end"/>
          </w:r>
        </w:p>
        <w:p>
          <w:pPr>
            <w:pStyle w:val="14"/>
            <w:tabs>
              <w:tab w:val="right" w:leader="dot" w:pos="9299"/>
            </w:tabs>
            <w:rPr>
              <w:rFonts w:hint="default" w:ascii="EU-F1" w:hAnsi="Times New Roman" w:eastAsia="黑体" w:cs="Times New Roman"/>
              <w:lang w:val="en-US" w:eastAsia="zh-CN"/>
            </w:rPr>
          </w:pPr>
          <w:r>
            <w:rPr>
              <w:rFonts w:hint="eastAsia" w:ascii="EU-F1" w:hAnsi="Times New Roman" w:eastAsia="黑体" w:cs="Times New Roman"/>
            </w:rPr>
            <w:fldChar w:fldCharType="begin"/>
          </w:r>
          <w:r>
            <w:rPr>
              <w:rFonts w:hint="eastAsia" w:ascii="EU-F1" w:hAnsi="Times New Roman" w:eastAsia="黑体" w:cs="Times New Roman"/>
            </w:rPr>
            <w:instrText xml:space="preserve"> HYPERLINK \l _Toc9752_WPSOffice_Level2 </w:instrText>
          </w:r>
          <w:r>
            <w:rPr>
              <w:rFonts w:hint="eastAsia" w:ascii="EU-F1" w:hAnsi="Times New Roman" w:eastAsia="黑体" w:cs="Times New Roman"/>
            </w:rPr>
            <w:fldChar w:fldCharType="separate"/>
          </w:r>
          <w:sdt>
            <w:sdtPr>
              <w:rPr>
                <w:rFonts w:hint="eastAsia" w:ascii="EU-F1" w:hAnsi="Times New Roman" w:eastAsia="黑体" w:cs="Times New Roman"/>
                <w:lang w:val="en-US" w:eastAsia="zh-CN"/>
              </w:rPr>
              <w:id w:val="147476315"/>
              <w:placeholder>
                <w:docPart w:val="{e3699f96-aa72-4f4c-ab76-014e291f3d90}"/>
              </w:placeholder>
            </w:sdtPr>
            <w:sdtEndPr>
              <w:rPr>
                <w:rFonts w:hint="eastAsia" w:ascii="EU-F1" w:hAnsi="Times New Roman" w:eastAsia="黑体" w:cs="Times New Roman"/>
                <w:lang w:val="en-US" w:eastAsia="zh-CN"/>
              </w:rPr>
            </w:sdtEndPr>
            <w:sdtContent>
              <w:r>
                <w:rPr>
                  <w:rFonts w:hint="eastAsia" w:ascii="EU-F1" w:hAnsi="Times New Roman" w:eastAsia="黑体" w:cs="Times New Roman"/>
                </w:rPr>
                <w:t>4.2  质量保证</w:t>
              </w:r>
            </w:sdtContent>
          </w:sdt>
          <w:r>
            <w:rPr>
              <w:rFonts w:hint="eastAsia" w:ascii="EU-F1" w:hAnsi="Times New Roman" w:eastAsia="黑体" w:cs="Times New Roman"/>
            </w:rPr>
            <w:tab/>
          </w:r>
          <w:bookmarkStart w:id="18" w:name="_Toc9752_WPSOffice_Level2Page"/>
          <w:r>
            <w:rPr>
              <w:rFonts w:hint="eastAsia" w:ascii="EU-F1" w:hAnsi="Times New Roman" w:eastAsia="黑体" w:cs="Times New Roman"/>
            </w:rPr>
            <w:t>4</w:t>
          </w:r>
          <w:bookmarkEnd w:id="18"/>
          <w:r>
            <w:rPr>
              <w:rFonts w:hint="eastAsia" w:ascii="EU-F1" w:hAnsi="Times New Roman" w:eastAsia="黑体" w:cs="Times New Roman"/>
            </w:rPr>
            <w:fldChar w:fldCharType="end"/>
          </w:r>
          <w:r>
            <w:rPr>
              <w:rFonts w:hint="eastAsia" w:ascii="EU-F1" w:hAnsi="Times New Roman" w:eastAsia="黑体" w:cs="Times New Roman"/>
            </w:rPr>
            <w:br w:type="textWrapping"/>
          </w:r>
          <w:r>
            <w:rPr>
              <w:rFonts w:hint="eastAsia" w:ascii="EU-F1" w:hAnsi="Times New Roman" w:eastAsia="黑体" w:cs="Times New Roman"/>
              <w:lang w:val="en-US" w:eastAsia="zh-CN"/>
            </w:rPr>
            <w:t>4.3  服务技术要求</w:t>
          </w:r>
          <w:r>
            <w:rPr>
              <w:rFonts w:hint="eastAsia" w:ascii="EU-F1" w:hAnsi="Times New Roman" w:eastAsia="黑体" w:cs="Times New Roman"/>
            </w:rPr>
            <w:tab/>
          </w:r>
          <w:r>
            <w:rPr>
              <w:rFonts w:hint="eastAsia" w:ascii="EU-F1" w:hAnsi="Times New Roman" w:eastAsia="黑体" w:cs="Times New Roman"/>
            </w:rPr>
            <w:t>4</w:t>
          </w:r>
          <w:r>
            <w:rPr>
              <w:rFonts w:hint="eastAsia" w:ascii="EU-F1" w:hAnsi="Times New Roman" w:eastAsia="黑体" w:cs="Times New Roman"/>
            </w:rPr>
            <w:br w:type="textWrapping"/>
          </w:r>
          <w:r>
            <w:rPr>
              <w:rFonts w:hint="eastAsia" w:ascii="EU-F1" w:hAnsi="Times New Roman" w:eastAsia="黑体" w:cs="Times New Roman"/>
              <w:lang w:val="en-US" w:eastAsia="zh-CN"/>
            </w:rPr>
            <w:t>4.4  验收</w:t>
          </w:r>
          <w:r>
            <w:rPr>
              <w:rFonts w:hint="eastAsia" w:ascii="EU-F1" w:hAnsi="Times New Roman" w:eastAsia="黑体" w:cs="Times New Roman"/>
            </w:rPr>
            <w:tab/>
          </w:r>
          <w:r>
            <w:rPr>
              <w:rFonts w:hint="eastAsia" w:ascii="EU-F1" w:hAnsi="Times New Roman" w:eastAsia="黑体" w:cs="Times New Roman"/>
            </w:rPr>
            <w:t>4</w:t>
          </w:r>
        </w:p>
        <w:bookmarkEnd w:id="7"/>
        <w:p>
          <w:pPr>
            <w:pStyle w:val="2"/>
            <w:rPr>
              <w:rFonts w:hint="default"/>
              <w:lang w:val="en-US"/>
            </w:rPr>
            <w:sectPr>
              <w:pgSz w:w="11907" w:h="16839"/>
              <w:pgMar w:top="1701" w:right="1304" w:bottom="1418" w:left="1304" w:header="0" w:footer="0" w:gutter="0"/>
              <w:pgNumType w:fmt="decimal" w:start="0"/>
              <w:cols w:space="720" w:num="1"/>
              <w:titlePg/>
              <w:docGrid w:type="lines" w:linePitch="312" w:charSpace="0"/>
            </w:sectPr>
          </w:pPr>
        </w:p>
      </w:sdtContent>
    </w:sdt>
    <w:p>
      <w:pPr>
        <w:pStyle w:val="15"/>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19" w:name="_Toc13536_WPSOffice_Level1"/>
      <w:bookmarkStart w:id="20" w:name="_Toc22934_WPSOffice_Level1"/>
      <w:bookmarkStart w:id="21" w:name="_Toc20275_WPSOffice_Level1"/>
      <w:r>
        <w:rPr>
          <w:rFonts w:hint="eastAsia" w:hAnsi="Times New Roman" w:cs="Times New Roman"/>
          <w:sz w:val="24"/>
          <w:szCs w:val="24"/>
        </w:rPr>
        <w:t>1总则</w:t>
      </w:r>
      <w:bookmarkEnd w:id="19"/>
      <w:bookmarkEnd w:id="20"/>
      <w:bookmarkEnd w:id="21"/>
    </w:p>
    <w:p>
      <w:pPr>
        <w:spacing w:line="360" w:lineRule="auto"/>
        <w:ind w:firstLine="420" w:firstLineChars="200"/>
        <w:rPr>
          <w:color w:val="auto"/>
          <w:szCs w:val="21"/>
          <w:highlight w:val="none"/>
        </w:rPr>
      </w:pPr>
      <w:r>
        <w:rPr>
          <w:rFonts w:hAnsi="宋体"/>
          <w:color w:val="auto"/>
          <w:szCs w:val="21"/>
          <w:highlight w:val="none"/>
        </w:rPr>
        <w:t>提供</w:t>
      </w:r>
      <w:r>
        <w:rPr>
          <w:rFonts w:hint="eastAsia" w:hAnsi="宋体"/>
          <w:color w:val="auto"/>
          <w:szCs w:val="21"/>
          <w:highlight w:val="none"/>
          <w:lang w:val="en-US" w:eastAsia="zh-CN"/>
        </w:rPr>
        <w:t>服务</w:t>
      </w:r>
      <w:r>
        <w:rPr>
          <w:rFonts w:hAnsi="宋体"/>
          <w:color w:val="auto"/>
          <w:szCs w:val="21"/>
          <w:highlight w:val="none"/>
        </w:rPr>
        <w:t>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职业健康安全管理体系认证证书及年检记录，投标</w:t>
      </w:r>
      <w:r>
        <w:rPr>
          <w:rFonts w:hint="eastAsia" w:hAnsi="宋体"/>
          <w:color w:val="auto"/>
          <w:szCs w:val="21"/>
          <w:highlight w:val="none"/>
          <w:lang w:val="en-US" w:eastAsia="zh-CN"/>
        </w:rPr>
        <w:t>方</w:t>
      </w:r>
      <w:r>
        <w:rPr>
          <w:rFonts w:hAnsi="宋体"/>
          <w:color w:val="auto"/>
          <w:szCs w:val="21"/>
          <w:highlight w:val="none"/>
        </w:rPr>
        <w:t>宜具有</w:t>
      </w:r>
      <w:r>
        <w:rPr>
          <w:rFonts w:hint="eastAsia" w:hAnsi="宋体"/>
          <w:color w:val="auto"/>
          <w:szCs w:val="21"/>
          <w:highlight w:val="none"/>
          <w:lang w:eastAsia="zh-CN"/>
        </w:rPr>
        <w:t>《</w:t>
      </w:r>
      <w:r>
        <w:rPr>
          <w:rFonts w:hint="eastAsia" w:hAnsi="宋体"/>
          <w:color w:val="auto"/>
          <w:szCs w:val="21"/>
          <w:highlight w:val="none"/>
        </w:rPr>
        <w:t>出厂质量合格证</w:t>
      </w:r>
      <w:r>
        <w:rPr>
          <w:rFonts w:hint="eastAsia" w:hAnsi="宋体"/>
          <w:color w:val="auto"/>
          <w:szCs w:val="21"/>
          <w:highlight w:val="none"/>
          <w:lang w:eastAsia="zh-CN"/>
        </w:rPr>
        <w:t>》</w:t>
      </w:r>
      <w:r>
        <w:rPr>
          <w:rFonts w:hint="eastAsia" w:hAnsi="宋体"/>
          <w:color w:val="auto"/>
          <w:szCs w:val="21"/>
          <w:highlight w:val="none"/>
        </w:rPr>
        <w:t>、《特种设备注册登记表》、《安全检验合格》及《特种设备作业人员资格证》</w:t>
      </w:r>
      <w:r>
        <w:rPr>
          <w:rFonts w:hint="eastAsia" w:hAnsi="宋体"/>
          <w:color w:val="auto"/>
          <w:szCs w:val="21"/>
          <w:highlight w:val="none"/>
          <w:lang w:eastAsia="zh-CN"/>
        </w:rPr>
        <w:t>，</w:t>
      </w:r>
      <w:r>
        <w:rPr>
          <w:rFonts w:hAnsi="宋体"/>
          <w:color w:val="auto"/>
          <w:szCs w:val="21"/>
          <w:highlight w:val="none"/>
        </w:rPr>
        <w:t>提供的</w:t>
      </w:r>
      <w:r>
        <w:rPr>
          <w:rFonts w:hint="eastAsia" w:hAnsi="宋体"/>
          <w:color w:val="auto"/>
          <w:szCs w:val="21"/>
          <w:highlight w:val="none"/>
          <w:lang w:val="en-US" w:eastAsia="zh-CN"/>
        </w:rPr>
        <w:t>吊装起重技术服务应正规，可靠，符合起重设备吊装行业标准</w:t>
      </w:r>
      <w:r>
        <w:rPr>
          <w:rFonts w:hAnsi="宋体"/>
          <w:color w:val="auto"/>
          <w:szCs w:val="21"/>
          <w:highlight w:val="none"/>
        </w:rPr>
        <w:t>。</w:t>
      </w:r>
      <w:r>
        <w:rPr>
          <w:rFonts w:hint="eastAsia" w:hAnsi="宋体"/>
          <w:color w:val="auto"/>
          <w:szCs w:val="21"/>
          <w:highlight w:val="none"/>
          <w:lang w:val="en-US" w:eastAsia="zh-CN"/>
        </w:rPr>
        <w:t>投标方所提供人员应资质齐全，</w:t>
      </w:r>
      <w:r>
        <w:rPr>
          <w:rFonts w:hint="eastAsia" w:hAnsi="宋体"/>
          <w:color w:val="auto"/>
          <w:szCs w:val="21"/>
          <w:highlight w:val="none"/>
        </w:rPr>
        <w:t>至少有3年以上的</w:t>
      </w:r>
      <w:r>
        <w:rPr>
          <w:rFonts w:hint="eastAsia" w:hAnsi="宋体"/>
          <w:color w:val="auto"/>
          <w:szCs w:val="21"/>
          <w:highlight w:val="none"/>
          <w:lang w:val="en-US" w:eastAsia="zh-CN"/>
        </w:rPr>
        <w:t>设备操作</w:t>
      </w:r>
      <w:r>
        <w:rPr>
          <w:rFonts w:hint="eastAsia" w:hAnsi="宋体"/>
          <w:color w:val="auto"/>
          <w:szCs w:val="21"/>
          <w:highlight w:val="none"/>
        </w:rPr>
        <w:t>经验。如发现有失实情况，招标方有权拒绝该投标。</w:t>
      </w:r>
    </w:p>
    <w:p>
      <w:pPr>
        <w:numPr>
          <w:ilvl w:val="0"/>
          <w:numId w:val="0"/>
        </w:numPr>
        <w:spacing w:line="360" w:lineRule="auto"/>
        <w:ind w:leftChars="0"/>
        <w:rPr>
          <w:rFonts w:hint="eastAsia" w:hAnsi="宋体"/>
          <w:color w:val="auto"/>
          <w:szCs w:val="21"/>
          <w:highlight w:val="none"/>
        </w:rPr>
      </w:pPr>
      <w:r>
        <w:rPr>
          <w:rFonts w:hint="eastAsia" w:hAnsi="宋体"/>
          <w:color w:val="auto"/>
          <w:szCs w:val="21"/>
          <w:highlight w:val="none"/>
          <w:lang w:val="en-US" w:eastAsia="zh-CN"/>
        </w:rPr>
        <w:t>1.1.1</w:t>
      </w:r>
      <w:r>
        <w:rPr>
          <w:rFonts w:hAnsi="宋体"/>
          <w:color w:val="auto"/>
          <w:szCs w:val="21"/>
          <w:highlight w:val="none"/>
        </w:rPr>
        <w:t>本规范提出了</w:t>
      </w:r>
      <w:r>
        <w:rPr>
          <w:rFonts w:hint="default" w:hAnsi="宋体"/>
          <w:color w:val="auto"/>
          <w:szCs w:val="21"/>
          <w:highlight w:val="none"/>
          <w:lang w:val="en-US" w:eastAsia="zh-CN"/>
        </w:rPr>
        <w:t>变电修试所普洱供电局2024年500kV墨江变共计2组35kV电抗器更换</w:t>
      </w:r>
      <w:r>
        <w:rPr>
          <w:rFonts w:hint="eastAsia" w:ascii="宋体" w:hAnsi="宋体" w:cs="宋体"/>
          <w:i w:val="0"/>
          <w:iCs w:val="0"/>
          <w:color w:val="000000"/>
          <w:kern w:val="0"/>
          <w:sz w:val="22"/>
          <w:szCs w:val="22"/>
          <w:highlight w:val="none"/>
          <w:u w:val="none"/>
          <w:lang w:val="en-US" w:eastAsia="zh-CN" w:bidi="ar"/>
        </w:rPr>
        <w:t>电抗器吊装50吨吊车租赁的</w:t>
      </w:r>
      <w:r>
        <w:rPr>
          <w:rFonts w:hint="eastAsia" w:hAnsi="宋体"/>
          <w:color w:val="auto"/>
          <w:szCs w:val="21"/>
          <w:highlight w:val="none"/>
        </w:rPr>
        <w:t>相关标准要求投标人应仔细阅读招标文件，包括技术部分的所有规定。由投标人提供的设备的技术规范应与本技术规范书中规定的要求相一致。</w:t>
      </w:r>
    </w:p>
    <w:p>
      <w:pPr>
        <w:numPr>
          <w:ilvl w:val="0"/>
          <w:numId w:val="0"/>
        </w:numPr>
        <w:spacing w:line="360" w:lineRule="auto"/>
        <w:ind w:leftChars="0"/>
        <w:rPr>
          <w:color w:val="auto"/>
          <w:szCs w:val="21"/>
          <w:highlight w:val="none"/>
        </w:rPr>
      </w:pPr>
      <w:r>
        <w:rPr>
          <w:rStyle w:val="18"/>
          <w:color w:val="auto"/>
          <w:highlight w:val="none"/>
        </w:rPr>
        <w:t>1.1.2</w:t>
      </w:r>
      <w:r>
        <w:rPr>
          <w:rFonts w:hAnsi="宋体"/>
          <w:color w:val="auto"/>
          <w:szCs w:val="21"/>
          <w:highlight w:val="none"/>
        </w:rPr>
        <w:t>本规范提出的是最低限度的要求，并未对一切技术细节作出规定，也未充分引述有关标准和规范的条文，投标方应提供符合本规范和工业标准的优质</w:t>
      </w:r>
      <w:r>
        <w:rPr>
          <w:rFonts w:hint="eastAsia" w:hAnsi="宋体"/>
          <w:color w:val="auto"/>
          <w:szCs w:val="21"/>
          <w:highlight w:val="none"/>
          <w:lang w:val="en-US" w:eastAsia="zh-CN"/>
        </w:rPr>
        <w:t>产品</w:t>
      </w:r>
      <w:r>
        <w:rPr>
          <w:rFonts w:hAnsi="宋体"/>
          <w:color w:val="auto"/>
          <w:szCs w:val="21"/>
          <w:highlight w:val="none"/>
        </w:rPr>
        <w:t>。</w:t>
      </w:r>
    </w:p>
    <w:p>
      <w:pPr>
        <w:spacing w:line="360" w:lineRule="auto"/>
        <w:rPr>
          <w:color w:val="auto"/>
          <w:spacing w:val="-2"/>
          <w:szCs w:val="21"/>
          <w:highlight w:val="none"/>
        </w:rPr>
      </w:pPr>
      <w:r>
        <w:rPr>
          <w:rStyle w:val="18"/>
          <w:color w:val="auto"/>
          <w:highlight w:val="none"/>
        </w:rPr>
        <w:t>1.1.3</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w:t>
      </w:r>
      <w:r>
        <w:rPr>
          <w:rFonts w:hint="eastAsia" w:hAnsi="宋体"/>
          <w:color w:val="auto"/>
          <w:spacing w:val="-2"/>
          <w:szCs w:val="21"/>
          <w:highlight w:val="none"/>
          <w:lang w:val="en-US" w:eastAsia="zh-CN"/>
        </w:rPr>
        <w:t>加以</w:t>
      </w:r>
      <w:r>
        <w:rPr>
          <w:rFonts w:hAnsi="宋体"/>
          <w:color w:val="auto"/>
          <w:spacing w:val="-2"/>
          <w:szCs w:val="21"/>
          <w:highlight w:val="none"/>
        </w:rPr>
        <w:t>详细描述。</w:t>
      </w:r>
    </w:p>
    <w:p>
      <w:pPr>
        <w:spacing w:line="360" w:lineRule="auto"/>
        <w:rPr>
          <w:color w:val="auto"/>
          <w:szCs w:val="21"/>
          <w:highlight w:val="none"/>
        </w:rPr>
      </w:pPr>
      <w:r>
        <w:rPr>
          <w:rStyle w:val="18"/>
          <w:color w:val="auto"/>
          <w:highlight w:val="none"/>
        </w:rPr>
        <w:t>1.1.4</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8"/>
          <w:color w:val="auto"/>
          <w:highlight w:val="none"/>
        </w:rPr>
        <w:t>1.1.5</w:t>
      </w:r>
      <w:r>
        <w:rPr>
          <w:rFonts w:hAnsi="宋体"/>
          <w:color w:val="auto"/>
          <w:szCs w:val="21"/>
          <w:highlight w:val="none"/>
        </w:rPr>
        <w:t>本规范经招、投标双方确认后作为订货合同的技术附件，与合同正文具有同等效力。</w:t>
      </w:r>
    </w:p>
    <w:p>
      <w:pPr>
        <w:pStyle w:val="17"/>
        <w:spacing w:line="360" w:lineRule="auto"/>
        <w:outlineLvl w:val="1"/>
        <w:rPr>
          <w:color w:val="auto"/>
          <w:highlight w:val="none"/>
        </w:rPr>
      </w:pPr>
      <w:bookmarkStart w:id="22" w:name="_Toc22516_WPSOffice_Level2"/>
      <w:r>
        <w:rPr>
          <w:rStyle w:val="18"/>
          <w:rFonts w:ascii="Times New Roman" w:hAnsi="Times New Roman" w:eastAsia="宋体" w:cs="Times New Roman"/>
          <w:color w:val="auto"/>
          <w:sz w:val="21"/>
          <w:szCs w:val="24"/>
          <w:highlight w:val="none"/>
          <w:lang w:val="en-US" w:eastAsia="zh-CN" w:bidi="ar-SA"/>
        </w:rPr>
        <w:t>1.2</w:t>
      </w:r>
      <w:r>
        <w:rPr>
          <w:rFonts w:hint="eastAsia"/>
          <w:color w:val="auto"/>
          <w:highlight w:val="none"/>
          <w:lang w:val="en-US" w:eastAsia="zh-CN"/>
        </w:rPr>
        <w:t>服务范围一览表</w:t>
      </w:r>
      <w:bookmarkEnd w:id="22"/>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投标方提供服务的具体规格、数量见表1供货范围及设备技术规格一览表，投标方应如实填写“投标方保证”栏。</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w:t>
      </w:r>
      <w:r>
        <w:rPr>
          <w:rFonts w:hint="eastAsia"/>
          <w:color w:val="auto"/>
          <w:highlight w:val="none"/>
          <w:lang w:val="en-US" w:eastAsia="zh-CN"/>
        </w:rPr>
        <w:t>服务范围</w:t>
      </w:r>
      <w:r>
        <w:rPr>
          <w:rFonts w:hint="eastAsia" w:ascii="宋体" w:hAnsi="Times New Roman" w:eastAsia="宋体" w:cs="Times New Roman"/>
          <w:kern w:val="0"/>
          <w:szCs w:val="20"/>
          <w:lang w:val="en-US" w:eastAsia="zh-CN"/>
        </w:rPr>
        <w:t>及设备技术规格一览表</w:t>
      </w:r>
    </w:p>
    <w:p>
      <w:pPr>
        <w:keepNext w:val="0"/>
        <w:keepLines w:val="0"/>
        <w:pageBreakBefore w:val="0"/>
        <w:widowControl/>
        <w:kinsoku/>
        <w:wordWrap/>
        <w:overflowPunct/>
        <w:topLinePunct w:val="0"/>
        <w:autoSpaceDE/>
        <w:autoSpaceDN/>
        <w:bidi w:val="0"/>
        <w:adjustRightInd/>
        <w:snapToGrid w:val="0"/>
        <w:spacing w:line="240" w:lineRule="auto"/>
        <w:ind w:firstLine="424" w:firstLineChars="202"/>
        <w:jc w:val="center"/>
        <w:textAlignment w:val="auto"/>
        <w:rPr>
          <w:rFonts w:hint="eastAsia" w:ascii="Times New Roman" w:hAnsi="Times New Roman" w:eastAsia="宋体" w:cs="Times New Roman"/>
          <w:kern w:val="2"/>
          <w:sz w:val="21"/>
          <w:szCs w:val="24"/>
          <w:lang w:val="en-US" w:eastAsia="zh-CN" w:bidi="ar-SA"/>
        </w:rPr>
      </w:pPr>
      <w:r>
        <w:rPr>
          <w:rFonts w:hint="eastAsia" w:ascii="宋体"/>
          <w:kern w:val="0"/>
          <w:szCs w:val="20"/>
          <w:lang w:val="en-US" w:eastAsia="zh-CN"/>
        </w:rPr>
        <w:t>（项目单位填写项目要求栏、投标方填标方保证栏）</w:t>
      </w:r>
    </w:p>
    <w:tbl>
      <w:tblPr>
        <w:tblStyle w:val="8"/>
        <w:tblpPr w:leftFromText="180" w:rightFromText="180" w:vertAnchor="text" w:horzAnchor="page" w:tblpX="1884" w:tblpY="387"/>
        <w:tblOverlap w:val="neve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3"/>
        <w:gridCol w:w="1252"/>
        <w:gridCol w:w="568"/>
        <w:gridCol w:w="792"/>
        <w:gridCol w:w="644"/>
        <w:gridCol w:w="440"/>
        <w:gridCol w:w="854"/>
        <w:gridCol w:w="849"/>
        <w:gridCol w:w="491"/>
        <w:gridCol w:w="656"/>
        <w:gridCol w:w="1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1"/>
                <w:szCs w:val="21"/>
                <w:u w:val="none"/>
                <w:lang w:val="en-US" w:eastAsia="zh-CN" w:bidi="ar"/>
              </w:rPr>
              <w:t>服务内容</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主要技术参数</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计量单位</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498"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总价（元）</w:t>
            </w:r>
          </w:p>
        </w:tc>
        <w:tc>
          <w:tcPr>
            <w:tcW w:w="288"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质保期</w:t>
            </w:r>
          </w:p>
        </w:tc>
        <w:tc>
          <w:tcPr>
            <w:tcW w:w="385"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1"/>
                <w:szCs w:val="21"/>
                <w:u w:val="none"/>
                <w:lang w:val="en-US" w:eastAsia="zh-CN" w:bidi="ar"/>
              </w:rPr>
              <w:t>服务</w:t>
            </w:r>
            <w:r>
              <w:rPr>
                <w:rFonts w:hint="eastAsia" w:ascii="宋体" w:hAnsi="宋体" w:eastAsia="宋体" w:cs="宋体"/>
                <w:b/>
                <w:bCs/>
                <w:i w:val="0"/>
                <w:iCs w:val="0"/>
                <w:color w:val="000000"/>
                <w:kern w:val="0"/>
                <w:sz w:val="21"/>
                <w:szCs w:val="21"/>
                <w:u w:val="none"/>
                <w:lang w:val="en-US" w:eastAsia="zh-CN" w:bidi="ar"/>
              </w:rPr>
              <w:t>时间要求</w:t>
            </w:r>
          </w:p>
        </w:tc>
        <w:tc>
          <w:tcPr>
            <w:tcW w:w="891"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1"/>
                <w:szCs w:val="21"/>
                <w:u w:val="none"/>
                <w:lang w:val="en-US" w:eastAsia="zh-CN" w:bidi="ar"/>
              </w:rPr>
              <w:t>使用</w:t>
            </w:r>
            <w:r>
              <w:rPr>
                <w:rFonts w:hint="eastAsia" w:ascii="宋体" w:hAnsi="宋体" w:eastAsia="宋体" w:cs="宋体"/>
                <w:b/>
                <w:bCs/>
                <w:i w:val="0"/>
                <w:iCs w:val="0"/>
                <w:color w:val="000000"/>
                <w:kern w:val="0"/>
                <w:sz w:val="21"/>
                <w:szCs w:val="21"/>
                <w:u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trPr>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r>
              <w:rPr>
                <w:rFonts w:hint="eastAsia" w:ascii="宋体" w:hAnsi="宋体" w:eastAsia="宋体" w:cs="宋体"/>
                <w:sz w:val="21"/>
                <w:szCs w:val="21"/>
                <w:lang w:val="en-US" w:eastAsia="zh-CN"/>
              </w:rPr>
              <w:t>50吨吊车租赁服务</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50t</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次</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501" w:type="pct"/>
            <w:tcBorders>
              <w:top w:val="single" w:color="000000" w:sz="4" w:space="0"/>
              <w:left w:val="single" w:color="000000" w:sz="4" w:space="0"/>
              <w:bottom w:val="single" w:color="000000" w:sz="4" w:space="0"/>
              <w:right w:val="single" w:color="auto"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p>
        </w:tc>
        <w:tc>
          <w:tcPr>
            <w:tcW w:w="498" w:type="pct"/>
            <w:tcBorders>
              <w:top w:val="single" w:color="auto" w:sz="4" w:space="0"/>
              <w:left w:val="single" w:color="auto" w:sz="4" w:space="0"/>
              <w:bottom w:val="single" w:color="auto" w:sz="4" w:space="0"/>
              <w:right w:val="single" w:color="000000" w:sz="4" w:space="0"/>
            </w:tcBorders>
            <w:shd w:val="clear" w:color="auto" w:fill="auto"/>
            <w:vAlign w:val="center"/>
          </w:tcPr>
          <w:p>
            <w:pPr>
              <w:bidi w:val="0"/>
              <w:jc w:val="center"/>
              <w:rPr>
                <w:rFonts w:hint="eastAsia" w:ascii="宋体" w:hAnsi="宋体" w:cs="宋体"/>
                <w:i w:val="0"/>
                <w:iCs w:val="0"/>
                <w:color w:val="000000"/>
                <w:kern w:val="0"/>
                <w:sz w:val="22"/>
                <w:szCs w:val="22"/>
                <w:u w:val="none"/>
                <w:lang w:val="en-US" w:eastAsia="zh-CN" w:bidi="ar"/>
              </w:rPr>
            </w:pPr>
          </w:p>
        </w:tc>
        <w:tc>
          <w:tcPr>
            <w:tcW w:w="288" w:type="pct"/>
            <w:tcBorders>
              <w:top w:val="single" w:color="auto" w:sz="4" w:space="0"/>
              <w:left w:val="single" w:color="000000" w:sz="4" w:space="0"/>
              <w:bottom w:val="single" w:color="auto" w:sz="4" w:space="0"/>
              <w:right w:val="single" w:color="000000" w:sz="4" w:space="0"/>
            </w:tcBorders>
            <w:shd w:val="clear" w:color="auto" w:fill="auto"/>
            <w:vAlign w:val="center"/>
          </w:tcPr>
          <w:p>
            <w:pPr>
              <w:bidi w:val="0"/>
              <w:jc w:val="center"/>
              <w:rPr>
                <w:rFonts w:hint="eastAsia" w:ascii="宋体" w:hAnsi="宋体" w:cs="宋体"/>
                <w:i w:val="0"/>
                <w:iCs w:val="0"/>
                <w:color w:val="000000"/>
                <w:kern w:val="0"/>
                <w:sz w:val="22"/>
                <w:szCs w:val="22"/>
                <w:u w:val="none"/>
                <w:lang w:val="en-US" w:eastAsia="zh-CN" w:bidi="ar"/>
              </w:rPr>
            </w:pPr>
          </w:p>
        </w:tc>
        <w:tc>
          <w:tcPr>
            <w:tcW w:w="385" w:type="pct"/>
            <w:tcBorders>
              <w:top w:val="single" w:color="auto" w:sz="4" w:space="0"/>
              <w:left w:val="single" w:color="000000" w:sz="4" w:space="0"/>
              <w:bottom w:val="single" w:color="auto" w:sz="4" w:space="0"/>
              <w:right w:val="single" w:color="000000" w:sz="4" w:space="0"/>
            </w:tcBorders>
            <w:shd w:val="clear" w:color="auto" w:fill="auto"/>
            <w:vAlign w:val="center"/>
          </w:tcPr>
          <w:p>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1"/>
                <w:szCs w:val="21"/>
                <w:lang w:val="en-US" w:eastAsia="zh-CN"/>
              </w:rPr>
              <w:t>2024年9月5日</w:t>
            </w:r>
          </w:p>
        </w:tc>
        <w:tc>
          <w:tcPr>
            <w:tcW w:w="891" w:type="pct"/>
            <w:tcBorders>
              <w:top w:val="single" w:color="auto" w:sz="4" w:space="0"/>
              <w:left w:val="single" w:color="000000" w:sz="4" w:space="0"/>
              <w:bottom w:val="single" w:color="auto" w:sz="4" w:space="0"/>
              <w:right w:val="single" w:color="auto" w:sz="4" w:space="0"/>
            </w:tcBorders>
            <w:shd w:val="clear" w:color="auto" w:fill="auto"/>
            <w:vAlign w:val="center"/>
          </w:tcPr>
          <w:p>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云南省普洱市思茅区茶城大道200号普洱供电局变电修试所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2937"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合计：</w:t>
            </w:r>
          </w:p>
        </w:tc>
        <w:tc>
          <w:tcPr>
            <w:tcW w:w="498" w:type="pct"/>
            <w:tcBorders>
              <w:top w:val="single" w:color="auto"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p>
        </w:tc>
        <w:tc>
          <w:tcPr>
            <w:tcW w:w="288" w:type="pct"/>
            <w:tcBorders>
              <w:top w:val="single" w:color="auto"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p>
        </w:tc>
        <w:tc>
          <w:tcPr>
            <w:tcW w:w="385" w:type="pct"/>
            <w:tcBorders>
              <w:top w:val="single" w:color="auto"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p>
        </w:tc>
        <w:tc>
          <w:tcPr>
            <w:tcW w:w="891" w:type="pct"/>
            <w:tcBorders>
              <w:top w:val="single" w:color="auto" w:sz="4" w:space="0"/>
              <w:left w:val="single" w:color="000000" w:sz="4" w:space="0"/>
              <w:bottom w:val="single" w:color="000000" w:sz="4" w:space="0"/>
              <w:right w:val="single" w:color="000000" w:sz="4" w:space="0"/>
            </w:tcBorders>
            <w:shd w:val="clear" w:color="auto" w:fill="auto"/>
            <w:noWrap/>
            <w:vAlign w:val="bottom"/>
          </w:tcPr>
          <w:p>
            <w:pPr>
              <w:bidi w:val="0"/>
              <w:jc w:val="center"/>
              <w:rPr>
                <w:rFonts w:hint="eastAsia" w:ascii="宋体" w:hAnsi="宋体" w:cs="宋体"/>
                <w:i w:val="0"/>
                <w:iCs w:val="0"/>
                <w:color w:val="000000"/>
                <w:kern w:val="0"/>
                <w:sz w:val="22"/>
                <w:szCs w:val="22"/>
                <w:u w:val="none"/>
                <w:lang w:val="en-US" w:eastAsia="zh-CN" w:bidi="ar"/>
              </w:rPr>
            </w:pPr>
          </w:p>
        </w:tc>
      </w:tr>
    </w:tbl>
    <w:p>
      <w:pPr>
        <w:spacing w:line="360" w:lineRule="auto"/>
        <w:rPr>
          <w:rFonts w:hint="eastAsia" w:ascii="宋体" w:hAnsi="Times New Roman" w:eastAsia="宋体" w:cs="Times New Roman"/>
          <w:b w:val="0"/>
          <w:bCs w:val="0"/>
          <w:color w:val="auto"/>
          <w:kern w:val="0"/>
          <w:sz w:val="21"/>
          <w:szCs w:val="20"/>
          <w:highlight w:val="none"/>
          <w:lang w:val="en-US" w:eastAsia="zh-CN" w:bidi="ar-SA"/>
        </w:rPr>
      </w:pPr>
      <w:bookmarkStart w:id="23" w:name="_Toc1514_WPSOffice_Level2"/>
      <w:bookmarkStart w:id="24" w:name="_Toc17461"/>
      <w:r>
        <w:rPr>
          <w:rFonts w:hint="eastAsia"/>
          <w:b/>
          <w:bCs/>
          <w:lang w:val="en-US" w:eastAsia="zh-CN"/>
        </w:rPr>
        <w:t>注：</w:t>
      </w:r>
      <w:r>
        <w:rPr>
          <w:rFonts w:hint="eastAsia" w:ascii="宋体" w:cs="Times New Roman"/>
          <w:kern w:val="0"/>
          <w:sz w:val="21"/>
          <w:szCs w:val="20"/>
          <w:lang w:val="en-US" w:eastAsia="zh-CN" w:bidi="ar-SA"/>
        </w:rPr>
        <w:t>吊车技术服务要求使用者需要熟练掌握吊车的安全规范和操作标准，提供安全可靠的吊装和搬运服务，清楚了解吊车的操作对安全风险，确保吊车操作的安全性和高效性。</w:t>
      </w:r>
    </w:p>
    <w:p>
      <w:pPr>
        <w:pStyle w:val="17"/>
        <w:spacing w:line="360" w:lineRule="auto"/>
        <w:outlineLvl w:val="1"/>
        <w:rPr>
          <w:rFonts w:hint="eastAsia" w:ascii="宋体" w:eastAsia="宋体" w:cs="Times New Roman"/>
          <w:b/>
          <w:bCs/>
          <w:kern w:val="0"/>
          <w:sz w:val="21"/>
          <w:szCs w:val="20"/>
          <w:lang w:val="en-US" w:eastAsia="zh-CN" w:bidi="ar-SA"/>
        </w:rPr>
      </w:pPr>
      <w:r>
        <w:rPr>
          <w:rStyle w:val="18"/>
          <w:rFonts w:ascii="Times New Roman" w:hAnsi="Times New Roman" w:eastAsia="宋体" w:cs="Times New Roman"/>
          <w:color w:val="auto"/>
          <w:sz w:val="21"/>
          <w:szCs w:val="24"/>
          <w:highlight w:val="none"/>
          <w:lang w:val="en-US" w:eastAsia="zh-CN" w:bidi="ar-SA"/>
        </w:rPr>
        <w:t>1.</w:t>
      </w:r>
      <w:r>
        <w:rPr>
          <w:rStyle w:val="18"/>
          <w:rFonts w:hint="eastAsia" w:ascii="Times New Roman" w:eastAsia="宋体" w:cs="Times New Roman"/>
          <w:color w:val="auto"/>
          <w:sz w:val="21"/>
          <w:szCs w:val="24"/>
          <w:highlight w:val="none"/>
          <w:lang w:val="en-US" w:eastAsia="zh-CN" w:bidi="ar-SA"/>
        </w:rPr>
        <w:t>3</w:t>
      </w:r>
      <w:r>
        <w:rPr>
          <w:rFonts w:hint="eastAsia" w:ascii="宋体" w:eastAsia="宋体" w:cs="Times New Roman"/>
          <w:b/>
          <w:bCs/>
          <w:kern w:val="0"/>
          <w:sz w:val="21"/>
          <w:szCs w:val="20"/>
          <w:lang w:val="en-US" w:eastAsia="zh-CN" w:bidi="ar-SA"/>
        </w:rPr>
        <w:t>技术服务要求：</w:t>
      </w:r>
    </w:p>
    <w:p>
      <w:pPr>
        <w:pStyle w:val="17"/>
        <w:numPr>
          <w:ilvl w:val="0"/>
          <w:numId w:val="0"/>
        </w:numPr>
        <w:spacing w:line="360" w:lineRule="auto"/>
        <w:outlineLvl w:val="1"/>
        <w:rPr>
          <w:rFonts w:hint="eastAsia" w:ascii="宋体" w:eastAsia="宋体" w:cs="Times New Roman"/>
          <w:kern w:val="0"/>
          <w:sz w:val="21"/>
          <w:szCs w:val="20"/>
          <w:lang w:val="en-US" w:eastAsia="zh-CN" w:bidi="ar-SA"/>
        </w:rPr>
      </w:pPr>
      <w:r>
        <w:rPr>
          <w:rFonts w:hint="eastAsia" w:ascii="宋体" w:eastAsia="宋体" w:cs="Times New Roman"/>
          <w:kern w:val="0"/>
          <w:sz w:val="21"/>
          <w:szCs w:val="20"/>
          <w:lang w:val="en-US" w:eastAsia="zh-CN" w:bidi="ar-SA"/>
        </w:rPr>
        <w:t>1.3.1电抗器更换吊装：对起重设备操作有一定工作经历及过硬的技术，持证上岗。能把控住更换工作中的关键环节，保证电抗器更换工程正常。</w:t>
      </w:r>
    </w:p>
    <w:p>
      <w:pPr>
        <w:pStyle w:val="17"/>
        <w:numPr>
          <w:ilvl w:val="0"/>
          <w:numId w:val="0"/>
        </w:numPr>
        <w:spacing w:line="360" w:lineRule="auto"/>
        <w:outlineLvl w:val="1"/>
        <w:rPr>
          <w:rFonts w:hint="eastAsia" w:ascii="宋体" w:eastAsia="宋体" w:cs="Times New Roman"/>
          <w:kern w:val="0"/>
          <w:sz w:val="21"/>
          <w:szCs w:val="20"/>
          <w:lang w:val="en-US" w:eastAsia="zh-CN" w:bidi="ar-SA"/>
        </w:rPr>
      </w:pPr>
      <w:r>
        <w:rPr>
          <w:rFonts w:hint="eastAsia" w:ascii="宋体" w:eastAsia="宋体" w:cs="Times New Roman"/>
          <w:kern w:val="0"/>
          <w:sz w:val="21"/>
          <w:szCs w:val="20"/>
          <w:lang w:val="en-US" w:eastAsia="zh-CN" w:bidi="ar-SA"/>
        </w:rPr>
        <w:t>①投标人需提供《营业执照》、《出厂质量合格证》、《特种设备注册登记表》、《安全检验合格》及《特种设备作业人员资格证》及所需吊装附件检验合格，提供的资质必须真实有效，发现虚假文件或内容，一律取消投标资格。</w:t>
      </w:r>
    </w:p>
    <w:p>
      <w:pPr>
        <w:pStyle w:val="17"/>
        <w:spacing w:line="360" w:lineRule="auto"/>
        <w:outlineLvl w:val="1"/>
        <w:rPr>
          <w:rFonts w:hint="eastAsia" w:ascii="宋体" w:eastAsia="宋体" w:cs="Times New Roman"/>
          <w:kern w:val="0"/>
          <w:sz w:val="21"/>
          <w:szCs w:val="20"/>
          <w:lang w:val="en-US" w:eastAsia="zh-CN" w:bidi="ar-SA"/>
        </w:rPr>
      </w:pPr>
      <w:r>
        <w:rPr>
          <w:rFonts w:hint="eastAsia" w:ascii="宋体" w:eastAsia="宋体" w:cs="Times New Roman"/>
          <w:kern w:val="0"/>
          <w:sz w:val="21"/>
          <w:szCs w:val="20"/>
          <w:lang w:val="en-US" w:eastAsia="zh-CN" w:bidi="ar-SA"/>
        </w:rPr>
        <w:t>②投标人营业执照经营范围含工程机械租赁服务或吊车租赁服务或起重机械服务。</w:t>
      </w:r>
    </w:p>
    <w:p>
      <w:pPr>
        <w:pStyle w:val="17"/>
        <w:spacing w:line="360" w:lineRule="auto"/>
        <w:outlineLvl w:val="1"/>
        <w:rPr>
          <w:color w:val="auto"/>
          <w:highlight w:val="none"/>
        </w:rPr>
      </w:pPr>
      <w:r>
        <w:rPr>
          <w:rFonts w:hint="eastAsia" w:ascii="宋体" w:eastAsia="宋体" w:cs="Times New Roman"/>
          <w:kern w:val="0"/>
          <w:sz w:val="21"/>
          <w:szCs w:val="20"/>
          <w:lang w:val="en-US" w:eastAsia="zh-CN" w:bidi="ar-SA"/>
        </w:rPr>
        <w:t>③投标人需提供质量技术监督部门出具的吊车驾驶人员特种设备作业人员操作证复印件</w:t>
      </w:r>
      <w:bookmarkEnd w:id="23"/>
      <w:bookmarkEnd w:id="24"/>
      <w:bookmarkStart w:id="25" w:name="_Toc9752_WPSOffice_Level2"/>
      <w:r>
        <w:rPr>
          <w:rFonts w:hint="eastAsia" w:ascii="宋体" w:eastAsia="宋体" w:cs="Times New Roman"/>
          <w:kern w:val="0"/>
          <w:sz w:val="21"/>
          <w:szCs w:val="20"/>
          <w:lang w:val="en-US" w:eastAsia="zh-CN" w:bidi="ar-SA"/>
        </w:rPr>
        <w:t>。</w:t>
      </w:r>
      <w:r>
        <w:rPr>
          <w:color w:val="auto"/>
          <w:highlight w:val="none"/>
        </w:rPr>
        <w:t>1.</w:t>
      </w:r>
      <w:r>
        <w:rPr>
          <w:rFonts w:hint="eastAsia"/>
          <w:color w:val="auto"/>
          <w:highlight w:val="none"/>
          <w:lang w:val="en-US" w:eastAsia="zh-CN"/>
        </w:rPr>
        <w:t>4</w:t>
      </w:r>
      <w:r>
        <w:rPr>
          <w:color w:val="auto"/>
          <w:highlight w:val="none"/>
        </w:rPr>
        <w:t>供方职责</w:t>
      </w:r>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4</w:t>
      </w:r>
      <w:r>
        <w:rPr>
          <w:rFonts w:ascii="EU-F1" w:eastAsia="EU-F1"/>
          <w:color w:val="auto"/>
          <w:spacing w:val="20"/>
          <w:szCs w:val="21"/>
          <w:highlight w:val="none"/>
        </w:rPr>
        <w:t>.</w:t>
      </w:r>
      <w:r>
        <w:rPr>
          <w:rFonts w:ascii="EU-F1" w:eastAsia="EU-F1"/>
          <w:color w:val="auto"/>
          <w:szCs w:val="21"/>
          <w:highlight w:val="none"/>
        </w:rPr>
        <w:t>1</w:t>
      </w:r>
      <w:r>
        <w:rPr>
          <w:rFonts w:hAnsi="宋体"/>
          <w:color w:val="auto"/>
          <w:szCs w:val="21"/>
          <w:highlight w:val="none"/>
        </w:rPr>
        <w:t>所提供</w:t>
      </w:r>
      <w:r>
        <w:rPr>
          <w:rFonts w:hint="eastAsia" w:hAnsi="宋体"/>
          <w:color w:val="auto"/>
          <w:szCs w:val="21"/>
          <w:highlight w:val="none"/>
          <w:lang w:val="en-US" w:eastAsia="zh-CN"/>
        </w:rPr>
        <w:t>技术服务人员应按规定时间</w:t>
      </w:r>
      <w:r>
        <w:rPr>
          <w:rFonts w:hAnsi="宋体"/>
          <w:color w:val="auto"/>
          <w:szCs w:val="21"/>
          <w:highlight w:val="none"/>
        </w:rPr>
        <w:t>到</w:t>
      </w:r>
      <w:r>
        <w:rPr>
          <w:rFonts w:hint="eastAsia" w:hAnsi="宋体"/>
          <w:color w:val="auto"/>
          <w:szCs w:val="21"/>
          <w:highlight w:val="none"/>
          <w:lang w:val="en-US" w:eastAsia="zh-CN"/>
        </w:rPr>
        <w:t>达</w:t>
      </w:r>
      <w:r>
        <w:rPr>
          <w:rFonts w:hAnsi="宋体"/>
          <w:color w:val="auto"/>
          <w:szCs w:val="21"/>
          <w:highlight w:val="none"/>
        </w:rPr>
        <w:t>规定的目的地</w:t>
      </w:r>
      <w:r>
        <w:rPr>
          <w:rFonts w:hint="eastAsia" w:hAnsi="宋体"/>
          <w:color w:val="auto"/>
          <w:szCs w:val="21"/>
          <w:highlight w:val="none"/>
          <w:lang w:eastAsia="zh-CN"/>
        </w:rPr>
        <w:t>，</w:t>
      </w:r>
      <w:r>
        <w:rPr>
          <w:rFonts w:hint="eastAsia" w:hAnsi="宋体"/>
          <w:color w:val="auto"/>
          <w:szCs w:val="21"/>
          <w:highlight w:val="none"/>
          <w:lang w:val="en-US" w:eastAsia="zh-CN"/>
        </w:rPr>
        <w:t>起重操作人员针对现场工作携带所需工器具及安全防护用品。</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4</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rFonts w:hAnsi="宋体"/>
          <w:color w:val="auto"/>
          <w:szCs w:val="21"/>
          <w:highlight w:val="none"/>
        </w:rPr>
        <w:t>如标准、规范与本标书的技术规范有明显的冲突，则供方应在设备</w:t>
      </w:r>
      <w:r>
        <w:rPr>
          <w:rFonts w:hint="eastAsia" w:hAnsi="宋体"/>
          <w:color w:val="auto"/>
          <w:szCs w:val="21"/>
          <w:highlight w:val="none"/>
          <w:lang w:val="en-US" w:eastAsia="zh-CN"/>
        </w:rPr>
        <w:t>吊装</w:t>
      </w:r>
      <w:r>
        <w:rPr>
          <w:rFonts w:hAnsi="宋体"/>
          <w:color w:val="auto"/>
          <w:szCs w:val="21"/>
          <w:highlight w:val="none"/>
        </w:rPr>
        <w:t>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w:t>
      </w:r>
      <w:r>
        <w:rPr>
          <w:rFonts w:hint="eastAsia" w:hAnsi="宋体"/>
          <w:color w:val="auto"/>
          <w:szCs w:val="21"/>
          <w:highlight w:val="none"/>
          <w:lang w:val="en-US" w:eastAsia="zh-CN"/>
        </w:rPr>
        <w:t>吊装</w:t>
      </w:r>
      <w:r>
        <w:rPr>
          <w:rFonts w:hAnsi="宋体"/>
          <w:color w:val="auto"/>
          <w:szCs w:val="21"/>
          <w:highlight w:val="none"/>
        </w:rPr>
        <w:t>。</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4</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hAnsi="宋体"/>
          <w:color w:val="auto"/>
          <w:szCs w:val="21"/>
          <w:highlight w:val="none"/>
        </w:rPr>
        <w:t>在更换所用的准则、标准、规程</w:t>
      </w:r>
      <w:r>
        <w:rPr>
          <w:rFonts w:hint="eastAsia" w:hAnsi="宋体"/>
          <w:color w:val="auto"/>
          <w:szCs w:val="21"/>
          <w:highlight w:val="none"/>
          <w:lang w:val="en-US" w:eastAsia="zh-CN"/>
        </w:rPr>
        <w:t>不符合行业规定</w:t>
      </w:r>
      <w:r>
        <w:rPr>
          <w:rFonts w:hAnsi="宋体"/>
          <w:color w:val="auto"/>
          <w:szCs w:val="21"/>
          <w:highlight w:val="none"/>
        </w:rPr>
        <w:t>或</w:t>
      </w:r>
      <w:r>
        <w:rPr>
          <w:rFonts w:hint="eastAsia" w:hAnsi="宋体"/>
          <w:color w:val="auto"/>
          <w:szCs w:val="21"/>
          <w:highlight w:val="none"/>
          <w:lang w:val="en-US" w:eastAsia="zh-CN"/>
        </w:rPr>
        <w:t>提供不合理要求</w:t>
      </w:r>
      <w:r>
        <w:rPr>
          <w:rFonts w:hAnsi="宋体"/>
          <w:color w:val="auto"/>
          <w:szCs w:val="21"/>
          <w:highlight w:val="none"/>
        </w:rPr>
        <w:t>时，供方有责任接受</w:t>
      </w:r>
      <w:r>
        <w:rPr>
          <w:rFonts w:hint="eastAsia" w:hAnsi="宋体"/>
          <w:color w:val="auto"/>
          <w:szCs w:val="21"/>
          <w:highlight w:val="none"/>
        </w:rPr>
        <w:t>买</w:t>
      </w:r>
      <w:r>
        <w:rPr>
          <w:rFonts w:hAnsi="宋体"/>
          <w:color w:val="auto"/>
          <w:szCs w:val="21"/>
          <w:highlight w:val="none"/>
        </w:rPr>
        <w:t>方的选择。</w:t>
      </w:r>
    </w:p>
    <w:p>
      <w:pPr>
        <w:pStyle w:val="15"/>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26" w:name="_Toc17024_WPSOffice_Level1"/>
      <w:r>
        <w:rPr>
          <w:rFonts w:hint="eastAsia"/>
          <w:color w:val="auto"/>
          <w:sz w:val="24"/>
          <w:szCs w:val="24"/>
          <w:highlight w:val="none"/>
          <w:lang w:val="en-US" w:eastAsia="zh-CN"/>
        </w:rPr>
        <w:t>2应遵循的主要标准</w:t>
      </w:r>
      <w:bookmarkEnd w:id="26"/>
    </w:p>
    <w:p>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卖方提供的</w:t>
      </w:r>
      <w:r>
        <w:rPr>
          <w:rFonts w:hint="eastAsia" w:ascii="Times New Roman" w:hAnsi="Times New Roman" w:eastAsia="宋体" w:cs="Times New Roman"/>
          <w:color w:val="auto"/>
          <w:highlight w:val="none"/>
          <w:lang w:val="en-US" w:eastAsia="zh-CN"/>
        </w:rPr>
        <w:t>特种设备及服务</w:t>
      </w:r>
      <w:r>
        <w:rPr>
          <w:rFonts w:hint="default" w:ascii="Times New Roman" w:hAnsi="Times New Roman" w:eastAsia="宋体" w:cs="Times New Roman"/>
          <w:color w:val="auto"/>
          <w:highlight w:val="none"/>
        </w:rPr>
        <w:t>至少应满足最新版本的以下规定、规范和标准的要求，但不限于以下规定、规范和标准。</w:t>
      </w:r>
    </w:p>
    <w:p>
      <w:pPr>
        <w:pStyle w:val="20"/>
        <w:spacing w:before="0" w:after="0" w:line="360" w:lineRule="auto"/>
        <w:rPr>
          <w:rFonts w:hint="default" w:ascii="Times New Roman" w:hAnsi="Times New Roman" w:eastAsia="宋体" w:cs="Times New Roman"/>
          <w:color w:val="auto"/>
          <w:highlight w:val="none"/>
        </w:rPr>
      </w:pPr>
      <w:bookmarkStart w:id="27" w:name="_Toc21669_WPSOffice_Level2"/>
      <w:bookmarkStart w:id="28" w:name="_Toc11981_WPSOffice_Level2"/>
      <w:bookmarkStart w:id="29" w:name="_Toc30500_WPSOffice_Level2"/>
      <w:bookmarkStart w:id="30" w:name="_Toc26309_WPSOffice_Level2"/>
      <w:bookmarkStart w:id="31" w:name="_Toc918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w:t>
      </w:r>
      <w:r>
        <w:rPr>
          <w:rFonts w:hint="eastAsia" w:ascii="Times New Roman" w:hAnsi="Times New Roman" w:eastAsia="宋体" w:cs="Times New Roman"/>
          <w:color w:val="auto"/>
          <w:highlight w:val="none"/>
          <w:lang w:val="en-US" w:eastAsia="zh-CN"/>
        </w:rPr>
        <w:t>特种设备及服务</w:t>
      </w:r>
      <w:r>
        <w:rPr>
          <w:rFonts w:hint="default" w:ascii="Times New Roman" w:hAnsi="Times New Roman" w:eastAsia="宋体" w:cs="Times New Roman"/>
          <w:color w:val="auto"/>
          <w:highlight w:val="none"/>
        </w:rPr>
        <w:t>需要满足的主要标准</w:t>
      </w:r>
      <w:bookmarkEnd w:id="27"/>
      <w:bookmarkEnd w:id="28"/>
      <w:bookmarkEnd w:id="29"/>
      <w:bookmarkEnd w:id="30"/>
      <w:bookmarkEnd w:id="31"/>
    </w:p>
    <w:tbl>
      <w:tblPr>
        <w:tblStyle w:val="8"/>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597"/>
        <w:gridCol w:w="672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59" w:type="pct"/>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4040" w:type="pct"/>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59" w:type="pct"/>
            <w:tcMar>
              <w:left w:w="0" w:type="dxa"/>
              <w:right w:w="0" w:type="dxa"/>
            </w:tcMar>
            <w:vAlign w:val="center"/>
          </w:tcPr>
          <w:p>
            <w:pPr>
              <w:snapToGrid w:val="0"/>
              <w:spacing w:before="60" w:after="6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GB783-1987</w:t>
            </w:r>
          </w:p>
        </w:tc>
        <w:tc>
          <w:tcPr>
            <w:tcW w:w="4040" w:type="pct"/>
            <w:tcMar>
              <w:left w:w="0" w:type="dxa"/>
              <w:right w:w="0" w:type="dxa"/>
            </w:tcMar>
            <w:vAlign w:val="center"/>
          </w:tcPr>
          <w:p>
            <w:pPr>
              <w:snapToGrid w:val="0"/>
              <w:spacing w:before="60" w:after="60"/>
              <w:ind w:right="42" w:rightChars="2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起重机械最大起重量系列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59" w:type="pct"/>
            <w:tcMar>
              <w:left w:w="0" w:type="dxa"/>
              <w:right w:w="0" w:type="dxa"/>
            </w:tcMar>
            <w:vAlign w:val="center"/>
          </w:tcPr>
          <w:p>
            <w:pPr>
              <w:snapToGrid w:val="0"/>
              <w:spacing w:before="60" w:after="6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GB 3811-1983</w:t>
            </w:r>
          </w:p>
        </w:tc>
        <w:tc>
          <w:tcPr>
            <w:tcW w:w="4040" w:type="pct"/>
            <w:tcMar>
              <w:left w:w="0" w:type="dxa"/>
              <w:right w:w="0" w:type="dxa"/>
            </w:tcMar>
            <w:vAlign w:val="center"/>
          </w:tcPr>
          <w:p>
            <w:pPr>
              <w:snapToGrid w:val="0"/>
              <w:spacing w:before="60" w:after="60"/>
              <w:ind w:right="42" w:rightChars="2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起重机设计规范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59" w:type="pct"/>
            <w:tcMar>
              <w:left w:w="0" w:type="dxa"/>
              <w:right w:w="0" w:type="dxa"/>
            </w:tcMar>
            <w:vAlign w:val="center"/>
          </w:tcPr>
          <w:p>
            <w:pPr>
              <w:snapToGrid w:val="0"/>
              <w:spacing w:before="60" w:after="6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GB 5905-1986</w:t>
            </w:r>
          </w:p>
        </w:tc>
        <w:tc>
          <w:tcPr>
            <w:tcW w:w="4040" w:type="pct"/>
            <w:tcMar>
              <w:left w:w="0" w:type="dxa"/>
              <w:right w:w="0" w:type="dxa"/>
            </w:tcMar>
            <w:vAlign w:val="center"/>
          </w:tcPr>
          <w:p>
            <w:pPr>
              <w:snapToGrid w:val="0"/>
              <w:spacing w:before="60" w:after="60"/>
              <w:ind w:right="42" w:rightChars="2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起重机试验规范和程序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59" w:type="pct"/>
            <w:tcMar>
              <w:left w:w="0" w:type="dxa"/>
              <w:right w:w="0" w:type="dxa"/>
            </w:tcMar>
            <w:vAlign w:val="center"/>
          </w:tcPr>
          <w:p>
            <w:pPr>
              <w:snapToGrid w:val="0"/>
              <w:spacing w:before="60" w:after="6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GB 6974.1-1986</w:t>
            </w:r>
          </w:p>
        </w:tc>
        <w:tc>
          <w:tcPr>
            <w:tcW w:w="4040" w:type="pct"/>
            <w:tcMar>
              <w:left w:w="0" w:type="dxa"/>
              <w:right w:w="0" w:type="dxa"/>
            </w:tcMar>
            <w:vAlign w:val="center"/>
          </w:tcPr>
          <w:p>
            <w:pPr>
              <w:snapToGrid w:val="0"/>
              <w:spacing w:before="60" w:after="60"/>
              <w:ind w:right="42" w:rightChars="2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起重机械名词术语起重机械类型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59" w:type="pct"/>
            <w:tcMar>
              <w:left w:w="0" w:type="dxa"/>
              <w:right w:w="0" w:type="dxa"/>
            </w:tcMar>
            <w:vAlign w:val="center"/>
          </w:tcPr>
          <w:p>
            <w:pPr>
              <w:snapToGrid w:val="0"/>
              <w:spacing w:before="60" w:after="6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GB 6974.2-1986</w:t>
            </w:r>
          </w:p>
        </w:tc>
        <w:tc>
          <w:tcPr>
            <w:tcW w:w="4040" w:type="pct"/>
            <w:tcMar>
              <w:left w:w="0" w:type="dxa"/>
              <w:right w:w="0" w:type="dxa"/>
            </w:tcMar>
            <w:vAlign w:val="center"/>
          </w:tcPr>
          <w:p>
            <w:pPr>
              <w:snapToGrid w:val="0"/>
              <w:spacing w:before="60" w:after="60"/>
              <w:ind w:right="42" w:rightChars="20"/>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t>起重机械名词术语主要参数</w:t>
            </w:r>
          </w:p>
        </w:tc>
      </w:tr>
    </w:tbl>
    <w:p>
      <w:pPr>
        <w:pStyle w:val="15"/>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default"/>
          <w:color w:val="auto"/>
          <w:sz w:val="24"/>
          <w:szCs w:val="24"/>
          <w:highlight w:val="none"/>
          <w:lang w:val="en-US" w:eastAsia="zh-CN"/>
        </w:rPr>
      </w:pPr>
      <w:bookmarkStart w:id="32" w:name="_Toc22516_WPSOffice_Level1"/>
      <w:bookmarkStart w:id="33" w:name="_Toc684_WPSOffice_Level1"/>
      <w:bookmarkStart w:id="34" w:name="_Toc7866_WPSOffice_Level1"/>
      <w:r>
        <w:rPr>
          <w:rFonts w:hint="eastAsia"/>
          <w:color w:val="auto"/>
          <w:sz w:val="24"/>
          <w:szCs w:val="24"/>
          <w:highlight w:val="none"/>
          <w:lang w:val="en-US" w:eastAsia="zh-CN"/>
        </w:rPr>
        <w:t>3</w:t>
      </w:r>
      <w:bookmarkEnd w:id="32"/>
      <w:bookmarkEnd w:id="33"/>
      <w:bookmarkEnd w:id="34"/>
      <w:r>
        <w:rPr>
          <w:rFonts w:hint="eastAsia"/>
          <w:color w:val="auto"/>
          <w:sz w:val="24"/>
          <w:szCs w:val="24"/>
          <w:highlight w:val="none"/>
          <w:lang w:val="en-US" w:eastAsia="zh-CN"/>
        </w:rPr>
        <w:t>现场工作环境及相关要求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eastAsia="zh-CN"/>
        </w:rPr>
      </w:pPr>
      <w:bookmarkStart w:id="35" w:name="_Toc9383_WPSOffice_Level2"/>
      <w:bookmarkStart w:id="36" w:name="_Toc8945_WPSOffice_Level2"/>
      <w:r>
        <w:rPr>
          <w:rFonts w:hint="eastAsia" w:ascii="宋体" w:hAnsi="宋体"/>
          <w:color w:val="auto"/>
          <w:highlight w:val="none"/>
          <w:lang w:val="en-US" w:eastAsia="zh-CN"/>
        </w:rPr>
        <w:t>3</w:t>
      </w:r>
      <w:r>
        <w:rPr>
          <w:rFonts w:hint="eastAsia" w:ascii="宋体" w:hAnsi="宋体"/>
          <w:color w:val="auto"/>
          <w:highlight w:val="none"/>
        </w:rPr>
        <w:t>.1环境温度：–10～60℃</w:t>
      </w:r>
      <w:bookmarkEnd w:id="35"/>
      <w:bookmarkEnd w:id="36"/>
      <w:r>
        <w:rPr>
          <w:rFonts w:hint="eastAsia" w:ascii="宋体" w:hAnsi="宋体"/>
          <w:color w:val="auto"/>
          <w:highlight w:val="none"/>
          <w:lang w:eastAsia="zh-CN"/>
        </w:rPr>
        <w:t>；</w:t>
      </w:r>
      <w:bookmarkStart w:id="37" w:name="_Toc15120_WPSOffice_Level2"/>
      <w:bookmarkStart w:id="38" w:name="_Toc13664_WPSOffice_Level2"/>
      <w:r>
        <w:rPr>
          <w:rFonts w:hint="eastAsia" w:ascii="宋体" w:hAnsi="宋体"/>
          <w:color w:val="auto"/>
          <w:highlight w:val="none"/>
        </w:rPr>
        <w:t>相对湿度：</w:t>
      </w:r>
      <w:bookmarkEnd w:id="37"/>
      <w:bookmarkEnd w:id="38"/>
      <w:r>
        <w:rPr>
          <w:rFonts w:hint="eastAsia" w:ascii="宋体" w:hAnsi="宋体"/>
          <w:color w:val="auto"/>
          <w:highlight w:val="none"/>
          <w:lang w:val="en-US" w:eastAsia="zh-CN"/>
        </w:rPr>
        <w:t>5</w:t>
      </w:r>
      <w:r>
        <w:rPr>
          <w:rFonts w:hint="eastAsia" w:ascii="宋体" w:hAnsi="宋体"/>
          <w:color w:val="auto"/>
          <w:highlight w:val="none"/>
        </w:rPr>
        <w:t>～</w:t>
      </w:r>
      <w:r>
        <w:rPr>
          <w:rFonts w:hint="eastAsia" w:ascii="宋体" w:hAnsi="宋体"/>
          <w:color w:val="auto"/>
          <w:highlight w:val="none"/>
          <w:lang w:val="en-US" w:eastAsia="zh-CN"/>
        </w:rPr>
        <w:t>9</w:t>
      </w:r>
      <w:r>
        <w:rPr>
          <w:rFonts w:hint="eastAsia" w:ascii="宋体" w:hAnsi="宋体"/>
          <w:color w:val="auto"/>
          <w:highlight w:val="none"/>
        </w:rPr>
        <w:t>5%（无凝露）</w:t>
      </w:r>
      <w:r>
        <w:rPr>
          <w:rFonts w:hint="eastAsia" w:ascii="宋体" w:hAnsi="宋体"/>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3.2工作地点及作业环境：500kV电压等级变电站，现场道路平坦、坚硬宽阔，需开展吊装工作地点外其余带电的设备留有足够的安全距离。吊装过程中无其余障碍物，具备吊装条件。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3.3设备标志</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3.3.1设备铭牌应采用耐腐蚀的金属板制造；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3.3.2铭牌应安放在运行人员容易看到的地方。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3.3.3铭牌上应有耐磨损的下列内容,但不限于此。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1）制造厂国别；2)制造厂名称；3)设备型号；4)设备名称；5)出厂日期编码；6)出厂检验编码；7)额定起重量。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3.4安全防护要求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3.4.1卖方应对设备的安全性负责，不管买方是否注意到整体和局部的安全性问题，都不应排除卖方的责任。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3.4.2所有起重机必须具备必要的安全监控功能，以便提高起重机自身保护和监控，减少不合理操作对起重机带来的损害，至少包括：</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1)载荷的测量、显示、过载保护及报警；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2)电机过热保护及报警；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3)刹车片厚度检测、保护及报警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4)斜拉保护及报警；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5)缺相保护及报警起升机构采用的限位开关，具备减速限位、错相保护限位等功能，运行机构所有限位开关应当；</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6)密封良好且防尘；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7)起重机要尽量采用各种阻燃材料从本质上来预防火灾的发生；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color w:val="auto"/>
          <w:highlight w:val="none"/>
          <w:lang w:val="en-US" w:eastAsia="zh-CN"/>
        </w:rPr>
      </w:pPr>
      <w:r>
        <w:rPr>
          <w:rFonts w:hint="eastAsia" w:ascii="宋体" w:hAnsi="宋体"/>
          <w:color w:val="auto"/>
          <w:highlight w:val="none"/>
          <w:lang w:val="en-US" w:eastAsia="zh-CN"/>
        </w:rPr>
        <w:t>8)吊钩上必须有保险装置，且保险装置安全、可靠。</w:t>
      </w:r>
    </w:p>
    <w:p>
      <w:pPr>
        <w:pStyle w:val="15"/>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39" w:name="_Toc8789_WPSOffice_Level1"/>
      <w:bookmarkStart w:id="40" w:name="_Toc312851679"/>
      <w:bookmarkStart w:id="41" w:name="_Toc1514_WPSOffice_Level1"/>
      <w:bookmarkStart w:id="42" w:name="_Toc10893_WPSOffice_Level1"/>
      <w:bookmarkStart w:id="43" w:name="_Toc296074033"/>
      <w:r>
        <w:rPr>
          <w:rFonts w:hint="eastAsia"/>
          <w:color w:val="auto"/>
          <w:sz w:val="24"/>
          <w:szCs w:val="24"/>
          <w:highlight w:val="none"/>
          <w:lang w:val="en-US" w:eastAsia="zh-CN"/>
        </w:rPr>
        <w:t>4服务</w:t>
      </w:r>
      <w:r>
        <w:rPr>
          <w:color w:val="auto"/>
          <w:sz w:val="24"/>
          <w:szCs w:val="24"/>
          <w:highlight w:val="none"/>
        </w:rPr>
        <w:t>质量保证</w:t>
      </w:r>
      <w:bookmarkEnd w:id="39"/>
      <w:bookmarkEnd w:id="40"/>
      <w:bookmarkEnd w:id="41"/>
      <w:bookmarkEnd w:id="42"/>
      <w:bookmarkEnd w:id="43"/>
    </w:p>
    <w:p>
      <w:pPr>
        <w:pStyle w:val="17"/>
        <w:spacing w:line="360" w:lineRule="auto"/>
        <w:outlineLvl w:val="1"/>
        <w:rPr>
          <w:rFonts w:hint="eastAsia"/>
          <w:color w:val="auto"/>
          <w:highlight w:val="none"/>
          <w:lang w:val="en-US" w:eastAsia="zh-CN"/>
        </w:rPr>
      </w:pPr>
      <w:bookmarkStart w:id="44" w:name="_Toc12237_WPSOffice_Level2"/>
      <w:r>
        <w:rPr>
          <w:rFonts w:hint="eastAsia"/>
          <w:color w:val="auto"/>
          <w:highlight w:val="none"/>
          <w:lang w:val="en-US" w:eastAsia="zh-CN"/>
        </w:rPr>
        <w:t>4.1服务保证</w:t>
      </w:r>
      <w:bookmarkEnd w:id="4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4.1.1卖方保证所提供的设备在各个方面符合招标文件规定的质量、规格和性能。在合同规定的质量保证期内。</w:t>
      </w:r>
    </w:p>
    <w:p>
      <w:pPr>
        <w:pStyle w:val="17"/>
        <w:spacing w:line="360" w:lineRule="auto"/>
        <w:outlineLvl w:val="1"/>
        <w:rPr>
          <w:rFonts w:hint="eastAsia"/>
          <w:color w:val="auto"/>
          <w:highlight w:val="none"/>
          <w:lang w:val="en-US" w:eastAsia="zh-CN"/>
        </w:rPr>
      </w:pPr>
      <w:r>
        <w:rPr>
          <w:rFonts w:hint="eastAsia"/>
          <w:color w:val="auto"/>
          <w:highlight w:val="none"/>
          <w:lang w:val="en-US" w:eastAsia="zh-CN"/>
        </w:rPr>
        <w:t>4.2质量保证</w:t>
      </w:r>
      <w:bookmarkEnd w:id="25"/>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4.2.1卖方应保证更换过程中的所有施工质量均应符合本规范书的规定。</w:t>
      </w:r>
    </w:p>
    <w:p>
      <w:pPr>
        <w:numPr>
          <w:ilvl w:val="0"/>
          <w:numId w:val="0"/>
        </w:numPr>
        <w:spacing w:line="360" w:lineRule="auto"/>
        <w:ind w:leftChars="0"/>
        <w:rPr>
          <w:rFonts w:hint="eastAsia" w:ascii="EU-F1" w:hAnsi="Times New Roman" w:eastAsia="黑体" w:cs="Times New Roman"/>
          <w:color w:val="auto"/>
          <w:kern w:val="2"/>
          <w:sz w:val="21"/>
          <w:szCs w:val="21"/>
          <w:highlight w:val="none"/>
          <w:lang w:val="en-US" w:eastAsia="zh-CN" w:bidi="ar-SA"/>
        </w:rPr>
      </w:pPr>
      <w:r>
        <w:rPr>
          <w:rFonts w:hint="eastAsia" w:ascii="EU-F1" w:hAnsi="Times New Roman" w:eastAsia="黑体" w:cs="Times New Roman"/>
          <w:color w:val="auto"/>
          <w:kern w:val="2"/>
          <w:sz w:val="21"/>
          <w:szCs w:val="21"/>
          <w:highlight w:val="none"/>
          <w:lang w:val="en-US" w:eastAsia="zh-CN" w:bidi="ar-SA"/>
        </w:rPr>
        <w:t>4.3服务技术要求</w:t>
      </w:r>
    </w:p>
    <w:p>
      <w:pPr>
        <w:spacing w:line="360" w:lineRule="auto"/>
        <w:ind w:firstLine="420" w:firstLineChars="200"/>
        <w:rPr>
          <w:rFonts w:hint="eastAsia" w:ascii="宋体" w:hAnsi="Times New Roman" w:eastAsia="宋体" w:cs="Times New Roman"/>
          <w:b w:val="0"/>
          <w:bCs w:val="0"/>
          <w:color w:val="auto"/>
          <w:kern w:val="0"/>
          <w:sz w:val="21"/>
          <w:szCs w:val="20"/>
          <w:highlight w:val="none"/>
          <w:lang w:val="en-US" w:eastAsia="zh-CN" w:bidi="ar-SA"/>
        </w:rPr>
      </w:pPr>
      <w:r>
        <w:rPr>
          <w:rFonts w:hint="eastAsia" w:ascii="宋体" w:cs="Times New Roman"/>
          <w:kern w:val="0"/>
          <w:sz w:val="21"/>
          <w:szCs w:val="20"/>
          <w:lang w:val="en-US" w:eastAsia="zh-CN" w:bidi="ar-SA"/>
        </w:rPr>
        <w:t>投标</w:t>
      </w:r>
      <w:r>
        <w:rPr>
          <w:rFonts w:hint="eastAsia" w:ascii="宋体" w:hAnsi="Times New Roman" w:eastAsia="宋体" w:cs="Times New Roman"/>
          <w:kern w:val="0"/>
          <w:sz w:val="21"/>
          <w:szCs w:val="20"/>
          <w:lang w:val="en-US" w:eastAsia="zh-CN" w:bidi="ar-SA"/>
        </w:rPr>
        <w:t>方</w:t>
      </w:r>
      <w:r>
        <w:rPr>
          <w:rFonts w:hint="eastAsia" w:ascii="宋体" w:cs="Times New Roman"/>
          <w:kern w:val="0"/>
          <w:sz w:val="21"/>
          <w:szCs w:val="20"/>
          <w:lang w:val="en-US" w:eastAsia="zh-CN" w:bidi="ar-SA"/>
        </w:rPr>
        <w:t>在</w:t>
      </w:r>
      <w:r>
        <w:rPr>
          <w:rFonts w:hint="eastAsia" w:ascii="宋体" w:hAnsi="Times New Roman" w:eastAsia="宋体" w:cs="Times New Roman"/>
          <w:kern w:val="0"/>
          <w:sz w:val="21"/>
          <w:szCs w:val="20"/>
          <w:lang w:val="en-US" w:eastAsia="zh-CN" w:bidi="ar-SA"/>
        </w:rPr>
        <w:t>规定时间内提供500kV墨江变3-2L、3-3L电抗器更换吊车起重服务，</w:t>
      </w:r>
      <w:r>
        <w:rPr>
          <w:rFonts w:hint="eastAsia" w:ascii="宋体" w:cs="Times New Roman"/>
          <w:kern w:val="0"/>
          <w:sz w:val="21"/>
          <w:szCs w:val="20"/>
          <w:lang w:val="en-US" w:eastAsia="zh-CN" w:bidi="ar-SA"/>
        </w:rPr>
        <w:t>保证提供</w:t>
      </w:r>
      <w:r>
        <w:rPr>
          <w:rFonts w:hint="eastAsia" w:ascii="宋体" w:hAnsi="Times New Roman" w:eastAsia="宋体" w:cs="Times New Roman"/>
          <w:kern w:val="0"/>
          <w:sz w:val="21"/>
          <w:szCs w:val="20"/>
          <w:lang w:val="en-US" w:eastAsia="zh-CN" w:bidi="ar-SA"/>
        </w:rPr>
        <w:t>吊车技术服务</w:t>
      </w:r>
      <w:r>
        <w:rPr>
          <w:rFonts w:hint="eastAsia" w:ascii="宋体" w:cs="Times New Roman"/>
          <w:kern w:val="0"/>
          <w:sz w:val="21"/>
          <w:szCs w:val="20"/>
          <w:lang w:val="en-US" w:eastAsia="zh-CN" w:bidi="ar-SA"/>
        </w:rPr>
        <w:t>的</w:t>
      </w:r>
      <w:r>
        <w:rPr>
          <w:rFonts w:hint="eastAsia" w:ascii="宋体" w:hAnsi="Times New Roman" w:eastAsia="宋体" w:cs="Times New Roman"/>
          <w:kern w:val="0"/>
          <w:sz w:val="21"/>
          <w:szCs w:val="20"/>
          <w:lang w:val="en-US" w:eastAsia="zh-CN" w:bidi="ar-SA"/>
        </w:rPr>
        <w:t>高质量服务，包括吊车的驾驶和操作、吊装和安装过程的协调和监管。这需要吊车技术专家熟练掌握吊车的技术细节和安全规范，包括吊重计算、吊物装置选择、安全标识和信号处理等，确保吊装和搬运过程安全可靠。</w:t>
      </w:r>
    </w:p>
    <w:p>
      <w:pPr>
        <w:numPr>
          <w:ilvl w:val="0"/>
          <w:numId w:val="0"/>
        </w:numPr>
        <w:spacing w:line="360" w:lineRule="auto"/>
        <w:ind w:leftChars="0"/>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kern w:val="2"/>
          <w:sz w:val="21"/>
          <w:szCs w:val="21"/>
          <w:highlight w:val="none"/>
          <w:lang w:val="en-US" w:eastAsia="zh-CN" w:bidi="ar-SA"/>
        </w:rPr>
        <w:t>4.4验收</w:t>
      </w:r>
    </w:p>
    <w:p>
      <w:pPr>
        <w:spacing w:line="360" w:lineRule="auto"/>
        <w:rPr>
          <w:rFonts w:hint="eastAsia"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4.4.1吊装前器材验收</w:t>
      </w:r>
    </w:p>
    <w:p>
      <w:pPr>
        <w:spacing w:line="360" w:lineRule="auto"/>
        <w:rPr>
          <w:rFonts w:hint="default" w:ascii="宋体" w:hAnsi="Times New Roman" w:eastAsia="宋体" w:cs="Times New Roman"/>
          <w:kern w:val="0"/>
          <w:sz w:val="21"/>
          <w:szCs w:val="20"/>
          <w:lang w:val="en-US" w:eastAsia="zh-CN" w:bidi="ar-SA"/>
        </w:rPr>
      </w:pPr>
      <w:r>
        <w:rPr>
          <w:rFonts w:hint="default" w:ascii="宋体" w:hAnsi="Times New Roman" w:eastAsia="宋体" w:cs="Times New Roman"/>
          <w:kern w:val="0"/>
          <w:sz w:val="21"/>
          <w:szCs w:val="20"/>
          <w:lang w:val="en-US" w:eastAsia="zh-CN" w:bidi="ar-SA"/>
        </w:rPr>
        <w:t>吊装器材是吊车吊装施工中重要的组成部分，需要进行仔细的验收，确保器材符合要求，才能保证施工的安全和质量。吊装器材验收主要包括以下内容：</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①</w:t>
      </w:r>
      <w:r>
        <w:rPr>
          <w:rFonts w:hint="default" w:ascii="宋体" w:hAnsi="Times New Roman" w:eastAsia="宋体" w:cs="Times New Roman"/>
          <w:kern w:val="0"/>
          <w:sz w:val="21"/>
          <w:szCs w:val="20"/>
          <w:lang w:val="en-US" w:eastAsia="zh-CN" w:bidi="ar-SA"/>
        </w:rPr>
        <w:t>吊车：检查各部位的零件和液压装置是否完好无损。</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②</w:t>
      </w:r>
      <w:r>
        <w:rPr>
          <w:rFonts w:hint="default" w:ascii="宋体" w:hAnsi="Times New Roman" w:eastAsia="宋体" w:cs="Times New Roman"/>
          <w:kern w:val="0"/>
          <w:sz w:val="21"/>
          <w:szCs w:val="20"/>
          <w:lang w:val="en-US" w:eastAsia="zh-CN" w:bidi="ar-SA"/>
        </w:rPr>
        <w:t>吊装钢丝绳：检查钢丝绳的长度、厚度、材质和捻向等，确保其符合要求。</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③</w:t>
      </w:r>
      <w:r>
        <w:rPr>
          <w:rFonts w:hint="default" w:ascii="宋体" w:hAnsi="Times New Roman" w:eastAsia="宋体" w:cs="Times New Roman"/>
          <w:kern w:val="0"/>
          <w:sz w:val="21"/>
          <w:szCs w:val="20"/>
          <w:lang w:val="en-US" w:eastAsia="zh-CN" w:bidi="ar-SA"/>
        </w:rPr>
        <w:t>吊杆和铰链：检查吊杆和铰链的长度、厚度、材质和强度等，以及铰链的固定方式和连接件的质量。</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④</w:t>
      </w:r>
      <w:r>
        <w:rPr>
          <w:rFonts w:hint="default" w:ascii="宋体" w:hAnsi="Times New Roman" w:eastAsia="宋体" w:cs="Times New Roman"/>
          <w:kern w:val="0"/>
          <w:sz w:val="21"/>
          <w:szCs w:val="20"/>
          <w:lang w:val="en-US" w:eastAsia="zh-CN" w:bidi="ar-SA"/>
        </w:rPr>
        <w:t>吊具和挂具：检查吊具和挂具的规格、强度和质量，以及吊具和挂具的使用寿命是否符合标准。</w:t>
      </w:r>
    </w:p>
    <w:p>
      <w:pPr>
        <w:spacing w:line="360" w:lineRule="auto"/>
        <w:rPr>
          <w:rFonts w:hint="eastAsia"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4.4.2吊装现场验收</w:t>
      </w:r>
    </w:p>
    <w:p>
      <w:pPr>
        <w:spacing w:line="360" w:lineRule="auto"/>
        <w:rPr>
          <w:rFonts w:hint="default" w:ascii="宋体" w:hAnsi="Times New Roman" w:eastAsia="宋体" w:cs="Times New Roman"/>
          <w:kern w:val="0"/>
          <w:sz w:val="21"/>
          <w:szCs w:val="20"/>
          <w:lang w:val="en-US" w:eastAsia="zh-CN" w:bidi="ar-SA"/>
        </w:rPr>
      </w:pPr>
      <w:r>
        <w:rPr>
          <w:rFonts w:hint="default" w:ascii="宋体" w:hAnsi="Times New Roman" w:eastAsia="宋体" w:cs="Times New Roman"/>
          <w:kern w:val="0"/>
          <w:sz w:val="21"/>
          <w:szCs w:val="20"/>
          <w:lang w:val="en-US" w:eastAsia="zh-CN" w:bidi="ar-SA"/>
        </w:rPr>
        <w:t>吊装</w:t>
      </w:r>
      <w:r>
        <w:rPr>
          <w:rFonts w:hint="eastAsia" w:ascii="宋体" w:hAnsi="Times New Roman" w:eastAsia="宋体" w:cs="Times New Roman"/>
          <w:kern w:val="0"/>
          <w:sz w:val="21"/>
          <w:szCs w:val="20"/>
          <w:lang w:val="en-US" w:eastAsia="zh-CN" w:bidi="ar-SA"/>
        </w:rPr>
        <w:t>现场应</w:t>
      </w:r>
      <w:r>
        <w:rPr>
          <w:rFonts w:hint="default" w:ascii="宋体" w:hAnsi="Times New Roman" w:eastAsia="宋体" w:cs="Times New Roman"/>
          <w:kern w:val="0"/>
          <w:sz w:val="21"/>
          <w:szCs w:val="20"/>
          <w:lang w:val="en-US" w:eastAsia="zh-CN" w:bidi="ar-SA"/>
        </w:rPr>
        <w:t>保证吊装操作的安全和顺利进行。吊装方案验收主要包括以下内容：</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①</w:t>
      </w:r>
      <w:r>
        <w:rPr>
          <w:rFonts w:hint="default" w:ascii="宋体" w:hAnsi="Times New Roman" w:eastAsia="宋体" w:cs="Times New Roman"/>
          <w:kern w:val="0"/>
          <w:sz w:val="21"/>
          <w:szCs w:val="20"/>
          <w:lang w:val="en-US" w:eastAsia="zh-CN" w:bidi="ar-SA"/>
        </w:rPr>
        <w:t>吊装条件：检查吊装条件是否符合要求，包括气象条件、施工现场、安全措施等方面。</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②</w:t>
      </w:r>
      <w:r>
        <w:rPr>
          <w:rFonts w:hint="default" w:ascii="宋体" w:hAnsi="Times New Roman" w:eastAsia="宋体" w:cs="Times New Roman"/>
          <w:kern w:val="0"/>
          <w:sz w:val="21"/>
          <w:szCs w:val="20"/>
          <w:lang w:val="en-US" w:eastAsia="zh-CN" w:bidi="ar-SA"/>
        </w:rPr>
        <w:t>吊装顺序：检查吊装顺序是否合理，包括吊装顺序、高度顺序、轴向顺序等方面。</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③</w:t>
      </w:r>
      <w:r>
        <w:rPr>
          <w:rFonts w:hint="default" w:ascii="宋体" w:hAnsi="Times New Roman" w:eastAsia="宋体" w:cs="Times New Roman"/>
          <w:kern w:val="0"/>
          <w:sz w:val="21"/>
          <w:szCs w:val="20"/>
          <w:lang w:val="en-US" w:eastAsia="zh-CN" w:bidi="ar-SA"/>
        </w:rPr>
        <w:t>吊装力：检查吊装力是否符合要求，包括设备重量、吊具重量、吊装高度等方面。</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④</w:t>
      </w:r>
      <w:r>
        <w:rPr>
          <w:rFonts w:hint="default" w:ascii="宋体" w:hAnsi="Times New Roman" w:eastAsia="宋体" w:cs="Times New Roman"/>
          <w:kern w:val="0"/>
          <w:sz w:val="21"/>
          <w:szCs w:val="20"/>
          <w:lang w:val="en-US" w:eastAsia="zh-CN" w:bidi="ar-SA"/>
        </w:rPr>
        <w:t>安全措施：检查安全措施是否全面、有效</w:t>
      </w:r>
      <w:r>
        <w:rPr>
          <w:rFonts w:hint="eastAsia" w:ascii="宋体" w:hAnsi="Times New Roman" w:eastAsia="宋体" w:cs="Times New Roman"/>
          <w:kern w:val="0"/>
          <w:sz w:val="21"/>
          <w:szCs w:val="20"/>
          <w:lang w:val="en-US" w:eastAsia="zh-CN" w:bidi="ar-SA"/>
        </w:rPr>
        <w:t>，</w:t>
      </w:r>
      <w:r>
        <w:rPr>
          <w:rFonts w:hint="default" w:ascii="宋体" w:hAnsi="Times New Roman" w:eastAsia="宋体" w:cs="Times New Roman"/>
          <w:kern w:val="0"/>
          <w:sz w:val="21"/>
          <w:szCs w:val="20"/>
          <w:lang w:val="en-US" w:eastAsia="zh-CN" w:bidi="ar-SA"/>
        </w:rPr>
        <w:t>周围环境的安全措施等。</w:t>
      </w:r>
    </w:p>
    <w:p>
      <w:pPr>
        <w:spacing w:line="360" w:lineRule="auto"/>
        <w:rPr>
          <w:rFonts w:hint="default" w:ascii="宋体" w:hAnsi="Times New Roman" w:eastAsia="宋体" w:cs="Times New Roman"/>
          <w:b/>
          <w:bCs/>
          <w:kern w:val="0"/>
          <w:sz w:val="21"/>
          <w:szCs w:val="20"/>
          <w:lang w:val="en-US" w:eastAsia="zh-CN" w:bidi="ar-SA"/>
        </w:rPr>
      </w:pPr>
      <w:r>
        <w:rPr>
          <w:rFonts w:hint="eastAsia" w:ascii="宋体" w:hAnsi="Times New Roman" w:eastAsia="宋体" w:cs="Times New Roman"/>
          <w:b/>
          <w:bCs/>
          <w:kern w:val="0"/>
          <w:sz w:val="21"/>
          <w:szCs w:val="20"/>
          <w:lang w:val="en-US" w:eastAsia="zh-CN" w:bidi="ar-SA"/>
        </w:rPr>
        <w:t>5.</w:t>
      </w:r>
      <w:r>
        <w:rPr>
          <w:rFonts w:hint="default" w:ascii="宋体" w:hAnsi="Times New Roman" w:eastAsia="宋体" w:cs="Times New Roman"/>
          <w:b/>
          <w:bCs/>
          <w:kern w:val="0"/>
          <w:sz w:val="21"/>
          <w:szCs w:val="20"/>
          <w:lang w:val="en-US" w:eastAsia="zh-CN" w:bidi="ar-SA"/>
        </w:rPr>
        <w:t>其他</w:t>
      </w:r>
    </w:p>
    <w:p>
      <w:pPr>
        <w:spacing w:line="360" w:lineRule="auto"/>
        <w:rPr>
          <w:rFonts w:hint="default" w:ascii="宋体" w:hAnsi="Times New Roman" w:eastAsia="宋体" w:cs="Times New Roman"/>
          <w:kern w:val="0"/>
          <w:sz w:val="21"/>
          <w:szCs w:val="20"/>
          <w:lang w:val="en-US" w:eastAsia="zh-CN" w:bidi="ar-SA"/>
        </w:rPr>
      </w:pPr>
      <w:r>
        <w:rPr>
          <w:rFonts w:hint="default" w:ascii="宋体" w:hAnsi="Times New Roman" w:eastAsia="宋体" w:cs="Times New Roman"/>
          <w:kern w:val="0"/>
          <w:sz w:val="21"/>
          <w:szCs w:val="20"/>
          <w:lang w:val="en-US" w:eastAsia="zh-CN" w:bidi="ar-SA"/>
        </w:rPr>
        <w:t>1、严禁酒后操作</w:t>
      </w:r>
      <w:r>
        <w:rPr>
          <w:rFonts w:hint="eastAsia" w:ascii="宋体" w:hAnsi="Times New Roman" w:eastAsia="宋体" w:cs="Times New Roman"/>
          <w:kern w:val="0"/>
          <w:sz w:val="21"/>
          <w:szCs w:val="20"/>
          <w:lang w:val="en-US" w:eastAsia="zh-CN" w:bidi="ar-SA"/>
        </w:rPr>
        <w:t>；</w:t>
      </w:r>
    </w:p>
    <w:p>
      <w:pPr>
        <w:spacing w:line="360" w:lineRule="auto"/>
        <w:rPr>
          <w:rFonts w:hint="default" w:ascii="宋体" w:hAnsi="Times New Roman" w:eastAsia="宋体" w:cs="Times New Roman"/>
          <w:kern w:val="0"/>
          <w:sz w:val="21"/>
          <w:szCs w:val="20"/>
          <w:lang w:val="en-US" w:eastAsia="zh-CN" w:bidi="ar-SA"/>
        </w:rPr>
      </w:pPr>
      <w:r>
        <w:rPr>
          <w:rFonts w:hint="default" w:ascii="宋体" w:hAnsi="Times New Roman" w:eastAsia="宋体" w:cs="Times New Roman"/>
          <w:kern w:val="0"/>
          <w:sz w:val="21"/>
          <w:szCs w:val="20"/>
          <w:lang w:val="en-US" w:eastAsia="zh-CN" w:bidi="ar-SA"/>
        </w:rPr>
        <w:t>2、按设备维护保养规定做好设备的维护保养工作并保持设备清洁</w:t>
      </w:r>
      <w:r>
        <w:rPr>
          <w:rFonts w:hint="eastAsia" w:ascii="宋体" w:hAnsi="Times New Roman" w:eastAsia="宋体" w:cs="Times New Roman"/>
          <w:kern w:val="0"/>
          <w:sz w:val="21"/>
          <w:szCs w:val="20"/>
          <w:lang w:val="en-US" w:eastAsia="zh-CN" w:bidi="ar-SA"/>
        </w:rPr>
        <w:t>；</w:t>
      </w:r>
    </w:p>
    <w:p>
      <w:pPr>
        <w:spacing w:line="360" w:lineRule="auto"/>
        <w:rPr>
          <w:rFonts w:hint="default" w:ascii="宋体" w:hAnsi="Times New Roman" w:eastAsia="宋体" w:cs="Times New Roman"/>
          <w:kern w:val="0"/>
          <w:sz w:val="21"/>
          <w:szCs w:val="20"/>
          <w:lang w:val="en-US" w:eastAsia="zh-CN" w:bidi="ar-SA"/>
        </w:rPr>
      </w:pPr>
      <w:r>
        <w:rPr>
          <w:rFonts w:hint="default" w:ascii="宋体" w:hAnsi="Times New Roman" w:eastAsia="宋体" w:cs="Times New Roman"/>
          <w:kern w:val="0"/>
          <w:sz w:val="21"/>
          <w:szCs w:val="20"/>
          <w:lang w:val="en-US" w:eastAsia="zh-CN" w:bidi="ar-SA"/>
        </w:rPr>
        <w:t>3、按设备要求的油品型号和数量加油并保证油品清洁</w:t>
      </w:r>
      <w:r>
        <w:rPr>
          <w:rFonts w:hint="eastAsia" w:ascii="宋体" w:hAnsi="Times New Roman" w:eastAsia="宋体" w:cs="Times New Roman"/>
          <w:kern w:val="0"/>
          <w:sz w:val="21"/>
          <w:szCs w:val="20"/>
          <w:lang w:val="en-US" w:eastAsia="zh-CN" w:bidi="ar-SA"/>
        </w:rPr>
        <w:t>；</w:t>
      </w:r>
    </w:p>
    <w:p>
      <w:pPr>
        <w:spacing w:line="360" w:lineRule="auto"/>
        <w:rPr>
          <w:rFonts w:hint="default" w:ascii="宋体" w:hAnsi="Times New Roman" w:eastAsia="宋体" w:cs="Times New Roman"/>
          <w:kern w:val="0"/>
          <w:sz w:val="21"/>
          <w:szCs w:val="20"/>
          <w:lang w:val="en-US" w:eastAsia="zh-CN" w:bidi="ar-SA"/>
        </w:rPr>
      </w:pPr>
      <w:r>
        <w:rPr>
          <w:rFonts w:hint="eastAsia" w:ascii="宋体" w:hAnsi="Times New Roman" w:eastAsia="宋体" w:cs="Times New Roman"/>
          <w:kern w:val="0"/>
          <w:sz w:val="21"/>
          <w:szCs w:val="20"/>
          <w:lang w:val="en-US" w:eastAsia="zh-CN" w:bidi="ar-SA"/>
        </w:rPr>
        <w:t>4、</w:t>
      </w:r>
      <w:r>
        <w:rPr>
          <w:rFonts w:hint="default" w:ascii="宋体" w:hAnsi="Times New Roman" w:eastAsia="宋体" w:cs="Times New Roman"/>
          <w:kern w:val="0"/>
          <w:sz w:val="21"/>
          <w:szCs w:val="20"/>
          <w:lang w:val="en-US" w:eastAsia="zh-CN" w:bidi="ar-SA"/>
        </w:rPr>
        <w:t>设备操作规定、维护保养规定、运转记录和维护保养记录要随设备携带以便随时查阅和记录</w:t>
      </w:r>
      <w:r>
        <w:rPr>
          <w:rFonts w:hint="eastAsia" w:ascii="宋体" w:hAnsi="Times New Roman" w:eastAsia="宋体" w:cs="Times New Roman"/>
          <w:kern w:val="0"/>
          <w:sz w:val="21"/>
          <w:szCs w:val="20"/>
          <w:lang w:val="en-US" w:eastAsia="zh-CN" w:bidi="ar-SA"/>
        </w:rPr>
        <w:t>；</w:t>
      </w:r>
    </w:p>
    <w:p>
      <w:pPr>
        <w:spacing w:line="360" w:lineRule="auto"/>
        <w:rPr>
          <w:rFonts w:hint="default" w:ascii="宋体" w:hAnsi="Times New Roman" w:eastAsia="宋体" w:cs="Times New Roman"/>
          <w:kern w:val="0"/>
          <w:sz w:val="21"/>
          <w:szCs w:val="20"/>
          <w:lang w:val="en-US" w:eastAsia="zh-CN" w:bidi="ar-SA"/>
        </w:rPr>
      </w:pPr>
      <w:r>
        <w:rPr>
          <w:rFonts w:hint="default" w:ascii="宋体" w:hAnsi="Times New Roman" w:eastAsia="宋体" w:cs="Times New Roman"/>
          <w:kern w:val="0"/>
          <w:sz w:val="21"/>
          <w:szCs w:val="20"/>
          <w:lang w:val="en-US" w:eastAsia="zh-CN" w:bidi="ar-SA"/>
        </w:rPr>
        <w:t>5、操作者在岗位变动(包括临时岗位变动)时，都要和岗位接替者按照设备交接管理规定做好设备交接工作。</w:t>
      </w:r>
    </w:p>
    <w:p>
      <w:pPr>
        <w:spacing w:line="360" w:lineRule="auto"/>
        <w:rPr>
          <w:rFonts w:hint="default" w:ascii="宋体" w:hAnsi="Times New Roman" w:eastAsia="宋体" w:cs="Times New Roman"/>
          <w:kern w:val="0"/>
          <w:sz w:val="21"/>
          <w:szCs w:val="20"/>
          <w:lang w:val="en-US" w:eastAsia="zh-CN" w:bidi="ar-SA"/>
        </w:rPr>
      </w:pPr>
      <w:r>
        <w:rPr>
          <w:rFonts w:hint="eastAsia" w:ascii="宋体" w:cs="Times New Roman"/>
          <w:kern w:val="0"/>
          <w:sz w:val="21"/>
          <w:szCs w:val="20"/>
          <w:lang w:val="en-US" w:eastAsia="zh-CN" w:bidi="ar-SA"/>
        </w:rPr>
        <w:t>6</w:t>
      </w:r>
      <w:r>
        <w:rPr>
          <w:rFonts w:hint="default" w:ascii="宋体" w:hAnsi="Times New Roman" w:eastAsia="宋体" w:cs="Times New Roman"/>
          <w:kern w:val="0"/>
          <w:sz w:val="21"/>
          <w:szCs w:val="20"/>
          <w:lang w:val="en-US" w:eastAsia="zh-CN" w:bidi="ar-SA"/>
        </w:rPr>
        <w:t>、</w:t>
      </w:r>
      <w:r>
        <w:rPr>
          <w:rFonts w:hint="eastAsia" w:ascii="宋体" w:cs="Times New Roman"/>
          <w:kern w:val="0"/>
          <w:sz w:val="21"/>
          <w:szCs w:val="20"/>
          <w:lang w:val="en-US" w:eastAsia="zh-CN" w:bidi="ar-SA"/>
        </w:rPr>
        <w:t>特种设备操作人员进入站内工作后应全权听从站内工作负责人指挥，不得误动误碰与工作无关设备，一旦发现人员违规操作或不听从指挥，现场有权更换操作人员</w:t>
      </w:r>
      <w:bookmarkStart w:id="45" w:name="_GoBack"/>
      <w:bookmarkEnd w:id="45"/>
      <w:r>
        <w:rPr>
          <w:rFonts w:hint="default" w:ascii="宋体" w:hAnsi="Times New Roman" w:eastAsia="宋体" w:cs="Times New Roman"/>
          <w:kern w:val="0"/>
          <w:sz w:val="21"/>
          <w:szCs w:val="20"/>
          <w:lang w:val="en-US" w:eastAsia="zh-CN" w:bidi="ar-SA"/>
        </w:rPr>
        <w:t>。</w:t>
      </w:r>
    </w:p>
    <w:p>
      <w:pPr>
        <w:spacing w:line="360" w:lineRule="auto"/>
        <w:rPr>
          <w:rFonts w:hint="default" w:ascii="宋体" w:hAnsi="Times New Roman" w:eastAsia="宋体" w:cs="Times New Roman"/>
          <w:kern w:val="0"/>
          <w:sz w:val="21"/>
          <w:szCs w:val="20"/>
          <w:lang w:val="en-US" w:eastAsia="zh-CN" w:bidi="ar-SA"/>
        </w:rPr>
      </w:pPr>
    </w:p>
    <w:sectPr>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0"/>
      </w:rPr>
    </w:pPr>
    <w:r>
      <w:fldChar w:fldCharType="begin"/>
    </w:r>
    <w:r>
      <w:rPr>
        <w:rStyle w:val="10"/>
      </w:rPr>
      <w:instrText xml:space="preserve">PAGE  </w:instrText>
    </w:r>
    <w:r>
      <w:fldChar w:fldCharType="end"/>
    </w:r>
  </w:p>
  <w:p>
    <w:pPr>
      <w:pStyle w:val="5"/>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87135"/>
    <w:rsid w:val="000C60BB"/>
    <w:rsid w:val="00175BD9"/>
    <w:rsid w:val="002119BB"/>
    <w:rsid w:val="002D3DEB"/>
    <w:rsid w:val="002E103D"/>
    <w:rsid w:val="003B251B"/>
    <w:rsid w:val="00C73BA8"/>
    <w:rsid w:val="00F2425B"/>
    <w:rsid w:val="01063FA6"/>
    <w:rsid w:val="011E57AB"/>
    <w:rsid w:val="013A0CFD"/>
    <w:rsid w:val="018C2693"/>
    <w:rsid w:val="01B95F36"/>
    <w:rsid w:val="01BF6DF6"/>
    <w:rsid w:val="02096CE4"/>
    <w:rsid w:val="02106C88"/>
    <w:rsid w:val="02431700"/>
    <w:rsid w:val="025850A3"/>
    <w:rsid w:val="025906EB"/>
    <w:rsid w:val="0267616F"/>
    <w:rsid w:val="029C28B0"/>
    <w:rsid w:val="02B95D3E"/>
    <w:rsid w:val="02BF3FBF"/>
    <w:rsid w:val="02F216CC"/>
    <w:rsid w:val="031C32ED"/>
    <w:rsid w:val="034855BD"/>
    <w:rsid w:val="0379214E"/>
    <w:rsid w:val="03AB38D2"/>
    <w:rsid w:val="03B52BB2"/>
    <w:rsid w:val="03BA06B0"/>
    <w:rsid w:val="03BE429A"/>
    <w:rsid w:val="0407049A"/>
    <w:rsid w:val="04347595"/>
    <w:rsid w:val="04576A57"/>
    <w:rsid w:val="04774DC7"/>
    <w:rsid w:val="04A65B3B"/>
    <w:rsid w:val="04BC3AFD"/>
    <w:rsid w:val="04BF2CD0"/>
    <w:rsid w:val="04D3194A"/>
    <w:rsid w:val="04D52427"/>
    <w:rsid w:val="04F2458C"/>
    <w:rsid w:val="054045AB"/>
    <w:rsid w:val="05742578"/>
    <w:rsid w:val="05887562"/>
    <w:rsid w:val="05B50167"/>
    <w:rsid w:val="05EB2152"/>
    <w:rsid w:val="061B543B"/>
    <w:rsid w:val="063A2E72"/>
    <w:rsid w:val="06486829"/>
    <w:rsid w:val="064D7F48"/>
    <w:rsid w:val="06B342E3"/>
    <w:rsid w:val="06EA548E"/>
    <w:rsid w:val="0702184A"/>
    <w:rsid w:val="07026236"/>
    <w:rsid w:val="070808BC"/>
    <w:rsid w:val="07347AFD"/>
    <w:rsid w:val="079C726E"/>
    <w:rsid w:val="07AA53FE"/>
    <w:rsid w:val="07C40D13"/>
    <w:rsid w:val="07D11DEE"/>
    <w:rsid w:val="07FB1208"/>
    <w:rsid w:val="08125E0B"/>
    <w:rsid w:val="082C70FC"/>
    <w:rsid w:val="083A391D"/>
    <w:rsid w:val="084E0CB1"/>
    <w:rsid w:val="08505746"/>
    <w:rsid w:val="08796E99"/>
    <w:rsid w:val="08803E0D"/>
    <w:rsid w:val="08815531"/>
    <w:rsid w:val="08A16EF6"/>
    <w:rsid w:val="08DA6656"/>
    <w:rsid w:val="08E27D9B"/>
    <w:rsid w:val="08F02790"/>
    <w:rsid w:val="08F2137F"/>
    <w:rsid w:val="09183B11"/>
    <w:rsid w:val="091E6D0B"/>
    <w:rsid w:val="09537C87"/>
    <w:rsid w:val="09D251DB"/>
    <w:rsid w:val="09E90A9D"/>
    <w:rsid w:val="09E9731B"/>
    <w:rsid w:val="0A083C21"/>
    <w:rsid w:val="0A2647F2"/>
    <w:rsid w:val="0A54114F"/>
    <w:rsid w:val="0A6B328E"/>
    <w:rsid w:val="0A9A372A"/>
    <w:rsid w:val="0AB356BE"/>
    <w:rsid w:val="0AB573E3"/>
    <w:rsid w:val="0AB72E5F"/>
    <w:rsid w:val="0AC64740"/>
    <w:rsid w:val="0AEE7487"/>
    <w:rsid w:val="0AF71130"/>
    <w:rsid w:val="0B0E43D6"/>
    <w:rsid w:val="0B15212A"/>
    <w:rsid w:val="0B2946B1"/>
    <w:rsid w:val="0B42082F"/>
    <w:rsid w:val="0B862825"/>
    <w:rsid w:val="0B9A2FDB"/>
    <w:rsid w:val="0BA438DA"/>
    <w:rsid w:val="0BDE2087"/>
    <w:rsid w:val="0C2B0BC5"/>
    <w:rsid w:val="0C410CD1"/>
    <w:rsid w:val="0C603D35"/>
    <w:rsid w:val="0CF761D9"/>
    <w:rsid w:val="0D031D8D"/>
    <w:rsid w:val="0D140A1F"/>
    <w:rsid w:val="0D3F44BB"/>
    <w:rsid w:val="0D4E6BF4"/>
    <w:rsid w:val="0D515015"/>
    <w:rsid w:val="0D53198F"/>
    <w:rsid w:val="0D5B4741"/>
    <w:rsid w:val="0D694770"/>
    <w:rsid w:val="0D7D3C4E"/>
    <w:rsid w:val="0D8D64C0"/>
    <w:rsid w:val="0DB92AA7"/>
    <w:rsid w:val="0DE965DD"/>
    <w:rsid w:val="0DEF4E85"/>
    <w:rsid w:val="0DFD741A"/>
    <w:rsid w:val="0E160995"/>
    <w:rsid w:val="0E187A4A"/>
    <w:rsid w:val="0E396B70"/>
    <w:rsid w:val="0E804E7B"/>
    <w:rsid w:val="0EAB7A74"/>
    <w:rsid w:val="0EBC4BEA"/>
    <w:rsid w:val="0EC42CA7"/>
    <w:rsid w:val="0EC77533"/>
    <w:rsid w:val="0F0D63DE"/>
    <w:rsid w:val="0F147222"/>
    <w:rsid w:val="0F33697C"/>
    <w:rsid w:val="0FF55FDD"/>
    <w:rsid w:val="100C6AB6"/>
    <w:rsid w:val="102051EE"/>
    <w:rsid w:val="10221797"/>
    <w:rsid w:val="102B6E04"/>
    <w:rsid w:val="103F3C8D"/>
    <w:rsid w:val="10605C6B"/>
    <w:rsid w:val="108B6BC6"/>
    <w:rsid w:val="10972725"/>
    <w:rsid w:val="109A2E27"/>
    <w:rsid w:val="10F61265"/>
    <w:rsid w:val="112E4B46"/>
    <w:rsid w:val="11481F54"/>
    <w:rsid w:val="114B3984"/>
    <w:rsid w:val="115C7499"/>
    <w:rsid w:val="11D74DA7"/>
    <w:rsid w:val="11ED28CD"/>
    <w:rsid w:val="11F03357"/>
    <w:rsid w:val="11FF2FF3"/>
    <w:rsid w:val="1202520B"/>
    <w:rsid w:val="121001E0"/>
    <w:rsid w:val="122A4BDA"/>
    <w:rsid w:val="123B0F73"/>
    <w:rsid w:val="125D2D90"/>
    <w:rsid w:val="12723018"/>
    <w:rsid w:val="12A409F0"/>
    <w:rsid w:val="12C81442"/>
    <w:rsid w:val="12CB43C8"/>
    <w:rsid w:val="12DC4DDD"/>
    <w:rsid w:val="12EE5F82"/>
    <w:rsid w:val="132B0D25"/>
    <w:rsid w:val="1353014D"/>
    <w:rsid w:val="14231402"/>
    <w:rsid w:val="146F1BC6"/>
    <w:rsid w:val="14957EC9"/>
    <w:rsid w:val="14A81930"/>
    <w:rsid w:val="14DC10C5"/>
    <w:rsid w:val="14DD670C"/>
    <w:rsid w:val="15163B21"/>
    <w:rsid w:val="1532766B"/>
    <w:rsid w:val="15673D1E"/>
    <w:rsid w:val="157079BA"/>
    <w:rsid w:val="15732FEA"/>
    <w:rsid w:val="158533C2"/>
    <w:rsid w:val="15E35B63"/>
    <w:rsid w:val="15F361ED"/>
    <w:rsid w:val="15FE68B0"/>
    <w:rsid w:val="1605776E"/>
    <w:rsid w:val="16095113"/>
    <w:rsid w:val="16272FD8"/>
    <w:rsid w:val="164A7F3C"/>
    <w:rsid w:val="164E42F6"/>
    <w:rsid w:val="165A5D30"/>
    <w:rsid w:val="166A085D"/>
    <w:rsid w:val="16767B19"/>
    <w:rsid w:val="170F1351"/>
    <w:rsid w:val="175C4B1B"/>
    <w:rsid w:val="17632EF8"/>
    <w:rsid w:val="17C427C7"/>
    <w:rsid w:val="17EB5FD9"/>
    <w:rsid w:val="18036E8A"/>
    <w:rsid w:val="18085151"/>
    <w:rsid w:val="180F4374"/>
    <w:rsid w:val="182302EC"/>
    <w:rsid w:val="183857A0"/>
    <w:rsid w:val="18406063"/>
    <w:rsid w:val="18473CD5"/>
    <w:rsid w:val="185402B7"/>
    <w:rsid w:val="185F1AC8"/>
    <w:rsid w:val="1860402F"/>
    <w:rsid w:val="18691437"/>
    <w:rsid w:val="1871050D"/>
    <w:rsid w:val="18761A47"/>
    <w:rsid w:val="188C7283"/>
    <w:rsid w:val="18C12E1C"/>
    <w:rsid w:val="18C53D81"/>
    <w:rsid w:val="18FF7ADD"/>
    <w:rsid w:val="19400E26"/>
    <w:rsid w:val="19577F95"/>
    <w:rsid w:val="195E5BB1"/>
    <w:rsid w:val="19646B9D"/>
    <w:rsid w:val="199832CF"/>
    <w:rsid w:val="19B55A6D"/>
    <w:rsid w:val="19D02F08"/>
    <w:rsid w:val="19DA0759"/>
    <w:rsid w:val="1A2C1077"/>
    <w:rsid w:val="1A330B95"/>
    <w:rsid w:val="1A403B74"/>
    <w:rsid w:val="1A5B7D18"/>
    <w:rsid w:val="1A5C14FC"/>
    <w:rsid w:val="1A916EAB"/>
    <w:rsid w:val="1A9C0403"/>
    <w:rsid w:val="1AF8523E"/>
    <w:rsid w:val="1B481BEB"/>
    <w:rsid w:val="1B5074C0"/>
    <w:rsid w:val="1B87622E"/>
    <w:rsid w:val="1B9B13E9"/>
    <w:rsid w:val="1BB42E00"/>
    <w:rsid w:val="1BCB6D30"/>
    <w:rsid w:val="1BFC4AEB"/>
    <w:rsid w:val="1C03148C"/>
    <w:rsid w:val="1C3F02FC"/>
    <w:rsid w:val="1C470EDA"/>
    <w:rsid w:val="1C626051"/>
    <w:rsid w:val="1C863B63"/>
    <w:rsid w:val="1CD319C3"/>
    <w:rsid w:val="1CEB44BF"/>
    <w:rsid w:val="1D166330"/>
    <w:rsid w:val="1D1948C7"/>
    <w:rsid w:val="1D397BB9"/>
    <w:rsid w:val="1D462390"/>
    <w:rsid w:val="1D512C4D"/>
    <w:rsid w:val="1D610F78"/>
    <w:rsid w:val="1D790492"/>
    <w:rsid w:val="1DD9072A"/>
    <w:rsid w:val="1DDC7260"/>
    <w:rsid w:val="1E2E68C8"/>
    <w:rsid w:val="1E3A7D54"/>
    <w:rsid w:val="1E7C7B1C"/>
    <w:rsid w:val="1E98662C"/>
    <w:rsid w:val="1EB86A20"/>
    <w:rsid w:val="1EEA49BB"/>
    <w:rsid w:val="1EFF502F"/>
    <w:rsid w:val="1F0C01E6"/>
    <w:rsid w:val="1F2C4DD2"/>
    <w:rsid w:val="1F45729E"/>
    <w:rsid w:val="1F684768"/>
    <w:rsid w:val="1F890AD2"/>
    <w:rsid w:val="1F9A3FE1"/>
    <w:rsid w:val="1FCD483B"/>
    <w:rsid w:val="1FCD6E40"/>
    <w:rsid w:val="1FE11306"/>
    <w:rsid w:val="1FEF1DDA"/>
    <w:rsid w:val="1FF173E4"/>
    <w:rsid w:val="20175506"/>
    <w:rsid w:val="20335E1B"/>
    <w:rsid w:val="207F6D4C"/>
    <w:rsid w:val="208F56E6"/>
    <w:rsid w:val="20AA45C6"/>
    <w:rsid w:val="20B04A35"/>
    <w:rsid w:val="20C01385"/>
    <w:rsid w:val="20C309F6"/>
    <w:rsid w:val="20ED1288"/>
    <w:rsid w:val="21063CD8"/>
    <w:rsid w:val="210D1A55"/>
    <w:rsid w:val="210E19DD"/>
    <w:rsid w:val="21271435"/>
    <w:rsid w:val="2139183F"/>
    <w:rsid w:val="214E069A"/>
    <w:rsid w:val="21641983"/>
    <w:rsid w:val="216E07DD"/>
    <w:rsid w:val="21714A43"/>
    <w:rsid w:val="218F6B44"/>
    <w:rsid w:val="220417AA"/>
    <w:rsid w:val="220F7CAD"/>
    <w:rsid w:val="223B688A"/>
    <w:rsid w:val="22677698"/>
    <w:rsid w:val="226E5FEC"/>
    <w:rsid w:val="22AB1531"/>
    <w:rsid w:val="22BF41E7"/>
    <w:rsid w:val="22E330E7"/>
    <w:rsid w:val="22FA51E6"/>
    <w:rsid w:val="231F3CF8"/>
    <w:rsid w:val="233E379E"/>
    <w:rsid w:val="234E0FC0"/>
    <w:rsid w:val="23516881"/>
    <w:rsid w:val="23A10B25"/>
    <w:rsid w:val="23BC1B4F"/>
    <w:rsid w:val="246D6BB0"/>
    <w:rsid w:val="247A4D84"/>
    <w:rsid w:val="24862E5E"/>
    <w:rsid w:val="24A80ED1"/>
    <w:rsid w:val="24C84B52"/>
    <w:rsid w:val="24CB38A4"/>
    <w:rsid w:val="24DD100E"/>
    <w:rsid w:val="2511456B"/>
    <w:rsid w:val="2537668D"/>
    <w:rsid w:val="256D4B40"/>
    <w:rsid w:val="256F32ED"/>
    <w:rsid w:val="25981E5F"/>
    <w:rsid w:val="25A02B34"/>
    <w:rsid w:val="25B013AA"/>
    <w:rsid w:val="25C352FB"/>
    <w:rsid w:val="25F31D6E"/>
    <w:rsid w:val="25F61511"/>
    <w:rsid w:val="25F6589B"/>
    <w:rsid w:val="261418DB"/>
    <w:rsid w:val="262B400F"/>
    <w:rsid w:val="266C7937"/>
    <w:rsid w:val="267A6902"/>
    <w:rsid w:val="26AF3BDE"/>
    <w:rsid w:val="26C93FC9"/>
    <w:rsid w:val="26D64B02"/>
    <w:rsid w:val="26D952A1"/>
    <w:rsid w:val="270A1B68"/>
    <w:rsid w:val="2711257A"/>
    <w:rsid w:val="27165463"/>
    <w:rsid w:val="273449E4"/>
    <w:rsid w:val="273749CF"/>
    <w:rsid w:val="276E100B"/>
    <w:rsid w:val="276E722F"/>
    <w:rsid w:val="278000C1"/>
    <w:rsid w:val="27861E06"/>
    <w:rsid w:val="278B0EB6"/>
    <w:rsid w:val="27915CD3"/>
    <w:rsid w:val="27B524C4"/>
    <w:rsid w:val="27D03F9A"/>
    <w:rsid w:val="27EA4B3E"/>
    <w:rsid w:val="281743F6"/>
    <w:rsid w:val="281D3BF5"/>
    <w:rsid w:val="28451C46"/>
    <w:rsid w:val="285C1E10"/>
    <w:rsid w:val="28BC5C4D"/>
    <w:rsid w:val="28E872B8"/>
    <w:rsid w:val="28F923CC"/>
    <w:rsid w:val="29326812"/>
    <w:rsid w:val="29751207"/>
    <w:rsid w:val="29862DD6"/>
    <w:rsid w:val="29973FA3"/>
    <w:rsid w:val="29AD2974"/>
    <w:rsid w:val="29BC25FB"/>
    <w:rsid w:val="29C01662"/>
    <w:rsid w:val="29C51C33"/>
    <w:rsid w:val="29D626D5"/>
    <w:rsid w:val="2A1E1184"/>
    <w:rsid w:val="2A6158D3"/>
    <w:rsid w:val="2A740A64"/>
    <w:rsid w:val="2AB92B7C"/>
    <w:rsid w:val="2ABF54CC"/>
    <w:rsid w:val="2B041773"/>
    <w:rsid w:val="2B3332A0"/>
    <w:rsid w:val="2B3C7E99"/>
    <w:rsid w:val="2B4B7A2F"/>
    <w:rsid w:val="2B4D1D04"/>
    <w:rsid w:val="2B8E2D92"/>
    <w:rsid w:val="2BD63537"/>
    <w:rsid w:val="2BD75CB2"/>
    <w:rsid w:val="2BE5227E"/>
    <w:rsid w:val="2BFA645E"/>
    <w:rsid w:val="2C08137E"/>
    <w:rsid w:val="2C1A1CBE"/>
    <w:rsid w:val="2C282502"/>
    <w:rsid w:val="2C545943"/>
    <w:rsid w:val="2C9C4D52"/>
    <w:rsid w:val="2CA3571A"/>
    <w:rsid w:val="2CE27D2F"/>
    <w:rsid w:val="2D057A28"/>
    <w:rsid w:val="2D174729"/>
    <w:rsid w:val="2D1C7BED"/>
    <w:rsid w:val="2D814275"/>
    <w:rsid w:val="2D901C80"/>
    <w:rsid w:val="2D903C65"/>
    <w:rsid w:val="2DD9041F"/>
    <w:rsid w:val="2DE566A2"/>
    <w:rsid w:val="2DF67C66"/>
    <w:rsid w:val="2E00568F"/>
    <w:rsid w:val="2EA1785D"/>
    <w:rsid w:val="2F085721"/>
    <w:rsid w:val="2F1361F0"/>
    <w:rsid w:val="2F3177B1"/>
    <w:rsid w:val="2F4F0FF6"/>
    <w:rsid w:val="2F506887"/>
    <w:rsid w:val="2F597461"/>
    <w:rsid w:val="2F630799"/>
    <w:rsid w:val="2F7D49D0"/>
    <w:rsid w:val="2F856774"/>
    <w:rsid w:val="2F931115"/>
    <w:rsid w:val="2FBB7EAE"/>
    <w:rsid w:val="2FBE5A82"/>
    <w:rsid w:val="2FC42D41"/>
    <w:rsid w:val="2FDA3BA8"/>
    <w:rsid w:val="30024B4F"/>
    <w:rsid w:val="300F23C9"/>
    <w:rsid w:val="30632ED7"/>
    <w:rsid w:val="307653BD"/>
    <w:rsid w:val="30930E37"/>
    <w:rsid w:val="30C44A34"/>
    <w:rsid w:val="30D1015C"/>
    <w:rsid w:val="30F34145"/>
    <w:rsid w:val="312531A8"/>
    <w:rsid w:val="3142410D"/>
    <w:rsid w:val="314547C4"/>
    <w:rsid w:val="31531918"/>
    <w:rsid w:val="315C3192"/>
    <w:rsid w:val="316235B4"/>
    <w:rsid w:val="31940811"/>
    <w:rsid w:val="31CD6EC1"/>
    <w:rsid w:val="31D426C2"/>
    <w:rsid w:val="321D789F"/>
    <w:rsid w:val="322B238B"/>
    <w:rsid w:val="323378AF"/>
    <w:rsid w:val="32E11C4B"/>
    <w:rsid w:val="330324DE"/>
    <w:rsid w:val="334067C3"/>
    <w:rsid w:val="336C787C"/>
    <w:rsid w:val="33C86299"/>
    <w:rsid w:val="3431150F"/>
    <w:rsid w:val="347B103D"/>
    <w:rsid w:val="34B845F0"/>
    <w:rsid w:val="34C9202D"/>
    <w:rsid w:val="34CE1D19"/>
    <w:rsid w:val="34D11D8A"/>
    <w:rsid w:val="34E8052E"/>
    <w:rsid w:val="34EF6337"/>
    <w:rsid w:val="350E51BB"/>
    <w:rsid w:val="355834C6"/>
    <w:rsid w:val="35673F59"/>
    <w:rsid w:val="359164B9"/>
    <w:rsid w:val="3594687B"/>
    <w:rsid w:val="359E325C"/>
    <w:rsid w:val="35F30879"/>
    <w:rsid w:val="3641644D"/>
    <w:rsid w:val="36497611"/>
    <w:rsid w:val="365D5BBE"/>
    <w:rsid w:val="36602487"/>
    <w:rsid w:val="366B3ADA"/>
    <w:rsid w:val="36C62835"/>
    <w:rsid w:val="36CC2CDE"/>
    <w:rsid w:val="36EF55F3"/>
    <w:rsid w:val="36F56BE4"/>
    <w:rsid w:val="37203BC4"/>
    <w:rsid w:val="372822D1"/>
    <w:rsid w:val="37460288"/>
    <w:rsid w:val="374E7583"/>
    <w:rsid w:val="37720B61"/>
    <w:rsid w:val="378835C2"/>
    <w:rsid w:val="379045C2"/>
    <w:rsid w:val="37AF70A3"/>
    <w:rsid w:val="37B82000"/>
    <w:rsid w:val="383B4D64"/>
    <w:rsid w:val="38452B82"/>
    <w:rsid w:val="3847446B"/>
    <w:rsid w:val="3852084A"/>
    <w:rsid w:val="38567493"/>
    <w:rsid w:val="3863051C"/>
    <w:rsid w:val="386843D6"/>
    <w:rsid w:val="386F085F"/>
    <w:rsid w:val="387B34B6"/>
    <w:rsid w:val="388A286C"/>
    <w:rsid w:val="38CD78AD"/>
    <w:rsid w:val="38D7586F"/>
    <w:rsid w:val="390E3032"/>
    <w:rsid w:val="39162FC5"/>
    <w:rsid w:val="39594A68"/>
    <w:rsid w:val="397C0F56"/>
    <w:rsid w:val="397F55AF"/>
    <w:rsid w:val="398642E6"/>
    <w:rsid w:val="398B1C12"/>
    <w:rsid w:val="39CF3E87"/>
    <w:rsid w:val="39E90DDB"/>
    <w:rsid w:val="39ED5336"/>
    <w:rsid w:val="39F20083"/>
    <w:rsid w:val="3A3055D2"/>
    <w:rsid w:val="3A344F55"/>
    <w:rsid w:val="3A4E2FE8"/>
    <w:rsid w:val="3A4F03C6"/>
    <w:rsid w:val="3A6D2768"/>
    <w:rsid w:val="3A9014A9"/>
    <w:rsid w:val="3AB55884"/>
    <w:rsid w:val="3AEC20DA"/>
    <w:rsid w:val="3B0D10B7"/>
    <w:rsid w:val="3B103E8C"/>
    <w:rsid w:val="3B733A16"/>
    <w:rsid w:val="3B7E12D2"/>
    <w:rsid w:val="3B935D93"/>
    <w:rsid w:val="3BDF2F90"/>
    <w:rsid w:val="3C0270F4"/>
    <w:rsid w:val="3C103EE5"/>
    <w:rsid w:val="3C1E3759"/>
    <w:rsid w:val="3C3825B6"/>
    <w:rsid w:val="3C4967A9"/>
    <w:rsid w:val="3C4E6D67"/>
    <w:rsid w:val="3C5930C4"/>
    <w:rsid w:val="3C6825BC"/>
    <w:rsid w:val="3C812FBB"/>
    <w:rsid w:val="3C85126B"/>
    <w:rsid w:val="3C9F0F85"/>
    <w:rsid w:val="3CA663CE"/>
    <w:rsid w:val="3CAB4C3A"/>
    <w:rsid w:val="3CBE1A42"/>
    <w:rsid w:val="3CD01CD1"/>
    <w:rsid w:val="3CD678C0"/>
    <w:rsid w:val="3CDD5657"/>
    <w:rsid w:val="3CDE2F0E"/>
    <w:rsid w:val="3CE94653"/>
    <w:rsid w:val="3CEC0929"/>
    <w:rsid w:val="3CED0D28"/>
    <w:rsid w:val="3CFA62BE"/>
    <w:rsid w:val="3CFF6E26"/>
    <w:rsid w:val="3D093273"/>
    <w:rsid w:val="3D420CAF"/>
    <w:rsid w:val="3D4E70FF"/>
    <w:rsid w:val="3D7A5508"/>
    <w:rsid w:val="3DBA423C"/>
    <w:rsid w:val="3DC27A5F"/>
    <w:rsid w:val="3DC45395"/>
    <w:rsid w:val="3DC525DA"/>
    <w:rsid w:val="3DCE2CB8"/>
    <w:rsid w:val="3DD14C48"/>
    <w:rsid w:val="3DF530FD"/>
    <w:rsid w:val="3E1E0FB4"/>
    <w:rsid w:val="3E514F82"/>
    <w:rsid w:val="3E5D43FD"/>
    <w:rsid w:val="3E632AE7"/>
    <w:rsid w:val="3E660A56"/>
    <w:rsid w:val="3E697A36"/>
    <w:rsid w:val="3E98534F"/>
    <w:rsid w:val="3EA50AB4"/>
    <w:rsid w:val="3EB40EE5"/>
    <w:rsid w:val="3EBB0751"/>
    <w:rsid w:val="3F413095"/>
    <w:rsid w:val="3F68774C"/>
    <w:rsid w:val="3FA8591C"/>
    <w:rsid w:val="3FC37956"/>
    <w:rsid w:val="3FE3228B"/>
    <w:rsid w:val="3FF07B44"/>
    <w:rsid w:val="40583145"/>
    <w:rsid w:val="405956C6"/>
    <w:rsid w:val="40642A12"/>
    <w:rsid w:val="40812D2A"/>
    <w:rsid w:val="40D36E09"/>
    <w:rsid w:val="40E61C49"/>
    <w:rsid w:val="40F12813"/>
    <w:rsid w:val="410B4D71"/>
    <w:rsid w:val="41136CDA"/>
    <w:rsid w:val="4125109D"/>
    <w:rsid w:val="41385945"/>
    <w:rsid w:val="4143657F"/>
    <w:rsid w:val="416F76DA"/>
    <w:rsid w:val="41E6426F"/>
    <w:rsid w:val="421C211D"/>
    <w:rsid w:val="423249BE"/>
    <w:rsid w:val="426A5D93"/>
    <w:rsid w:val="42715674"/>
    <w:rsid w:val="42752A18"/>
    <w:rsid w:val="42A307EA"/>
    <w:rsid w:val="42C61CEC"/>
    <w:rsid w:val="42D869A0"/>
    <w:rsid w:val="42DC2884"/>
    <w:rsid w:val="42EF1F7C"/>
    <w:rsid w:val="4325051D"/>
    <w:rsid w:val="43704C93"/>
    <w:rsid w:val="437C454A"/>
    <w:rsid w:val="43925E83"/>
    <w:rsid w:val="439C4827"/>
    <w:rsid w:val="43C963B8"/>
    <w:rsid w:val="441956EA"/>
    <w:rsid w:val="441B5254"/>
    <w:rsid w:val="44361648"/>
    <w:rsid w:val="444E2004"/>
    <w:rsid w:val="44661765"/>
    <w:rsid w:val="44946EAC"/>
    <w:rsid w:val="44B664AB"/>
    <w:rsid w:val="44C84698"/>
    <w:rsid w:val="44C87DFE"/>
    <w:rsid w:val="44D55446"/>
    <w:rsid w:val="44FE4223"/>
    <w:rsid w:val="45256D7E"/>
    <w:rsid w:val="45737763"/>
    <w:rsid w:val="45776422"/>
    <w:rsid w:val="457E5086"/>
    <w:rsid w:val="458374E8"/>
    <w:rsid w:val="45906749"/>
    <w:rsid w:val="45AE6287"/>
    <w:rsid w:val="45AE6315"/>
    <w:rsid w:val="45CF5669"/>
    <w:rsid w:val="45E56B16"/>
    <w:rsid w:val="45F24722"/>
    <w:rsid w:val="45F66658"/>
    <w:rsid w:val="461871BC"/>
    <w:rsid w:val="463E077D"/>
    <w:rsid w:val="466021FF"/>
    <w:rsid w:val="46994D6F"/>
    <w:rsid w:val="46AF2CBB"/>
    <w:rsid w:val="46BB584B"/>
    <w:rsid w:val="46E56A67"/>
    <w:rsid w:val="46F00684"/>
    <w:rsid w:val="46F74123"/>
    <w:rsid w:val="471127A4"/>
    <w:rsid w:val="471979A7"/>
    <w:rsid w:val="475D44F8"/>
    <w:rsid w:val="47601CAF"/>
    <w:rsid w:val="47702DA9"/>
    <w:rsid w:val="48245F57"/>
    <w:rsid w:val="482D55EF"/>
    <w:rsid w:val="48442480"/>
    <w:rsid w:val="48514CA1"/>
    <w:rsid w:val="48612A1F"/>
    <w:rsid w:val="487A4662"/>
    <w:rsid w:val="48912A0C"/>
    <w:rsid w:val="48A20BA8"/>
    <w:rsid w:val="48BB3BE7"/>
    <w:rsid w:val="48DB228F"/>
    <w:rsid w:val="48F23D50"/>
    <w:rsid w:val="48FE1E5E"/>
    <w:rsid w:val="48FE5425"/>
    <w:rsid w:val="491A1CAE"/>
    <w:rsid w:val="492C0917"/>
    <w:rsid w:val="494B302D"/>
    <w:rsid w:val="49C407B3"/>
    <w:rsid w:val="49CD4949"/>
    <w:rsid w:val="49E44B1C"/>
    <w:rsid w:val="49F25069"/>
    <w:rsid w:val="4A006536"/>
    <w:rsid w:val="4A0879B2"/>
    <w:rsid w:val="4A116B2B"/>
    <w:rsid w:val="4A1D58F2"/>
    <w:rsid w:val="4A244192"/>
    <w:rsid w:val="4A4B725E"/>
    <w:rsid w:val="4A536B07"/>
    <w:rsid w:val="4A767863"/>
    <w:rsid w:val="4A770BF8"/>
    <w:rsid w:val="4A9903A8"/>
    <w:rsid w:val="4AC81168"/>
    <w:rsid w:val="4B5057F1"/>
    <w:rsid w:val="4B517747"/>
    <w:rsid w:val="4BD231B4"/>
    <w:rsid w:val="4BE21971"/>
    <w:rsid w:val="4BEE533D"/>
    <w:rsid w:val="4BF13328"/>
    <w:rsid w:val="4C2B1178"/>
    <w:rsid w:val="4C44600C"/>
    <w:rsid w:val="4C4B08A0"/>
    <w:rsid w:val="4C5350C9"/>
    <w:rsid w:val="4C5B5467"/>
    <w:rsid w:val="4C6B49E8"/>
    <w:rsid w:val="4CB35512"/>
    <w:rsid w:val="4DF4181F"/>
    <w:rsid w:val="4E2075F0"/>
    <w:rsid w:val="4E3F0B77"/>
    <w:rsid w:val="4EDE0516"/>
    <w:rsid w:val="4F9C58B8"/>
    <w:rsid w:val="4FB15061"/>
    <w:rsid w:val="4FBA0225"/>
    <w:rsid w:val="4FC26F96"/>
    <w:rsid w:val="4FFA5944"/>
    <w:rsid w:val="502D0577"/>
    <w:rsid w:val="503E6071"/>
    <w:rsid w:val="50417322"/>
    <w:rsid w:val="507C6E2B"/>
    <w:rsid w:val="50970183"/>
    <w:rsid w:val="50C6454E"/>
    <w:rsid w:val="50DE45AE"/>
    <w:rsid w:val="50E23A25"/>
    <w:rsid w:val="50E75F69"/>
    <w:rsid w:val="50EA3A41"/>
    <w:rsid w:val="50F75FBF"/>
    <w:rsid w:val="5104202D"/>
    <w:rsid w:val="51082BCC"/>
    <w:rsid w:val="511D0CD8"/>
    <w:rsid w:val="513A7953"/>
    <w:rsid w:val="515A423F"/>
    <w:rsid w:val="515E5CEF"/>
    <w:rsid w:val="51827A12"/>
    <w:rsid w:val="519E2364"/>
    <w:rsid w:val="51F575DF"/>
    <w:rsid w:val="5203441B"/>
    <w:rsid w:val="521C23AF"/>
    <w:rsid w:val="522F1F24"/>
    <w:rsid w:val="524B6481"/>
    <w:rsid w:val="526A41FC"/>
    <w:rsid w:val="52783511"/>
    <w:rsid w:val="527E2786"/>
    <w:rsid w:val="52903ABE"/>
    <w:rsid w:val="52922B51"/>
    <w:rsid w:val="529A7DCE"/>
    <w:rsid w:val="52B967B6"/>
    <w:rsid w:val="53315140"/>
    <w:rsid w:val="533E792C"/>
    <w:rsid w:val="53714C92"/>
    <w:rsid w:val="537824CB"/>
    <w:rsid w:val="537F04F1"/>
    <w:rsid w:val="53AA3DBD"/>
    <w:rsid w:val="53E06CB4"/>
    <w:rsid w:val="54432E25"/>
    <w:rsid w:val="5491156F"/>
    <w:rsid w:val="549321E5"/>
    <w:rsid w:val="54C20ECA"/>
    <w:rsid w:val="54C71877"/>
    <w:rsid w:val="54D16760"/>
    <w:rsid w:val="552C2DCC"/>
    <w:rsid w:val="553F47E2"/>
    <w:rsid w:val="55816D84"/>
    <w:rsid w:val="55A0308A"/>
    <w:rsid w:val="55AA6975"/>
    <w:rsid w:val="55DD4B1A"/>
    <w:rsid w:val="55E36AE5"/>
    <w:rsid w:val="55F44089"/>
    <w:rsid w:val="560A5EEB"/>
    <w:rsid w:val="56254C55"/>
    <w:rsid w:val="567566AD"/>
    <w:rsid w:val="567D36F8"/>
    <w:rsid w:val="56C7517F"/>
    <w:rsid w:val="56E97E5D"/>
    <w:rsid w:val="56EB2A48"/>
    <w:rsid w:val="57360267"/>
    <w:rsid w:val="57657A74"/>
    <w:rsid w:val="57682C44"/>
    <w:rsid w:val="578741B9"/>
    <w:rsid w:val="57966B35"/>
    <w:rsid w:val="57B25A18"/>
    <w:rsid w:val="57C93E75"/>
    <w:rsid w:val="57CB4F26"/>
    <w:rsid w:val="57D04921"/>
    <w:rsid w:val="57E74102"/>
    <w:rsid w:val="57E87135"/>
    <w:rsid w:val="57F55ADD"/>
    <w:rsid w:val="580B06DA"/>
    <w:rsid w:val="580E5A6E"/>
    <w:rsid w:val="5863773F"/>
    <w:rsid w:val="587C70DE"/>
    <w:rsid w:val="58AE41E9"/>
    <w:rsid w:val="58C245E8"/>
    <w:rsid w:val="59067A38"/>
    <w:rsid w:val="59162DF8"/>
    <w:rsid w:val="593468DA"/>
    <w:rsid w:val="598D5345"/>
    <w:rsid w:val="59B23A98"/>
    <w:rsid w:val="59B43BCA"/>
    <w:rsid w:val="59C93CD7"/>
    <w:rsid w:val="59D979CB"/>
    <w:rsid w:val="59E41C54"/>
    <w:rsid w:val="5A027A6A"/>
    <w:rsid w:val="5A0D4298"/>
    <w:rsid w:val="5A266856"/>
    <w:rsid w:val="5A4E4737"/>
    <w:rsid w:val="5A750733"/>
    <w:rsid w:val="5A7644F7"/>
    <w:rsid w:val="5A964ED5"/>
    <w:rsid w:val="5AB6358B"/>
    <w:rsid w:val="5AC05B4D"/>
    <w:rsid w:val="5ACE047F"/>
    <w:rsid w:val="5AF03ED0"/>
    <w:rsid w:val="5AF2089F"/>
    <w:rsid w:val="5B5024A5"/>
    <w:rsid w:val="5B821B28"/>
    <w:rsid w:val="5B8701F8"/>
    <w:rsid w:val="5BCF51AD"/>
    <w:rsid w:val="5BE8677F"/>
    <w:rsid w:val="5C126285"/>
    <w:rsid w:val="5C7653A1"/>
    <w:rsid w:val="5CA01C99"/>
    <w:rsid w:val="5D274E36"/>
    <w:rsid w:val="5D3F4523"/>
    <w:rsid w:val="5DA74F7A"/>
    <w:rsid w:val="5DAC12B7"/>
    <w:rsid w:val="5DAF0C50"/>
    <w:rsid w:val="5DC23321"/>
    <w:rsid w:val="5DF34CFF"/>
    <w:rsid w:val="5E1D1259"/>
    <w:rsid w:val="5E253D03"/>
    <w:rsid w:val="5E2C242E"/>
    <w:rsid w:val="5E7357F1"/>
    <w:rsid w:val="5E7E5CDE"/>
    <w:rsid w:val="5E7F5D7B"/>
    <w:rsid w:val="5E814123"/>
    <w:rsid w:val="5E8E4BAB"/>
    <w:rsid w:val="5EEC0D64"/>
    <w:rsid w:val="5EFA6349"/>
    <w:rsid w:val="5F70534E"/>
    <w:rsid w:val="5F751EE0"/>
    <w:rsid w:val="5FA167C2"/>
    <w:rsid w:val="5FB73D99"/>
    <w:rsid w:val="5FDE0B73"/>
    <w:rsid w:val="600806FC"/>
    <w:rsid w:val="6009785B"/>
    <w:rsid w:val="60220973"/>
    <w:rsid w:val="6026614D"/>
    <w:rsid w:val="6037456E"/>
    <w:rsid w:val="60446A97"/>
    <w:rsid w:val="606E3A26"/>
    <w:rsid w:val="60784231"/>
    <w:rsid w:val="607C1968"/>
    <w:rsid w:val="60D53B57"/>
    <w:rsid w:val="60EE2C41"/>
    <w:rsid w:val="60F96715"/>
    <w:rsid w:val="610C240E"/>
    <w:rsid w:val="61227EAA"/>
    <w:rsid w:val="6185018C"/>
    <w:rsid w:val="618F72CB"/>
    <w:rsid w:val="61B3388A"/>
    <w:rsid w:val="61F63920"/>
    <w:rsid w:val="62090A76"/>
    <w:rsid w:val="62747AC0"/>
    <w:rsid w:val="62C54959"/>
    <w:rsid w:val="62EF0FE2"/>
    <w:rsid w:val="631B7254"/>
    <w:rsid w:val="634560D1"/>
    <w:rsid w:val="635E7E17"/>
    <w:rsid w:val="636606C5"/>
    <w:rsid w:val="63735DD2"/>
    <w:rsid w:val="63C75114"/>
    <w:rsid w:val="63E57AE8"/>
    <w:rsid w:val="64131673"/>
    <w:rsid w:val="64355561"/>
    <w:rsid w:val="646E66DC"/>
    <w:rsid w:val="648D64E4"/>
    <w:rsid w:val="64CA59F2"/>
    <w:rsid w:val="64D31A55"/>
    <w:rsid w:val="64E46FBB"/>
    <w:rsid w:val="64FF3A52"/>
    <w:rsid w:val="6537621C"/>
    <w:rsid w:val="656B0E3A"/>
    <w:rsid w:val="65722963"/>
    <w:rsid w:val="657F57DA"/>
    <w:rsid w:val="65DA6150"/>
    <w:rsid w:val="66106F69"/>
    <w:rsid w:val="661C619C"/>
    <w:rsid w:val="6622011B"/>
    <w:rsid w:val="66303484"/>
    <w:rsid w:val="66393520"/>
    <w:rsid w:val="66434215"/>
    <w:rsid w:val="66536820"/>
    <w:rsid w:val="66551277"/>
    <w:rsid w:val="66745E16"/>
    <w:rsid w:val="66B24342"/>
    <w:rsid w:val="66ED68A1"/>
    <w:rsid w:val="66F7719C"/>
    <w:rsid w:val="66FF0134"/>
    <w:rsid w:val="674D541B"/>
    <w:rsid w:val="67AD2F9F"/>
    <w:rsid w:val="67FC5D47"/>
    <w:rsid w:val="67FF152A"/>
    <w:rsid w:val="68170F5E"/>
    <w:rsid w:val="68362935"/>
    <w:rsid w:val="68515546"/>
    <w:rsid w:val="686077D3"/>
    <w:rsid w:val="686D7F38"/>
    <w:rsid w:val="68792611"/>
    <w:rsid w:val="688F4DEE"/>
    <w:rsid w:val="68BD4EF8"/>
    <w:rsid w:val="68EB2E91"/>
    <w:rsid w:val="68FC6F28"/>
    <w:rsid w:val="6908597A"/>
    <w:rsid w:val="693B107B"/>
    <w:rsid w:val="694931FA"/>
    <w:rsid w:val="69710D51"/>
    <w:rsid w:val="6988248C"/>
    <w:rsid w:val="69917E6F"/>
    <w:rsid w:val="69A77BCD"/>
    <w:rsid w:val="69B26C4C"/>
    <w:rsid w:val="69BA7327"/>
    <w:rsid w:val="69D85833"/>
    <w:rsid w:val="69D86197"/>
    <w:rsid w:val="69E22797"/>
    <w:rsid w:val="6A1716D7"/>
    <w:rsid w:val="6A255C40"/>
    <w:rsid w:val="6A256568"/>
    <w:rsid w:val="6A2C03CD"/>
    <w:rsid w:val="6A55331B"/>
    <w:rsid w:val="6A5F4338"/>
    <w:rsid w:val="6AC81A68"/>
    <w:rsid w:val="6AE05E9F"/>
    <w:rsid w:val="6B524DB8"/>
    <w:rsid w:val="6BA45BFC"/>
    <w:rsid w:val="6BB40816"/>
    <w:rsid w:val="6BBD1116"/>
    <w:rsid w:val="6BD8351F"/>
    <w:rsid w:val="6BF430DA"/>
    <w:rsid w:val="6C0A2FA2"/>
    <w:rsid w:val="6C35691E"/>
    <w:rsid w:val="6C3E70C3"/>
    <w:rsid w:val="6C53282B"/>
    <w:rsid w:val="6C55498F"/>
    <w:rsid w:val="6C5608ED"/>
    <w:rsid w:val="6C6373F9"/>
    <w:rsid w:val="6C7A16C2"/>
    <w:rsid w:val="6CA216CE"/>
    <w:rsid w:val="6CB64A19"/>
    <w:rsid w:val="6CC8766B"/>
    <w:rsid w:val="6CEC506E"/>
    <w:rsid w:val="6D0713F9"/>
    <w:rsid w:val="6D4F7601"/>
    <w:rsid w:val="6D623F1D"/>
    <w:rsid w:val="6D6B22F0"/>
    <w:rsid w:val="6D843F88"/>
    <w:rsid w:val="6D972616"/>
    <w:rsid w:val="6DB9616E"/>
    <w:rsid w:val="6DC60A4E"/>
    <w:rsid w:val="6DEA65E3"/>
    <w:rsid w:val="6DFE57BC"/>
    <w:rsid w:val="6E0823EC"/>
    <w:rsid w:val="6E2D497E"/>
    <w:rsid w:val="6E5E7D45"/>
    <w:rsid w:val="6EA957DC"/>
    <w:rsid w:val="6EB013B4"/>
    <w:rsid w:val="6EB81E40"/>
    <w:rsid w:val="6EDC2B18"/>
    <w:rsid w:val="6EE06A50"/>
    <w:rsid w:val="6F145FE6"/>
    <w:rsid w:val="6F2229E5"/>
    <w:rsid w:val="6F265F9B"/>
    <w:rsid w:val="6F451458"/>
    <w:rsid w:val="6F4653EA"/>
    <w:rsid w:val="6F7073F9"/>
    <w:rsid w:val="6F803E9E"/>
    <w:rsid w:val="6F882569"/>
    <w:rsid w:val="6F886F1A"/>
    <w:rsid w:val="6F977B51"/>
    <w:rsid w:val="6FB91F6F"/>
    <w:rsid w:val="6FD878B3"/>
    <w:rsid w:val="6FF63464"/>
    <w:rsid w:val="6FF92572"/>
    <w:rsid w:val="6FFA6072"/>
    <w:rsid w:val="70166A76"/>
    <w:rsid w:val="7021421A"/>
    <w:rsid w:val="702D567D"/>
    <w:rsid w:val="70622DCC"/>
    <w:rsid w:val="706B4A9C"/>
    <w:rsid w:val="707967B1"/>
    <w:rsid w:val="70933F1F"/>
    <w:rsid w:val="7094159F"/>
    <w:rsid w:val="70A5619F"/>
    <w:rsid w:val="70A567D8"/>
    <w:rsid w:val="710E5602"/>
    <w:rsid w:val="71287486"/>
    <w:rsid w:val="713F0060"/>
    <w:rsid w:val="71436E0B"/>
    <w:rsid w:val="715050A9"/>
    <w:rsid w:val="715E5BEF"/>
    <w:rsid w:val="718A6D4A"/>
    <w:rsid w:val="71A70B5C"/>
    <w:rsid w:val="71C52116"/>
    <w:rsid w:val="71DB4190"/>
    <w:rsid w:val="71EC54A2"/>
    <w:rsid w:val="71F90010"/>
    <w:rsid w:val="724A5BC0"/>
    <w:rsid w:val="725B7BDD"/>
    <w:rsid w:val="728D18E6"/>
    <w:rsid w:val="729E416A"/>
    <w:rsid w:val="729F2938"/>
    <w:rsid w:val="72B36C76"/>
    <w:rsid w:val="72BC029C"/>
    <w:rsid w:val="72E83DC4"/>
    <w:rsid w:val="73077967"/>
    <w:rsid w:val="73092230"/>
    <w:rsid w:val="73122DCA"/>
    <w:rsid w:val="732C7D13"/>
    <w:rsid w:val="73524AD8"/>
    <w:rsid w:val="73BB2C51"/>
    <w:rsid w:val="73D246AB"/>
    <w:rsid w:val="73F04858"/>
    <w:rsid w:val="74211301"/>
    <w:rsid w:val="742771E3"/>
    <w:rsid w:val="742B0EF6"/>
    <w:rsid w:val="74462EE3"/>
    <w:rsid w:val="74575772"/>
    <w:rsid w:val="745A3D79"/>
    <w:rsid w:val="74981844"/>
    <w:rsid w:val="74A64904"/>
    <w:rsid w:val="74B8022B"/>
    <w:rsid w:val="74C72866"/>
    <w:rsid w:val="74F63BF5"/>
    <w:rsid w:val="74F71AB2"/>
    <w:rsid w:val="74FF2BB7"/>
    <w:rsid w:val="7532507E"/>
    <w:rsid w:val="753276D3"/>
    <w:rsid w:val="7573793C"/>
    <w:rsid w:val="75795B8B"/>
    <w:rsid w:val="75896E09"/>
    <w:rsid w:val="758A50F5"/>
    <w:rsid w:val="75D75411"/>
    <w:rsid w:val="760A3BAC"/>
    <w:rsid w:val="76353747"/>
    <w:rsid w:val="76615B69"/>
    <w:rsid w:val="76796850"/>
    <w:rsid w:val="769355D8"/>
    <w:rsid w:val="76A85DF0"/>
    <w:rsid w:val="76C22B7B"/>
    <w:rsid w:val="76D16D23"/>
    <w:rsid w:val="76FA210E"/>
    <w:rsid w:val="76FE0E0E"/>
    <w:rsid w:val="773533DB"/>
    <w:rsid w:val="775A17BE"/>
    <w:rsid w:val="77784420"/>
    <w:rsid w:val="778C7E4B"/>
    <w:rsid w:val="77A86E7D"/>
    <w:rsid w:val="77D80E2A"/>
    <w:rsid w:val="77DE6A08"/>
    <w:rsid w:val="78367B8A"/>
    <w:rsid w:val="78374DC0"/>
    <w:rsid w:val="784903F9"/>
    <w:rsid w:val="784D5E24"/>
    <w:rsid w:val="78685C19"/>
    <w:rsid w:val="78BB78DF"/>
    <w:rsid w:val="78D53C91"/>
    <w:rsid w:val="78D56577"/>
    <w:rsid w:val="79062F35"/>
    <w:rsid w:val="792C494B"/>
    <w:rsid w:val="7930434C"/>
    <w:rsid w:val="793E5831"/>
    <w:rsid w:val="799739D9"/>
    <w:rsid w:val="799979E0"/>
    <w:rsid w:val="79FA7BBB"/>
    <w:rsid w:val="7A291B62"/>
    <w:rsid w:val="7A4B101A"/>
    <w:rsid w:val="7A8E780B"/>
    <w:rsid w:val="7A9173E0"/>
    <w:rsid w:val="7A9448F3"/>
    <w:rsid w:val="7A9B7600"/>
    <w:rsid w:val="7AA5551A"/>
    <w:rsid w:val="7AB97B54"/>
    <w:rsid w:val="7AF52D15"/>
    <w:rsid w:val="7B5171B7"/>
    <w:rsid w:val="7B7B0937"/>
    <w:rsid w:val="7B9F3B9A"/>
    <w:rsid w:val="7BD56526"/>
    <w:rsid w:val="7BDF145B"/>
    <w:rsid w:val="7BF72901"/>
    <w:rsid w:val="7BFF71D8"/>
    <w:rsid w:val="7C0548E9"/>
    <w:rsid w:val="7C172101"/>
    <w:rsid w:val="7C197C2B"/>
    <w:rsid w:val="7C387BDB"/>
    <w:rsid w:val="7C3B0975"/>
    <w:rsid w:val="7C596091"/>
    <w:rsid w:val="7C7A3259"/>
    <w:rsid w:val="7C8E37E7"/>
    <w:rsid w:val="7D180564"/>
    <w:rsid w:val="7D3736EB"/>
    <w:rsid w:val="7D6244C3"/>
    <w:rsid w:val="7D6F21DD"/>
    <w:rsid w:val="7D701E09"/>
    <w:rsid w:val="7D7E34BE"/>
    <w:rsid w:val="7DBC2739"/>
    <w:rsid w:val="7DBF32E2"/>
    <w:rsid w:val="7DDA5D65"/>
    <w:rsid w:val="7DFC50D4"/>
    <w:rsid w:val="7E18199F"/>
    <w:rsid w:val="7E32414E"/>
    <w:rsid w:val="7E4A0805"/>
    <w:rsid w:val="7EA24EC3"/>
    <w:rsid w:val="7EB202E6"/>
    <w:rsid w:val="7ED52E20"/>
    <w:rsid w:val="7EF07916"/>
    <w:rsid w:val="7F1B65FF"/>
    <w:rsid w:val="7F293D64"/>
    <w:rsid w:val="7F801F1B"/>
    <w:rsid w:val="7F8A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Plain Text"/>
    <w:basedOn w:val="1"/>
    <w:semiHidden/>
    <w:qFormat/>
    <w:uiPriority w:val="0"/>
    <w:rPr>
      <w:rFonts w:ascii="宋体" w:hAnsi="Courier New" w:cs="Courier New"/>
      <w:szCs w:val="21"/>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character" w:styleId="10">
    <w:name w:val="page number"/>
    <w:basedOn w:val="9"/>
    <w:qFormat/>
    <w:uiPriority w:val="0"/>
  </w:style>
  <w:style w:type="paragraph" w:customStyle="1" w:styleId="11">
    <w:name w:val="正文格式"/>
    <w:basedOn w:val="1"/>
    <w:qFormat/>
    <w:uiPriority w:val="0"/>
    <w:pPr>
      <w:topLinePunct/>
      <w:ind w:firstLine="420" w:firstLineChars="200"/>
    </w:pPr>
    <w:rPr>
      <w:rFonts w:ascii="宋体" w:hAnsi="宋体"/>
      <w:bCs/>
      <w:szCs w:val="21"/>
    </w:rPr>
  </w:style>
  <w:style w:type="character" w:customStyle="1" w:styleId="12">
    <w:name w:val="fontstyle01"/>
    <w:basedOn w:val="9"/>
    <w:qFormat/>
    <w:uiPriority w:val="0"/>
    <w:rPr>
      <w:rFonts w:ascii="宋体" w:hAnsi="宋体" w:eastAsia="宋体" w:cs="宋体"/>
      <w:color w:val="000000"/>
      <w:sz w:val="24"/>
      <w:szCs w:val="24"/>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 w:type="paragraph" w:customStyle="1" w:styleId="15">
    <w:name w:val="2z"/>
    <w:basedOn w:val="16"/>
    <w:qFormat/>
    <w:uiPriority w:val="0"/>
    <w:pPr>
      <w:spacing w:line="480" w:lineRule="auto"/>
    </w:pPr>
  </w:style>
  <w:style w:type="paragraph" w:customStyle="1" w:styleId="16">
    <w:name w:val="附录二"/>
    <w:basedOn w:val="4"/>
    <w:semiHidden/>
    <w:qFormat/>
    <w:uiPriority w:val="0"/>
    <w:pPr>
      <w:spacing w:line="312" w:lineRule="exact"/>
    </w:pPr>
    <w:rPr>
      <w:rFonts w:ascii="EU-F1" w:hAnsi="Times New Roman" w:eastAsia="黑体" w:cs="Times New Roman"/>
      <w:kern w:val="21"/>
    </w:rPr>
  </w:style>
  <w:style w:type="paragraph" w:customStyle="1" w:styleId="17">
    <w:name w:val="3z"/>
    <w:basedOn w:val="16"/>
    <w:qFormat/>
    <w:uiPriority w:val="0"/>
    <w:rPr>
      <w:kern w:val="2"/>
    </w:rPr>
  </w:style>
  <w:style w:type="character" w:customStyle="1" w:styleId="18">
    <w:name w:val="F1 Char"/>
    <w:link w:val="19"/>
    <w:qFormat/>
    <w:uiPriority w:val="0"/>
    <w:rPr>
      <w:kern w:val="2"/>
    </w:rPr>
  </w:style>
  <w:style w:type="paragraph" w:customStyle="1" w:styleId="19">
    <w:name w:val="F1"/>
    <w:basedOn w:val="16"/>
    <w:link w:val="18"/>
    <w:qFormat/>
    <w:uiPriority w:val="0"/>
    <w:pPr>
      <w:topLinePunct/>
    </w:pPr>
    <w:rPr>
      <w:kern w:val="2"/>
    </w:rPr>
  </w:style>
  <w:style w:type="paragraph" w:customStyle="1" w:styleId="20">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2799b6d-bb01-46a6-8846-10dc46013b06}"/>
        <w:style w:val=""/>
        <w:category>
          <w:name w:val="常规"/>
          <w:gallery w:val="placeholder"/>
        </w:category>
        <w:types>
          <w:type w:val="bbPlcHdr"/>
        </w:types>
        <w:behaviors>
          <w:behavior w:val="content"/>
        </w:behaviors>
        <w:description w:val=""/>
        <w:guid w:val="{92799b6d-bb01-46a6-8846-10dc46013b06}"/>
      </w:docPartPr>
      <w:docPartBody>
        <w:p>
          <w:r>
            <w:rPr>
              <w:color w:val="808080"/>
            </w:rPr>
            <w:t>单击此处输入文字。</w:t>
          </w:r>
        </w:p>
      </w:docPartBody>
    </w:docPart>
    <w:docPart>
      <w:docPartPr>
        <w:name w:val="{85621f2a-5020-4188-bbe9-dde3156398a1}"/>
        <w:style w:val=""/>
        <w:category>
          <w:name w:val="常规"/>
          <w:gallery w:val="placeholder"/>
        </w:category>
        <w:types>
          <w:type w:val="bbPlcHdr"/>
        </w:types>
        <w:behaviors>
          <w:behavior w:val="content"/>
        </w:behaviors>
        <w:description w:val=""/>
        <w:guid w:val="{85621f2a-5020-4188-bbe9-dde3156398a1}"/>
      </w:docPartPr>
      <w:docPartBody>
        <w:p>
          <w:r>
            <w:rPr>
              <w:color w:val="808080"/>
            </w:rPr>
            <w:t>单击此处输入文字。</w:t>
          </w:r>
        </w:p>
      </w:docPartBody>
    </w:docPart>
    <w:docPart>
      <w:docPartPr>
        <w:name w:val="{69976f9c-a02f-4b7a-857c-4d010063a5ea}"/>
        <w:style w:val=""/>
        <w:category>
          <w:name w:val="常规"/>
          <w:gallery w:val="placeholder"/>
        </w:category>
        <w:types>
          <w:type w:val="bbPlcHdr"/>
        </w:types>
        <w:behaviors>
          <w:behavior w:val="content"/>
        </w:behaviors>
        <w:description w:val=""/>
        <w:guid w:val="{69976f9c-a02f-4b7a-857c-4d010063a5ea}"/>
      </w:docPartPr>
      <w:docPartBody>
        <w:p>
          <w:r>
            <w:rPr>
              <w:color w:val="808080"/>
            </w:rPr>
            <w:t>单击此处输入文字。</w:t>
          </w:r>
        </w:p>
      </w:docPartBody>
    </w:docPart>
    <w:docPart>
      <w:docPartPr>
        <w:name w:val="{572f5e4f-100e-46d5-85e1-288877a36738}"/>
        <w:style w:val=""/>
        <w:category>
          <w:name w:val="常规"/>
          <w:gallery w:val="placeholder"/>
        </w:category>
        <w:types>
          <w:type w:val="bbPlcHdr"/>
        </w:types>
        <w:behaviors>
          <w:behavior w:val="content"/>
        </w:behaviors>
        <w:description w:val=""/>
        <w:guid w:val="{572f5e4f-100e-46d5-85e1-288877a36738}"/>
      </w:docPartPr>
      <w:docPartBody>
        <w:p>
          <w:r>
            <w:rPr>
              <w:color w:val="808080"/>
            </w:rPr>
            <w:t>单击此处输入文字。</w:t>
          </w:r>
        </w:p>
      </w:docPartBody>
    </w:docPart>
    <w:docPart>
      <w:docPartPr>
        <w:name w:val="{18db1acb-0299-47e4-82ad-fd933b254dbb}"/>
        <w:style w:val=""/>
        <w:category>
          <w:name w:val="常规"/>
          <w:gallery w:val="placeholder"/>
        </w:category>
        <w:types>
          <w:type w:val="bbPlcHdr"/>
        </w:types>
        <w:behaviors>
          <w:behavior w:val="content"/>
        </w:behaviors>
        <w:description w:val=""/>
        <w:guid w:val="{18db1acb-0299-47e4-82ad-fd933b254dbb}"/>
      </w:docPartPr>
      <w:docPartBody>
        <w:p>
          <w:r>
            <w:rPr>
              <w:color w:val="808080"/>
            </w:rPr>
            <w:t>单击此处输入文字。</w:t>
          </w:r>
        </w:p>
      </w:docPartBody>
    </w:docPart>
    <w:docPart>
      <w:docPartPr>
        <w:name w:val="{d655dd11-cbd4-4c3e-9832-9bd07193fe1b}"/>
        <w:style w:val=""/>
        <w:category>
          <w:name w:val="常规"/>
          <w:gallery w:val="placeholder"/>
        </w:category>
        <w:types>
          <w:type w:val="bbPlcHdr"/>
        </w:types>
        <w:behaviors>
          <w:behavior w:val="content"/>
        </w:behaviors>
        <w:description w:val=""/>
        <w:guid w:val="{d655dd11-cbd4-4c3e-9832-9bd07193fe1b}"/>
      </w:docPartPr>
      <w:docPartBody>
        <w:p>
          <w:r>
            <w:rPr>
              <w:color w:val="808080"/>
            </w:rPr>
            <w:t>单击此处输入文字。</w:t>
          </w:r>
        </w:p>
      </w:docPartBody>
    </w:docPart>
    <w:docPart>
      <w:docPartPr>
        <w:name w:val="{a57c55c0-43a1-4fb8-8649-ccd983973a19}"/>
        <w:style w:val=""/>
        <w:category>
          <w:name w:val="常规"/>
          <w:gallery w:val="placeholder"/>
        </w:category>
        <w:types>
          <w:type w:val="bbPlcHdr"/>
        </w:types>
        <w:behaviors>
          <w:behavior w:val="content"/>
        </w:behaviors>
        <w:description w:val=""/>
        <w:guid w:val="{a57c55c0-43a1-4fb8-8649-ccd983973a19}"/>
      </w:docPartPr>
      <w:docPartBody>
        <w:p>
          <w:r>
            <w:rPr>
              <w:color w:val="808080"/>
            </w:rPr>
            <w:t>单击此处输入文字。</w:t>
          </w:r>
        </w:p>
      </w:docPartBody>
    </w:docPart>
    <w:docPart>
      <w:docPartPr>
        <w:name w:val="{8fc20e22-2bdc-4127-817e-49cf45177426}"/>
        <w:style w:val=""/>
        <w:category>
          <w:name w:val="常规"/>
          <w:gallery w:val="placeholder"/>
        </w:category>
        <w:types>
          <w:type w:val="bbPlcHdr"/>
        </w:types>
        <w:behaviors>
          <w:behavior w:val="content"/>
        </w:behaviors>
        <w:description w:val=""/>
        <w:guid w:val="{8fc20e22-2bdc-4127-817e-49cf45177426}"/>
      </w:docPartPr>
      <w:docPartBody>
        <w:p>
          <w:r>
            <w:rPr>
              <w:color w:val="808080"/>
            </w:rPr>
            <w:t>单击此处输入文字。</w:t>
          </w:r>
        </w:p>
      </w:docPartBody>
    </w:docPart>
    <w:docPart>
      <w:docPartPr>
        <w:name w:val="{49deb65a-b7b2-40d5-b2a4-e3d24140f5a4}"/>
        <w:style w:val=""/>
        <w:category>
          <w:name w:val="常规"/>
          <w:gallery w:val="placeholder"/>
        </w:category>
        <w:types>
          <w:type w:val="bbPlcHdr"/>
        </w:types>
        <w:behaviors>
          <w:behavior w:val="content"/>
        </w:behaviors>
        <w:description w:val=""/>
        <w:guid w:val="{49deb65a-b7b2-40d5-b2a4-e3d24140f5a4}"/>
      </w:docPartPr>
      <w:docPartBody>
        <w:p>
          <w:r>
            <w:rPr>
              <w:color w:val="808080"/>
            </w:rPr>
            <w:t>单击此处输入文字。</w:t>
          </w:r>
        </w:p>
      </w:docPartBody>
    </w:docPart>
    <w:docPart>
      <w:docPartPr>
        <w:name w:val="{8cab3144-a20e-4ce9-97e5-d19abf59f536}"/>
        <w:style w:val=""/>
        <w:category>
          <w:name w:val="常规"/>
          <w:gallery w:val="placeholder"/>
        </w:category>
        <w:types>
          <w:type w:val="bbPlcHdr"/>
        </w:types>
        <w:behaviors>
          <w:behavior w:val="content"/>
        </w:behaviors>
        <w:description w:val=""/>
        <w:guid w:val="{8cab3144-a20e-4ce9-97e5-d19abf59f536}"/>
      </w:docPartPr>
      <w:docPartBody>
        <w:p>
          <w:r>
            <w:rPr>
              <w:color w:val="808080"/>
            </w:rPr>
            <w:t>单击此处输入文字。</w:t>
          </w:r>
        </w:p>
      </w:docPartBody>
    </w:docPart>
    <w:docPart>
      <w:docPartPr>
        <w:name w:val="{e3699f96-aa72-4f4c-ab76-014e291f3d90}"/>
        <w:style w:val=""/>
        <w:category>
          <w:name w:val="常规"/>
          <w:gallery w:val="placeholder"/>
        </w:category>
        <w:types>
          <w:type w:val="bbPlcHdr"/>
        </w:types>
        <w:behaviors>
          <w:behavior w:val="content"/>
        </w:behaviors>
        <w:description w:val=""/>
        <w:guid w:val="{e3699f96-aa72-4f4c-ab76-014e291f3d9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2023-04-25T02:25:00Z</dcterms:created>
  <dc:creator>DJS</dc:creator>
  <cp:lastModifiedBy>7冬</cp:lastModifiedBy>
  <dcterms:modified xsi:type="dcterms:W3CDTF">2024-08-16T13:28:54Z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8ABBCAC548C0435BB192A336DA545D33</vt:lpwstr>
  </property>
</Properties>
</file>