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240" w:lineRule="auto"/>
        <w:rPr>
          <w:rFonts w:ascii="黑体" w:hAnsi="黑体" w:eastAsia="黑体"/>
          <w:b/>
          <w:i w:val="0"/>
        </w:rPr>
      </w:pPr>
      <w:bookmarkStart w:id="0" w:name="_GoBack"/>
      <w:bookmarkEnd w:id="0"/>
      <w:r>
        <w:rPr>
          <w:rFonts w:hint="eastAsia" w:ascii="黑体" w:hAnsi="黑体" w:eastAsia="黑体"/>
          <w:b/>
          <w:i w:val="0"/>
        </w:rPr>
        <w:t>广东电网能源投资有限公司东莞理工学院松山湖有序用电改造项目技术要求</w:t>
      </w:r>
    </w:p>
    <w:p>
      <w:pPr>
        <w:numPr>
          <w:ilvl w:val="0"/>
          <w:numId w:val="1"/>
        </w:numPr>
        <w:spacing w:before="0" w:beforeAutospacing="0" w:after="0" w:afterAutospacing="0" w:line="560" w:lineRule="exact"/>
        <w:ind w:leftChars="0" w:rightChars="0" w:firstLine="640" w:firstLineChars="200"/>
        <w:rPr>
          <w:rFonts w:hint="eastAsia" w:ascii="仿宋" w:hAnsi="仿宋" w:eastAsia="仿宋"/>
          <w:b w:val="0"/>
          <w:i w:val="0"/>
          <w:sz w:val="32"/>
          <w:szCs w:val="32"/>
        </w:rPr>
      </w:pPr>
      <w:r>
        <w:rPr>
          <w:rFonts w:hint="eastAsia" w:ascii="华文楷体" w:hAnsi="华文楷体" w:eastAsia="华文楷体" w:cs="微软雅黑"/>
          <w:b w:val="0"/>
          <w:i w:val="0"/>
          <w:sz w:val="32"/>
          <w:szCs w:val="32"/>
        </w:rPr>
        <w:t>项目</w:t>
      </w:r>
      <w:r>
        <w:rPr>
          <w:rFonts w:hint="eastAsia" w:ascii="华文楷体" w:hAnsi="华文楷体" w:eastAsia="华文楷体" w:cs="微软雅黑"/>
          <w:b w:val="0"/>
          <w:i w:val="0"/>
          <w:sz w:val="32"/>
          <w:szCs w:val="32"/>
          <w:lang w:val="en-US" w:eastAsia="zh-CN"/>
        </w:rPr>
        <w:t>背景</w:t>
      </w:r>
    </w:p>
    <w:p>
      <w:pPr>
        <w:numPr>
          <w:ilvl w:val="0"/>
          <w:numId w:val="0"/>
        </w:numPr>
        <w:spacing w:before="0" w:beforeAutospacing="0" w:after="0" w:afterAutospacing="0" w:line="560" w:lineRule="exact"/>
        <w:ind w:firstLine="640"/>
        <w:rPr>
          <w:rFonts w:hint="eastAsia" w:ascii="仿宋" w:hAnsi="仿宋" w:eastAsia="仿宋"/>
          <w:b w:val="0"/>
          <w:i w:val="0"/>
          <w:sz w:val="32"/>
          <w:szCs w:val="32"/>
        </w:rPr>
      </w:pPr>
      <w:r>
        <w:rPr>
          <w:rFonts w:hint="eastAsia" w:ascii="仿宋" w:hAnsi="仿宋" w:eastAsia="仿宋"/>
          <w:b w:val="0"/>
          <w:i w:val="0"/>
          <w:sz w:val="32"/>
          <w:szCs w:val="32"/>
        </w:rPr>
        <w:t>随着新能源产业的快速发展，电动汽车的普及和使用频率在增加，基于原有的电网配置基础，存在不满足用电需求或箱变扩容的情况；如果多个电动汽车同时进行充电，容易造成用电负荷过载等问题，因此需要有序充电方案来合理分配充电资源，提高充电效率和安全性，同时避免对电网造成负担。为了保证用电安全，有序充电方案需要具备秒级响应能力，有序安排电动汽车充电时序和充电功率，实现低谷、错峰充电。</w:t>
      </w:r>
    </w:p>
    <w:p>
      <w:pPr>
        <w:numPr>
          <w:ilvl w:val="0"/>
          <w:numId w:val="0"/>
        </w:numPr>
        <w:spacing w:before="0" w:beforeAutospacing="0" w:after="0" w:afterAutospacing="0" w:line="560" w:lineRule="exact"/>
        <w:ind w:firstLine="640"/>
        <w:rPr>
          <w:rFonts w:ascii="仿宋" w:hAnsi="仿宋" w:eastAsia="仿宋"/>
          <w:b w:val="0"/>
          <w:i w:val="0"/>
          <w:sz w:val="32"/>
          <w:szCs w:val="32"/>
        </w:rPr>
      </w:pPr>
      <w:r>
        <w:rPr>
          <w:rFonts w:hint="eastAsia" w:ascii="仿宋" w:hAnsi="仿宋" w:eastAsia="仿宋"/>
          <w:b w:val="0"/>
          <w:i w:val="0"/>
          <w:sz w:val="32"/>
          <w:szCs w:val="32"/>
        </w:rPr>
        <w:t>同时，基于广东</w:t>
      </w:r>
      <w:r>
        <w:rPr>
          <w:rFonts w:hint="eastAsia" w:ascii="仿宋" w:hAnsi="仿宋" w:eastAsia="仿宋"/>
          <w:b w:val="0"/>
          <w:i w:val="0"/>
          <w:sz w:val="32"/>
          <w:szCs w:val="32"/>
          <w:lang w:val="en-US" w:eastAsia="zh-CN"/>
        </w:rPr>
        <w:t>电网能源投资有线</w:t>
      </w:r>
      <w:r>
        <w:rPr>
          <w:rFonts w:hint="eastAsia" w:ascii="仿宋" w:hAnsi="仿宋" w:eastAsia="仿宋"/>
          <w:b w:val="0"/>
          <w:i w:val="0"/>
          <w:sz w:val="32"/>
          <w:szCs w:val="32"/>
        </w:rPr>
        <w:t>公司需求和上述问题，提出有序充电方案。</w:t>
      </w:r>
    </w:p>
    <w:p>
      <w:pPr>
        <w:numPr>
          <w:ilvl w:val="0"/>
          <w:numId w:val="0"/>
        </w:numPr>
        <w:spacing w:before="0" w:beforeAutospacing="0" w:after="0" w:afterAutospacing="0" w:line="560" w:lineRule="exact"/>
        <w:rPr>
          <w:rFonts w:ascii="仿宋" w:hAnsi="仿宋" w:eastAsia="仿宋"/>
          <w:b w:val="0"/>
          <w:i w:val="0"/>
          <w:sz w:val="32"/>
          <w:szCs w:val="32"/>
        </w:rPr>
      </w:pPr>
    </w:p>
    <w:p>
      <w:pPr>
        <w:numPr>
          <w:ilvl w:val="0"/>
          <w:numId w:val="1"/>
        </w:numPr>
        <w:spacing w:before="0" w:beforeAutospacing="0" w:after="0" w:afterAutospacing="0" w:line="560" w:lineRule="exact"/>
        <w:ind w:leftChars="0" w:rightChars="0" w:firstLine="640" w:firstLineChars="200"/>
        <w:rPr>
          <w:rFonts w:hint="eastAsia" w:ascii="华文楷体" w:hAnsi="华文楷体" w:eastAsia="华文楷体" w:cs="微软雅黑"/>
          <w:b w:val="0"/>
          <w:i w:val="0"/>
          <w:sz w:val="32"/>
          <w:szCs w:val="32"/>
          <w:lang w:val="en-US" w:eastAsia="zh-CN"/>
        </w:rPr>
      </w:pPr>
      <w:r>
        <w:rPr>
          <w:rFonts w:hint="eastAsia" w:ascii="华文楷体" w:hAnsi="华文楷体" w:eastAsia="华文楷体" w:cs="微软雅黑"/>
          <w:b w:val="0"/>
          <w:i w:val="0"/>
          <w:sz w:val="32"/>
          <w:szCs w:val="32"/>
        </w:rPr>
        <w:t>项目</w:t>
      </w:r>
      <w:r>
        <w:rPr>
          <w:rFonts w:hint="eastAsia" w:ascii="华文楷体" w:hAnsi="华文楷体" w:eastAsia="华文楷体" w:cs="微软雅黑"/>
          <w:b w:val="0"/>
          <w:i w:val="0"/>
          <w:sz w:val="32"/>
          <w:szCs w:val="32"/>
          <w:lang w:val="en-US" w:eastAsia="zh-CN"/>
        </w:rPr>
        <w:t>内容</w:t>
      </w:r>
    </w:p>
    <w:p>
      <w:pPr>
        <w:numPr>
          <w:ilvl w:val="0"/>
          <w:numId w:val="0"/>
        </w:numPr>
        <w:spacing w:before="0" w:beforeAutospacing="0" w:after="0" w:afterAutospacing="0" w:line="560" w:lineRule="exact"/>
        <w:ind w:left="1058" w:leftChars="504" w:rightChars="0" w:firstLine="0" w:firstLineChars="0"/>
        <w:rPr>
          <w:rFonts w:hint="default" w:ascii="仿宋" w:hAnsi="仿宋" w:eastAsia="仿宋" w:cs="微软雅黑"/>
          <w:b/>
          <w:i w:val="0"/>
          <w:sz w:val="32"/>
          <w:szCs w:val="32"/>
          <w:lang w:val="en-US" w:eastAsia="zh-CN"/>
        </w:rPr>
      </w:pPr>
      <w:r>
        <w:rPr>
          <w:rFonts w:hint="eastAsia" w:ascii="仿宋" w:hAnsi="仿宋" w:eastAsia="仿宋" w:cs="微软雅黑"/>
          <w:b/>
          <w:i w:val="0"/>
          <w:sz w:val="32"/>
          <w:szCs w:val="32"/>
        </w:rPr>
        <w:t>（一）</w:t>
      </w:r>
      <w:r>
        <w:rPr>
          <w:rFonts w:hint="eastAsia" w:ascii="仿宋" w:hAnsi="仿宋" w:eastAsia="仿宋" w:cs="微软雅黑"/>
          <w:b/>
          <w:i w:val="0"/>
          <w:sz w:val="32"/>
          <w:szCs w:val="32"/>
          <w:lang w:val="en-US" w:eastAsia="zh-CN"/>
        </w:rPr>
        <w:t>充电站有序充电改造</w:t>
      </w:r>
    </w:p>
    <w:p>
      <w:pPr>
        <w:numPr>
          <w:ilvl w:val="0"/>
          <w:numId w:val="0"/>
        </w:numPr>
        <w:spacing w:before="0" w:beforeAutospacing="0" w:after="0" w:afterAutospacing="0" w:line="560" w:lineRule="exact"/>
        <w:ind w:rightChars="0" w:firstLine="640" w:firstLineChars="200"/>
        <w:rPr>
          <w:rFonts w:hint="default" w:ascii="仿宋" w:hAnsi="仿宋" w:eastAsia="仿宋" w:cs="Times New Roman"/>
          <w:b w:val="0"/>
          <w:i w:val="0"/>
          <w:strike w:val="0"/>
          <w:dstrike w:val="0"/>
          <w:snapToGrid/>
          <w:color w:val="auto"/>
          <w:w w:val="100"/>
          <w:kern w:val="2"/>
          <w:sz w:val="32"/>
          <w:szCs w:val="32"/>
          <w:u w:val="none"/>
          <w:vertAlign w:val="baseline"/>
          <w:lang w:val="en-US" w:eastAsia="zh-CN"/>
        </w:rPr>
      </w:pPr>
      <w:r>
        <w:rPr>
          <w:rFonts w:hint="eastAsia" w:ascii="仿宋" w:hAnsi="仿宋" w:eastAsia="仿宋" w:cs="Times New Roman"/>
          <w:b w:val="0"/>
          <w:i w:val="0"/>
          <w:strike w:val="0"/>
          <w:dstrike w:val="0"/>
          <w:snapToGrid/>
          <w:color w:val="auto"/>
          <w:w w:val="100"/>
          <w:kern w:val="2"/>
          <w:sz w:val="32"/>
          <w:szCs w:val="32"/>
          <w:u w:val="none"/>
          <w:vertAlign w:val="baseline"/>
        </w:rPr>
        <w:t xml:space="preserve"> </w:t>
      </w:r>
      <w:r>
        <w:rPr>
          <w:rFonts w:hint="eastAsia" w:ascii="仿宋" w:hAnsi="仿宋" w:eastAsia="仿宋" w:cs="Times New Roman"/>
          <w:b w:val="0"/>
          <w:i w:val="0"/>
          <w:strike w:val="0"/>
          <w:dstrike w:val="0"/>
          <w:snapToGrid/>
          <w:color w:val="auto"/>
          <w:w w:val="100"/>
          <w:kern w:val="2"/>
          <w:sz w:val="32"/>
          <w:szCs w:val="32"/>
          <w:u w:val="none"/>
          <w:vertAlign w:val="baseline"/>
          <w:lang w:val="en-US" w:eastAsia="zh-CN"/>
        </w:rPr>
        <w:t>结合甲方提供的现场充电站情况与各项需求，评估改造难度，输出充电站技术改造方案、完成有序充电管控终端开发。</w:t>
      </w:r>
    </w:p>
    <w:p>
      <w:pPr>
        <w:numPr>
          <w:ilvl w:val="0"/>
          <w:numId w:val="0"/>
        </w:numPr>
        <w:spacing w:before="0" w:beforeAutospacing="0" w:after="0" w:afterAutospacing="0" w:line="560" w:lineRule="exact"/>
        <w:ind w:leftChars="0" w:rightChars="0" w:firstLine="640" w:firstLineChars="200"/>
        <w:rPr>
          <w:rFonts w:hint="default" w:ascii="仿宋" w:hAnsi="仿宋" w:eastAsia="仿宋" w:cs="Times New Roman"/>
          <w:b w:val="0"/>
          <w:i w:val="0"/>
          <w:strike w:val="0"/>
          <w:dstrike w:val="0"/>
          <w:snapToGrid/>
          <w:color w:val="auto"/>
          <w:w w:val="100"/>
          <w:kern w:val="2"/>
          <w:sz w:val="32"/>
          <w:szCs w:val="32"/>
          <w:u w:val="none"/>
          <w:vertAlign w:val="baseline"/>
          <w:lang w:val="en-US" w:eastAsia="zh-CN"/>
        </w:rPr>
      </w:pPr>
      <w:r>
        <w:rPr>
          <w:rFonts w:hint="eastAsia" w:ascii="仿宋" w:hAnsi="仿宋" w:eastAsia="仿宋" w:cs="Times New Roman"/>
          <w:b w:val="0"/>
          <w:i w:val="0"/>
          <w:strike w:val="0"/>
          <w:dstrike w:val="0"/>
          <w:snapToGrid/>
          <w:color w:val="auto"/>
          <w:w w:val="100"/>
          <w:kern w:val="2"/>
          <w:sz w:val="32"/>
          <w:szCs w:val="32"/>
          <w:u w:val="none"/>
          <w:vertAlign w:val="baseline"/>
        </w:rPr>
        <w:t xml:space="preserve"> </w:t>
      </w:r>
      <w:r>
        <w:rPr>
          <w:rFonts w:hint="default" w:ascii="仿宋" w:hAnsi="仿宋" w:eastAsia="仿宋" w:cs="宋体"/>
          <w:b w:val="0"/>
          <w:i w:val="0"/>
          <w:sz w:val="32"/>
          <w:szCs w:val="32"/>
        </w:rPr>
        <w:t>乙方</w:t>
      </w:r>
      <w:r>
        <w:rPr>
          <w:rFonts w:hint="eastAsia" w:ascii="仿宋" w:hAnsi="仿宋" w:eastAsia="仿宋" w:cs="宋体"/>
          <w:b w:val="0"/>
          <w:i w:val="0"/>
          <w:sz w:val="32"/>
          <w:szCs w:val="32"/>
        </w:rPr>
        <w:t>职责：</w:t>
      </w:r>
    </w:p>
    <w:p>
      <w:pPr>
        <w:numPr>
          <w:ilvl w:val="0"/>
          <w:numId w:val="2"/>
        </w:numPr>
        <w:spacing w:before="0" w:beforeAutospacing="0" w:after="0" w:afterAutospacing="0" w:line="560" w:lineRule="exact"/>
        <w:ind w:leftChars="0" w:rightChars="0" w:firstLine="640" w:firstLineChars="200"/>
        <w:rPr>
          <w:rFonts w:hint="eastAsia" w:ascii="仿宋" w:hAnsi="仿宋" w:eastAsia="仿宋"/>
          <w:b w:val="0"/>
          <w:i w:val="0"/>
          <w:sz w:val="32"/>
          <w:szCs w:val="32"/>
          <w:lang w:val="en-US" w:eastAsia="zh-CN"/>
        </w:rPr>
      </w:pPr>
      <w:r>
        <w:rPr>
          <w:rFonts w:hint="eastAsia" w:ascii="仿宋" w:hAnsi="仿宋" w:eastAsia="仿宋"/>
          <w:b w:val="0"/>
          <w:i w:val="0"/>
          <w:sz w:val="32"/>
          <w:szCs w:val="32"/>
          <w:lang w:val="en-US" w:eastAsia="zh-CN"/>
        </w:rPr>
        <w:t>乙方根据自身经验、项目现场充电桩规约和甲方需求等综合考虑，</w:t>
      </w:r>
      <w:r>
        <w:rPr>
          <w:rFonts w:hint="eastAsia" w:ascii="仿宋" w:hAnsi="仿宋" w:eastAsia="仿宋" w:cs="Times New Roman"/>
          <w:b w:val="0"/>
          <w:i w:val="0"/>
          <w:strike w:val="0"/>
          <w:dstrike w:val="0"/>
          <w:snapToGrid/>
          <w:color w:val="auto"/>
          <w:w w:val="100"/>
          <w:kern w:val="2"/>
          <w:sz w:val="32"/>
          <w:szCs w:val="32"/>
          <w:u w:val="none"/>
          <w:vertAlign w:val="baseline"/>
          <w:lang w:val="en-US" w:eastAsia="zh-CN"/>
        </w:rPr>
        <w:t>输出充电站技术改造方案。</w:t>
      </w:r>
    </w:p>
    <w:p>
      <w:pPr>
        <w:numPr>
          <w:ilvl w:val="0"/>
          <w:numId w:val="2"/>
        </w:numPr>
        <w:spacing w:before="0" w:beforeAutospacing="0" w:after="0" w:afterAutospacing="0" w:line="560" w:lineRule="exact"/>
        <w:ind w:leftChars="0" w:rightChars="0" w:firstLine="640" w:firstLineChars="20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、乙方依据改造方案进行相应开发工作，甲方需求变动后及时告知乙方，</w:t>
      </w:r>
      <w:r>
        <w:rPr>
          <w:rFonts w:hint="eastAsia" w:ascii="仿宋" w:hAnsi="仿宋" w:eastAsia="仿宋" w:cs="Times New Roman"/>
          <w:b w:val="0"/>
          <w:i w:val="0"/>
          <w:strike w:val="0"/>
          <w:dstrike w:val="0"/>
          <w:snapToGrid/>
          <w:color w:val="auto"/>
          <w:w w:val="100"/>
          <w:kern w:val="2"/>
          <w:sz w:val="32"/>
          <w:szCs w:val="32"/>
          <w:u w:val="none"/>
          <w:vertAlign w:val="baseline"/>
          <w:lang w:val="en-US" w:eastAsia="zh-CN"/>
        </w:rPr>
        <w:t>完成有序充电管控终端开发</w:t>
      </w:r>
      <w:r>
        <w:rPr>
          <w:rFonts w:hint="eastAsia" w:ascii="仿宋" w:hAnsi="仿宋" w:eastAsia="仿宋"/>
          <w:b w:val="0"/>
          <w:i w:val="0"/>
          <w:sz w:val="32"/>
          <w:szCs w:val="32"/>
          <w:lang w:val="en-US" w:eastAsia="zh-CN"/>
        </w:rPr>
        <w:t>。</w:t>
      </w:r>
    </w:p>
    <w:p>
      <w:pPr>
        <w:numPr>
          <w:ilvl w:val="0"/>
          <w:numId w:val="1"/>
        </w:numPr>
        <w:spacing w:before="0" w:beforeAutospacing="0" w:after="0" w:afterAutospacing="0" w:line="560" w:lineRule="exact"/>
        <w:ind w:leftChars="0" w:rightChars="0" w:firstLine="640" w:firstLineChars="20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技术规范</w:t>
      </w:r>
    </w:p>
    <w:p>
      <w:pPr>
        <w:numPr>
          <w:ilvl w:val="0"/>
          <w:numId w:val="3"/>
        </w:numPr>
        <w:spacing w:before="0" w:beforeAutospacing="0" w:after="0" w:afterAutospacing="0" w:line="560" w:lineRule="exact"/>
        <w:ind w:leftChars="200" w:right="0" w:rightChars="0"/>
        <w:rPr>
          <w:rFonts w:hint="eastAsia" w:ascii="仿宋" w:hAnsi="仿宋" w:eastAsia="仿宋"/>
          <w:b w:val="0"/>
          <w:i w:val="0"/>
          <w:sz w:val="32"/>
          <w:szCs w:val="32"/>
          <w:lang w:val="en-US" w:eastAsia="zh-CN"/>
        </w:rPr>
      </w:pPr>
      <w:r>
        <w:rPr>
          <w:rFonts w:hint="eastAsia" w:ascii="仿宋" w:hAnsi="仿宋" w:eastAsia="仿宋"/>
          <w:b w:val="0"/>
          <w:i w:val="0"/>
          <w:sz w:val="32"/>
          <w:szCs w:val="32"/>
          <w:lang w:val="en-US" w:eastAsia="zh-CN"/>
        </w:rPr>
        <w:t>遵循南网电动汽车充电设备技术规范书（2024版）。</w:t>
      </w:r>
    </w:p>
    <w:p>
      <w:pPr>
        <w:numPr>
          <w:ilvl w:val="0"/>
          <w:numId w:val="3"/>
        </w:numPr>
        <w:spacing w:before="0" w:beforeAutospacing="0" w:after="0" w:afterAutospacing="0" w:line="560" w:lineRule="exact"/>
        <w:ind w:leftChars="200" w:right="0" w:rightChars="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在充电站场安装有序充电就地控制柜，充电桩与其通讯交互。</w:t>
      </w:r>
    </w:p>
    <w:p>
      <w:pPr>
        <w:numPr>
          <w:ilvl w:val="0"/>
          <w:numId w:val="3"/>
        </w:numPr>
        <w:spacing w:before="0" w:beforeAutospacing="0" w:after="0" w:afterAutospacing="0" w:line="560" w:lineRule="exact"/>
        <w:ind w:leftChars="200" w:right="0" w:rightChars="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有序充电就地控制柜</w:t>
      </w:r>
      <w:r>
        <w:rPr>
          <w:rFonts w:hint="default" w:ascii="仿宋" w:hAnsi="仿宋" w:eastAsia="仿宋"/>
          <w:b w:val="0"/>
          <w:i w:val="0"/>
          <w:sz w:val="32"/>
          <w:szCs w:val="32"/>
          <w:lang w:val="en-US" w:eastAsia="zh-CN"/>
        </w:rPr>
        <w:t>支持独立部署，无云</w:t>
      </w:r>
      <w:r>
        <w:rPr>
          <w:rFonts w:hint="eastAsia" w:ascii="仿宋" w:hAnsi="仿宋" w:eastAsia="仿宋"/>
          <w:b w:val="0"/>
          <w:i w:val="0"/>
          <w:sz w:val="32"/>
          <w:szCs w:val="32"/>
          <w:lang w:val="en-US" w:eastAsia="zh-CN"/>
        </w:rPr>
        <w:t>端</w:t>
      </w:r>
      <w:r>
        <w:rPr>
          <w:rFonts w:hint="default" w:ascii="仿宋" w:hAnsi="仿宋" w:eastAsia="仿宋"/>
          <w:b w:val="0"/>
          <w:i w:val="0"/>
          <w:sz w:val="32"/>
          <w:szCs w:val="32"/>
          <w:lang w:val="en-US" w:eastAsia="zh-CN"/>
        </w:rPr>
        <w:t>平台</w:t>
      </w:r>
      <w:r>
        <w:rPr>
          <w:rFonts w:hint="eastAsia" w:ascii="仿宋" w:hAnsi="仿宋" w:eastAsia="仿宋"/>
          <w:b w:val="0"/>
          <w:i w:val="0"/>
          <w:sz w:val="32"/>
          <w:szCs w:val="32"/>
          <w:lang w:val="en-US" w:eastAsia="zh-CN"/>
        </w:rPr>
        <w:t>时可</w:t>
      </w:r>
      <w:r>
        <w:rPr>
          <w:rFonts w:hint="default" w:ascii="仿宋" w:hAnsi="仿宋" w:eastAsia="仿宋"/>
          <w:b w:val="0"/>
          <w:i w:val="0"/>
          <w:sz w:val="32"/>
          <w:szCs w:val="32"/>
          <w:lang w:val="en-US" w:eastAsia="zh-CN"/>
        </w:rPr>
        <w:t>实现区域自治功能。</w:t>
      </w:r>
    </w:p>
    <w:p>
      <w:pPr>
        <w:numPr>
          <w:ilvl w:val="0"/>
          <w:numId w:val="3"/>
        </w:numPr>
        <w:spacing w:before="0" w:beforeAutospacing="0" w:after="0" w:afterAutospacing="0" w:line="560" w:lineRule="exact"/>
        <w:ind w:leftChars="200" w:right="0" w:rightChars="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有序充电就地控制柜至少实现2种有序用电调度算法。</w:t>
      </w:r>
    </w:p>
    <w:p>
      <w:pPr>
        <w:numPr>
          <w:ilvl w:val="0"/>
          <w:numId w:val="3"/>
        </w:numPr>
        <w:spacing w:before="0" w:beforeAutospacing="0" w:after="0" w:afterAutospacing="0" w:line="560" w:lineRule="exact"/>
        <w:ind w:leftChars="200" w:right="0" w:rightChars="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有序充电就地控制柜与充电桩的通讯协议满足遥控、遥测、遥信的三遥运维要求。</w:t>
      </w:r>
    </w:p>
    <w:p>
      <w:pPr>
        <w:numPr>
          <w:ilvl w:val="0"/>
          <w:numId w:val="0"/>
        </w:numPr>
        <w:spacing w:before="0" w:beforeAutospacing="0" w:after="0" w:afterAutospacing="0" w:line="560" w:lineRule="exact"/>
        <w:ind w:right="0" w:rightChars="0"/>
        <w:rPr>
          <w:rFonts w:hint="default" w:ascii="仿宋" w:hAnsi="仿宋" w:eastAsia="仿宋"/>
          <w:b w:val="0"/>
          <w:i w:val="0"/>
          <w:sz w:val="32"/>
          <w:szCs w:val="32"/>
          <w:lang w:val="en-US" w:eastAsia="zh-CN"/>
        </w:rPr>
      </w:pPr>
      <w:r>
        <w:drawing>
          <wp:anchor distT="0" distB="0" distL="114935" distR="114935" simplePos="0" relativeHeight="251659264" behindDoc="0" locked="0" layoutInCell="1" allowOverlap="1">
            <wp:simplePos x="0" y="0"/>
            <wp:positionH relativeFrom="column">
              <wp:posOffset>935355</wp:posOffset>
            </wp:positionH>
            <wp:positionV relativeFrom="paragraph">
              <wp:posOffset>227965</wp:posOffset>
            </wp:positionV>
            <wp:extent cx="3574415" cy="2555240"/>
            <wp:effectExtent l="0" t="0" r="698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574415" cy="2555240"/>
                    </a:xfrm>
                    <a:prstGeom prst="rect">
                      <a:avLst/>
                    </a:prstGeom>
                    <a:noFill/>
                    <a:ln>
                      <a:noFill/>
                    </a:ln>
                  </pic:spPr>
                </pic:pic>
              </a:graphicData>
            </a:graphic>
          </wp:anchor>
        </w:drawing>
      </w:r>
    </w:p>
    <w:p>
      <w:pPr>
        <w:numPr>
          <w:ilvl w:val="0"/>
          <w:numId w:val="0"/>
        </w:numPr>
        <w:spacing w:before="0" w:beforeAutospacing="0" w:after="0" w:afterAutospacing="0" w:line="560" w:lineRule="exact"/>
        <w:ind w:left="420" w:leftChars="200" w:right="0" w:rightChars="0" w:firstLine="420" w:firstLine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left="420" w:leftChars="200" w:right="0" w:rightChars="0" w:firstLine="420" w:firstLine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left="420" w:leftChars="200" w:right="0" w:rightChars="0" w:firstLine="420" w:firstLine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right="0" w:right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left="420" w:leftChars="200" w:right="0" w:rightChars="0" w:firstLine="420" w:firstLine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left="420" w:leftChars="200" w:right="0" w:rightChars="0" w:firstLine="420" w:firstLine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right="0" w:rightChars="0"/>
        <w:rPr>
          <w:rFonts w:hint="default" w:ascii="仿宋" w:hAnsi="仿宋" w:eastAsia="仿宋"/>
          <w:b w:val="0"/>
          <w:i w:val="0"/>
          <w:sz w:val="32"/>
          <w:szCs w:val="32"/>
          <w:lang w:val="en-US" w:eastAsia="zh-CN"/>
        </w:rPr>
      </w:pPr>
    </w:p>
    <w:p>
      <w:pPr>
        <w:numPr>
          <w:ilvl w:val="0"/>
          <w:numId w:val="0"/>
        </w:numPr>
        <w:spacing w:before="0" w:beforeAutospacing="0" w:after="0" w:afterAutospacing="0" w:line="560" w:lineRule="exact"/>
        <w:ind w:right="0" w:rightChars="0"/>
        <w:jc w:val="center"/>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系统框架</w:t>
      </w:r>
    </w:p>
    <w:p>
      <w:pPr>
        <w:numPr>
          <w:ilvl w:val="0"/>
          <w:numId w:val="1"/>
        </w:numPr>
        <w:spacing w:before="0" w:beforeAutospacing="0" w:after="0" w:afterAutospacing="0" w:line="560" w:lineRule="exact"/>
        <w:ind w:leftChars="0" w:rightChars="0" w:firstLine="640" w:firstLineChars="200"/>
        <w:rPr>
          <w:rFonts w:hint="default" w:ascii="仿宋" w:hAnsi="仿宋" w:eastAsia="仿宋"/>
          <w:b w:val="0"/>
          <w:i w:val="0"/>
          <w:sz w:val="32"/>
          <w:szCs w:val="32"/>
          <w:lang w:val="en-US" w:eastAsia="zh-CN"/>
        </w:rPr>
      </w:pPr>
      <w:r>
        <w:rPr>
          <w:rFonts w:hint="eastAsia" w:ascii="仿宋" w:hAnsi="仿宋" w:eastAsia="仿宋"/>
          <w:b w:val="0"/>
          <w:i w:val="0"/>
          <w:sz w:val="32"/>
          <w:szCs w:val="32"/>
          <w:lang w:val="en-US" w:eastAsia="zh-CN"/>
        </w:rPr>
        <w:t>资质要求</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（1）投标人拥有不少于1个不同客户的充电站有序用电改造实施成功案例。</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（2）投标人拥有不少于1个充电站有序用电改造实施成功案例。</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（3）投标人具备电子与智能化工程专业二级承包资质。</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（4）投标人具备资信AAA级等级证书。</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（5）投标人具备承装（修、试）四级证书。</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（6）投标人通过GB/T 23331-2020/ISO50001:2018、RB/T101-2013《能源管理体系电子信息企业认证要求》、RB/T119-2015《能源管理体系机械制造企业认证要求》标准审核认证，具有《能源管理体系认证证书》。</w:t>
      </w:r>
    </w:p>
    <w:p>
      <w:pPr>
        <w:numPr>
          <w:ilvl w:val="0"/>
          <w:numId w:val="0"/>
        </w:numPr>
        <w:spacing w:before="0" w:beforeAutospacing="0" w:after="0" w:afterAutospacing="0" w:line="560" w:lineRule="exact"/>
        <w:ind w:right="0" w:rightChars="0" w:firstLine="560" w:firstLineChars="200"/>
        <w:jc w:val="both"/>
        <w:rPr>
          <w:rFonts w:hint="eastAsia" w:ascii="仿宋" w:hAnsi="仿宋" w:eastAsia="仿宋"/>
          <w:b w:val="0"/>
          <w:i w:val="0"/>
          <w:sz w:val="28"/>
          <w:szCs w:val="28"/>
          <w:lang w:val="en-US" w:eastAsia="zh-CN"/>
        </w:rPr>
      </w:pPr>
      <w:r>
        <w:rPr>
          <w:rFonts w:hint="eastAsia" w:ascii="仿宋" w:hAnsi="仿宋" w:eastAsia="仿宋"/>
          <w:b w:val="0"/>
          <w:i w:val="0"/>
          <w:sz w:val="28"/>
          <w:szCs w:val="28"/>
          <w:lang w:val="en-US" w:eastAsia="zh-CN"/>
        </w:rPr>
        <w:t>（7）投标人具备电力控制自动化系统、新能源汽车充换电设备、储能系统相关产品、光伏系统相关产品的开发、设计、生产、服务相关的知识产权体系认证证书。</w:t>
      </w:r>
    </w:p>
    <w:p>
      <w:pPr>
        <w:numPr>
          <w:ilvl w:val="0"/>
          <w:numId w:val="0"/>
        </w:numPr>
        <w:spacing w:before="0" w:beforeAutospacing="0" w:after="0" w:afterAutospacing="0" w:line="560" w:lineRule="exact"/>
        <w:ind w:right="0" w:rightChars="0" w:firstLine="560" w:firstLineChars="200"/>
        <w:jc w:val="both"/>
        <w:rPr>
          <w:rFonts w:hint="default" w:ascii="仿宋" w:hAnsi="仿宋" w:eastAsia="仿宋"/>
          <w:b w:val="0"/>
          <w:i w:val="0"/>
          <w:sz w:val="28"/>
          <w:szCs w:val="28"/>
          <w:lang w:val="en-US" w:eastAsia="zh-CN"/>
        </w:rPr>
      </w:pPr>
      <w:r>
        <w:rPr>
          <w:rFonts w:hint="eastAsia" w:ascii="仿宋" w:hAnsi="仿宋" w:eastAsia="仿宋"/>
          <w:b w:val="0"/>
          <w:i w:val="0"/>
          <w:sz w:val="28"/>
          <w:szCs w:val="28"/>
          <w:lang w:val="en-US" w:eastAsia="zh-CN"/>
        </w:rPr>
        <w:t>（8）提供相关证明材料。</w:t>
      </w:r>
    </w:p>
    <w:p>
      <w:pPr>
        <w:numPr>
          <w:ilvl w:val="0"/>
          <w:numId w:val="0"/>
        </w:numPr>
        <w:spacing w:before="0" w:beforeAutospacing="0" w:after="0" w:afterAutospacing="0" w:line="560" w:lineRule="exact"/>
        <w:ind w:right="0" w:rightChars="0"/>
        <w:rPr>
          <w:rFonts w:hint="default" w:ascii="仿宋" w:hAnsi="仿宋" w:eastAsia="仿宋"/>
          <w:b w:val="0"/>
          <w:i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singleLevel"/>
    <w:tmpl w:val="C8879AEF"/>
    <w:lvl w:ilvl="0" w:tentative="0">
      <w:start w:val="1"/>
      <w:numFmt w:val="chineseCountingThousand"/>
      <w:suff w:val="nothing"/>
      <w:lvlText w:val="%1、"/>
      <w:lvlJc w:val="left"/>
      <w:rPr>
        <w:rFonts w:hint="eastAsia"/>
      </w:rPr>
    </w:lvl>
  </w:abstractNum>
  <w:abstractNum w:abstractNumId="1">
    <w:nsid w:val="DD7CF921"/>
    <w:multiLevelType w:val="singleLevel"/>
    <w:tmpl w:val="DD7CF921"/>
    <w:lvl w:ilvl="0" w:tentative="0">
      <w:start w:val="1"/>
      <w:numFmt w:val="decimal"/>
      <w:suff w:val="nothing"/>
      <w:lvlText w:val="（%1）"/>
      <w:lvlJc w:val="left"/>
    </w:lvl>
  </w:abstractNum>
  <w:abstractNum w:abstractNumId="2">
    <w:nsid w:val="F7EAF9C8"/>
    <w:multiLevelType w:val="singleLevel"/>
    <w:tmpl w:val="F7EAF9C8"/>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
  <w:docVars>
    <w:docVar w:name="commondata" w:val="eyJoZGlkIjoiYTMxZjYyY2YxNWRjMmQzNTliZWQ2ZGI1NzM2NmE5YTIifQ=="/>
    <w:docVar w:name="KSO_WPS_MARK_KEY" w:val="16a14ad4-3e6b-4afe-9b41-9fda23f92753"/>
  </w:docVars>
  <w:rsids>
    <w:rsidRoot w:val="00000000"/>
    <w:rsid w:val="09F82AE7"/>
    <w:rsid w:val="0A77717E"/>
    <w:rsid w:val="0B70168E"/>
    <w:rsid w:val="0E322AAB"/>
    <w:rsid w:val="2A852ED9"/>
    <w:rsid w:val="2F061A9E"/>
    <w:rsid w:val="3CBFFD4E"/>
    <w:rsid w:val="3FA36A07"/>
    <w:rsid w:val="3FF6F949"/>
    <w:rsid w:val="4DE775BB"/>
    <w:rsid w:val="53F79D9A"/>
    <w:rsid w:val="59A76AF2"/>
    <w:rsid w:val="5BBFD257"/>
    <w:rsid w:val="610B2436"/>
    <w:rsid w:val="666D5C81"/>
    <w:rsid w:val="6ADBFA4D"/>
    <w:rsid w:val="6BFCB299"/>
    <w:rsid w:val="6DF36D37"/>
    <w:rsid w:val="6FBF80E5"/>
    <w:rsid w:val="6FDBA2BE"/>
    <w:rsid w:val="6FFBE85D"/>
    <w:rsid w:val="7573D626"/>
    <w:rsid w:val="7BFCFC2B"/>
    <w:rsid w:val="A3FDC0FB"/>
    <w:rsid w:val="B5ED3E66"/>
    <w:rsid w:val="BDB81B32"/>
    <w:rsid w:val="CBF6A0B5"/>
    <w:rsid w:val="CFCE1B2F"/>
    <w:rsid w:val="DBDD1183"/>
    <w:rsid w:val="DF1F8A2A"/>
    <w:rsid w:val="FBD662CD"/>
    <w:rsid w:val="FDFA3ADD"/>
    <w:rsid w:val="FFB7BCEE"/>
    <w:rsid w:val="FFF2522B"/>
    <w:rsid w:val="FFFF8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ajorHAnsi" w:eastAsiaTheme="minorEastAsia" w:cstheme="minorBidi"/>
      <w:kern w:val="2"/>
      <w:sz w:val="21"/>
      <w:szCs w:val="21"/>
      <w:lang w:val="en-US" w:eastAsia="zh-CN" w:bidi="ar-SA"/>
    </w:rPr>
  </w:style>
  <w:style w:type="paragraph" w:styleId="2">
    <w:name w:val="heading 1"/>
    <w:basedOn w:val="1"/>
    <w:next w:val="1"/>
    <w:qFormat/>
    <w:uiPriority w:val="9"/>
    <w:pPr>
      <w:keepNext/>
      <w:keepLines/>
      <w:spacing w:before="340" w:beforeAutospacing="0" w:after="330" w:afterAutospacing="0" w:line="578" w:lineRule="atLeast"/>
      <w:outlineLvl w:val="0"/>
    </w:pPr>
    <w:rPr>
      <w:rFonts w:hAnsi="Times New Roman"/>
      <w:b/>
      <w:kern w:val="44"/>
      <w:sz w:val="44"/>
      <w:szCs w:val="4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szCs w:val="32"/>
    </w:rPr>
  </w:style>
  <w:style w:type="character" w:default="1" w:styleId="8">
    <w:name w:val="Default Paragraph Font"/>
    <w:qFormat/>
    <w:uiPriority w:val="0"/>
    <w:rPr>
      <w:rFonts w:hAnsiTheme="majorHAnsi"/>
    </w:rPr>
  </w:style>
  <w:style w:type="table" w:default="1" w:styleId="6">
    <w:name w:val="Normal Table"/>
    <w:qFormat/>
    <w:uiPriority w:val="0"/>
    <w:rPr>
      <w:rFonts w:hAnsiTheme="majorHAnsi"/>
    </w:rPr>
    <w:tblPr>
      <w:tblCellMar>
        <w:top w:w="0" w:type="dxa"/>
        <w:left w:w="108" w:type="dxa"/>
        <w:bottom w:w="0" w:type="dxa"/>
        <w:right w:w="108" w:type="dxa"/>
      </w:tblCellMar>
    </w:tblPr>
  </w:style>
  <w:style w:type="paragraph" w:styleId="4">
    <w:name w:val="Normal (Web)"/>
    <w:basedOn w:val="1"/>
    <w:qFormat/>
    <w:uiPriority w:val="0"/>
    <w:pPr>
      <w:spacing w:before="100" w:beforeAutospacing="1" w:after="100" w:afterAutospacing="1"/>
      <w:ind w:left="0" w:right="0"/>
      <w:jc w:val="left"/>
    </w:pPr>
    <w:rPr>
      <w:kern w:val="0"/>
      <w:sz w:val="24"/>
      <w:szCs w:val="24"/>
      <w:lang w:val="en-US" w:eastAsia="zh-CN" w:bidi="ar"/>
    </w:rPr>
  </w:style>
  <w:style w:type="paragraph" w:styleId="5">
    <w:name w:val="Title"/>
    <w:basedOn w:val="1"/>
    <w:next w:val="1"/>
    <w:link w:val="12"/>
    <w:qFormat/>
    <w:uiPriority w:val="10"/>
    <w:pPr>
      <w:spacing w:before="240" w:after="60" w:line="408" w:lineRule="auto"/>
      <w:jc w:val="center"/>
      <w:outlineLvl w:val="0"/>
    </w:pPr>
    <w:rPr>
      <w:rFonts w:ascii="Arial" w:hAnsi="Arial" w:eastAsia="宋体" w:cs="Arial"/>
      <w:b/>
      <w:color w:val="000000"/>
      <w:sz w:val="32"/>
      <w:szCs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Emphasis"/>
    <w:basedOn w:val="8"/>
    <w:qFormat/>
    <w:uiPriority w:val="0"/>
    <w:rPr>
      <w:i/>
    </w:rPr>
  </w:style>
  <w:style w:type="paragraph" w:customStyle="1" w:styleId="11">
    <w:name w:val="Normal1"/>
    <w:qFormat/>
    <w:uiPriority w:val="0"/>
    <w:pPr>
      <w:widowControl w:val="0"/>
      <w:jc w:val="left"/>
    </w:pPr>
    <w:rPr>
      <w:rFonts w:ascii="Times New Roman" w:eastAsia="宋体" w:cs="Times New Roman" w:hAnsiTheme="majorHAnsi"/>
    </w:rPr>
  </w:style>
  <w:style w:type="character" w:customStyle="1" w:styleId="12">
    <w:name w:val="Title Char"/>
    <w:link w:val="5"/>
    <w:qFormat/>
    <w:uiPriority w:val="10"/>
    <w:rPr>
      <w:rFonts w:ascii="Arial" w:hAnsi="Arial" w:eastAsia="宋体" w:cs="Arial"/>
      <w:b/>
      <w:color w:val="000000"/>
      <w:sz w:val="32"/>
      <w:szCs w:val="32"/>
    </w:rPr>
  </w:style>
  <w:style w:type="character" w:customStyle="1" w:styleId="13">
    <w:name w:val="original Paragraph Font"/>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211</Words>
  <Characters>211</Characters>
  <TotalTime>3</TotalTime>
  <ScaleCrop>false</ScaleCrop>
  <LinksUpToDate>false</LinksUpToDate>
  <CharactersWithSpaces>213</CharactersWithSpaces>
  <Application>WPS Office_11.8.2.12265_F1E327BC-269C-435d-A152-05C5408002CA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2024-08-16T05:26:00Z</dcterms:created>
  <dc:creator>Shimo</dc:creator>
  <cp:lastModifiedBy>李明慧</cp:lastModifiedBy>
  <dcterms:modified xsi:type="dcterms:W3CDTF">2024-08-20T03:51:52Z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93A7CBC99EE84C7FBA0A4BDED57C0241</vt:lpwstr>
  </property>
</Properties>
</file>