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jc w:val="center"/>
        <w:rPr>
          <w:rFonts w:hint="eastAsia"/>
          <w:b/>
          <w:sz w:val="48"/>
          <w:szCs w:val="48"/>
        </w:rPr>
      </w:pPr>
    </w:p>
    <w:p>
      <w:pPr>
        <w:jc w:val="center"/>
        <w:rPr>
          <w:rFonts w:hint="eastAsia"/>
          <w:b/>
          <w:sz w:val="48"/>
          <w:szCs w:val="48"/>
        </w:rPr>
      </w:pPr>
      <w:r>
        <w:rPr>
          <w:rFonts w:hint="eastAsia"/>
          <w:b/>
          <w:sz w:val="48"/>
          <w:szCs w:val="48"/>
          <w:lang w:val="en-US" w:eastAsia="zh-CN"/>
        </w:rPr>
        <w:t>电机驱动元件</w:t>
      </w: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广西电网有限责任公司崇左供电局</w:t>
      </w:r>
    </w:p>
    <w:p>
      <w:pPr>
        <w:jc w:val="center"/>
        <w:rPr>
          <w:rFonts w:hint="eastAsia"/>
          <w:sz w:val="32"/>
          <w:szCs w:val="32"/>
        </w:rPr>
      </w:pPr>
      <w:r>
        <w:rPr>
          <w:rFonts w:hint="eastAsia"/>
          <w:sz w:val="32"/>
          <w:szCs w:val="32"/>
        </w:rPr>
        <w:t>20</w:t>
      </w:r>
      <w:r>
        <w:rPr>
          <w:rFonts w:hint="eastAsia"/>
          <w:sz w:val="32"/>
          <w:szCs w:val="32"/>
          <w:lang w:val="en-US" w:eastAsia="zh-CN"/>
        </w:rPr>
        <w:t>24</w:t>
      </w:r>
      <w:r>
        <w:rPr>
          <w:rFonts w:hint="eastAsia"/>
          <w:sz w:val="32"/>
          <w:szCs w:val="32"/>
        </w:rPr>
        <w:t>年</w:t>
      </w:r>
      <w:r>
        <w:rPr>
          <w:rFonts w:hint="eastAsia"/>
          <w:sz w:val="32"/>
          <w:szCs w:val="32"/>
          <w:lang w:val="en-US" w:eastAsia="zh-CN"/>
        </w:rPr>
        <w:t>07</w:t>
      </w:r>
      <w:r>
        <w:rPr>
          <w:rFonts w:hint="eastAsia"/>
          <w:sz w:val="32"/>
          <w:szCs w:val="32"/>
        </w:rPr>
        <w:t>月</w:t>
      </w:r>
    </w:p>
    <w:p>
      <w:pPr>
        <w:jc w:val="center"/>
        <w:rPr>
          <w:rFonts w:hint="eastAsia"/>
        </w:rPr>
      </w:pPr>
      <w:r>
        <w:br w:type="page"/>
      </w:r>
      <w:r>
        <w:rPr>
          <w:rFonts w:hint="eastAsia"/>
        </w:rPr>
        <w:t>目  录</w:t>
      </w:r>
    </w:p>
    <w:p>
      <w:pPr>
        <w:pStyle w:val="5"/>
        <w:tabs>
          <w:tab w:val="right" w:leader="dot" w:pos="974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_Toc16539 </w:instrText>
      </w:r>
      <w:r>
        <w:fldChar w:fldCharType="separate"/>
      </w:r>
      <w:r>
        <w:rPr>
          <w:rFonts w:hint="eastAsia"/>
          <w:szCs w:val="28"/>
        </w:rPr>
        <w:t>1. 总则</w:t>
      </w:r>
      <w:r>
        <w:tab/>
      </w:r>
      <w:r>
        <w:fldChar w:fldCharType="begin"/>
      </w:r>
      <w:r>
        <w:instrText xml:space="preserve"> PAGEREF _Toc16539 </w:instrText>
      </w:r>
      <w:r>
        <w:fldChar w:fldCharType="separate"/>
      </w:r>
      <w:r>
        <w:t>1</w:t>
      </w:r>
      <w:r>
        <w:fldChar w:fldCharType="end"/>
      </w:r>
      <w:r>
        <w:fldChar w:fldCharType="end"/>
      </w:r>
    </w:p>
    <w:p>
      <w:pPr>
        <w:pStyle w:val="5"/>
        <w:tabs>
          <w:tab w:val="right" w:leader="dot" w:pos="9746"/>
          <w:tab w:val="clear" w:pos="8296"/>
        </w:tabs>
      </w:pPr>
      <w:r>
        <w:fldChar w:fldCharType="begin"/>
      </w:r>
      <w:r>
        <w:instrText xml:space="preserve"> HYPERLINK \l _Toc14260 </w:instrText>
      </w:r>
      <w:r>
        <w:fldChar w:fldCharType="separate"/>
      </w:r>
      <w:r>
        <w:rPr>
          <w:rFonts w:hint="eastAsia"/>
          <w:szCs w:val="28"/>
        </w:rPr>
        <w:t>2. 工作范围</w:t>
      </w:r>
      <w:r>
        <w:tab/>
      </w:r>
      <w:r>
        <w:fldChar w:fldCharType="begin"/>
      </w:r>
      <w:r>
        <w:instrText xml:space="preserve"> PAGEREF _Toc14260 </w:instrText>
      </w:r>
      <w:r>
        <w:fldChar w:fldCharType="separate"/>
      </w:r>
      <w:r>
        <w:t>2</w:t>
      </w:r>
      <w:r>
        <w:fldChar w:fldCharType="end"/>
      </w:r>
      <w:r>
        <w:fldChar w:fldCharType="end"/>
      </w:r>
    </w:p>
    <w:p>
      <w:pPr>
        <w:pStyle w:val="5"/>
        <w:tabs>
          <w:tab w:val="right" w:leader="dot" w:pos="9746"/>
          <w:tab w:val="clear" w:pos="8296"/>
        </w:tabs>
      </w:pPr>
      <w:r>
        <w:fldChar w:fldCharType="begin"/>
      </w:r>
      <w:r>
        <w:instrText xml:space="preserve"> HYPERLINK \l _Toc2239 </w:instrText>
      </w:r>
      <w:r>
        <w:fldChar w:fldCharType="separate"/>
      </w:r>
      <w:r>
        <w:rPr>
          <w:rFonts w:hint="eastAsia"/>
          <w:szCs w:val="28"/>
        </w:rPr>
        <w:t>3. 应遵循的主要标准</w:t>
      </w:r>
      <w:r>
        <w:tab/>
      </w:r>
      <w:r>
        <w:fldChar w:fldCharType="begin"/>
      </w:r>
      <w:r>
        <w:instrText xml:space="preserve"> PAGEREF _Toc2239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_Toc26446 </w:instrText>
      </w:r>
      <w:r>
        <w:fldChar w:fldCharType="separate"/>
      </w:r>
      <w:r>
        <w:rPr>
          <w:rFonts w:hint="eastAsia"/>
          <w:szCs w:val="28"/>
        </w:rPr>
        <w:t>4. 使用条件</w:t>
      </w:r>
      <w:r>
        <w:tab/>
      </w:r>
      <w:r>
        <w:fldChar w:fldCharType="begin"/>
      </w:r>
      <w:r>
        <w:instrText xml:space="preserve"> PAGEREF _Toc26446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_Toc14465 </w:instrText>
      </w:r>
      <w:r>
        <w:fldChar w:fldCharType="separate"/>
      </w:r>
      <w:r>
        <w:rPr>
          <w:rFonts w:hint="eastAsia"/>
          <w:szCs w:val="28"/>
        </w:rPr>
        <w:t>5. 技术要求</w:t>
      </w:r>
      <w:r>
        <w:tab/>
      </w:r>
      <w:r>
        <w:fldChar w:fldCharType="begin"/>
      </w:r>
      <w:r>
        <w:instrText xml:space="preserve"> PAGEREF _Toc14465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_Toc2213 </w:instrText>
      </w:r>
      <w:r>
        <w:fldChar w:fldCharType="separate"/>
      </w:r>
      <w:r>
        <w:rPr>
          <w:rFonts w:hint="eastAsia"/>
          <w:szCs w:val="28"/>
        </w:rPr>
        <w:t>6. 包装、运输、安装及质量保证</w:t>
      </w:r>
      <w:r>
        <w:tab/>
      </w:r>
      <w:r>
        <w:fldChar w:fldCharType="begin"/>
      </w:r>
      <w:r>
        <w:instrText xml:space="preserve"> PAGEREF _Toc2213 </w:instrText>
      </w:r>
      <w:r>
        <w:fldChar w:fldCharType="separate"/>
      </w:r>
      <w:r>
        <w:t>5</w:t>
      </w:r>
      <w:r>
        <w:fldChar w:fldCharType="end"/>
      </w:r>
      <w:r>
        <w:fldChar w:fldCharType="end"/>
      </w:r>
    </w:p>
    <w:p>
      <w:pPr>
        <w:pStyle w:val="5"/>
        <w:tabs>
          <w:tab w:val="right" w:leader="dot" w:pos="9746"/>
          <w:tab w:val="clear" w:pos="8296"/>
        </w:tabs>
      </w:pPr>
      <w:r>
        <w:fldChar w:fldCharType="begin"/>
      </w:r>
      <w:r>
        <w:instrText xml:space="preserve"> HYPERLINK \l _Toc26304 </w:instrText>
      </w:r>
      <w:r>
        <w:fldChar w:fldCharType="separate"/>
      </w:r>
      <w:r>
        <w:rPr>
          <w:rFonts w:hint="eastAsia"/>
          <w:szCs w:val="28"/>
        </w:rPr>
        <w:t>7. 技术差异表</w:t>
      </w:r>
      <w:r>
        <w:tab/>
      </w:r>
      <w:r>
        <w:fldChar w:fldCharType="begin"/>
      </w:r>
      <w:r>
        <w:instrText xml:space="preserve"> PAGEREF _Toc26304 </w:instrText>
      </w:r>
      <w:r>
        <w:fldChar w:fldCharType="separate"/>
      </w:r>
      <w:r>
        <w:t>7</w:t>
      </w:r>
      <w:r>
        <w:fldChar w:fldCharType="end"/>
      </w:r>
      <w:r>
        <w:fldChar w:fldCharType="end"/>
      </w:r>
    </w:p>
    <w:p>
      <w:pPr>
        <w:pStyle w:val="5"/>
        <w:tabs>
          <w:tab w:val="right" w:leader="dot" w:pos="9746"/>
          <w:tab w:val="clear" w:pos="8296"/>
        </w:tabs>
      </w:pPr>
      <w:r>
        <w:fldChar w:fldCharType="begin"/>
      </w:r>
      <w:r>
        <w:instrText xml:space="preserve"> HYPERLINK \l _Toc31035 </w:instrText>
      </w:r>
      <w:r>
        <w:fldChar w:fldCharType="separate"/>
      </w:r>
      <w:r>
        <w:rPr>
          <w:rFonts w:hint="eastAsia"/>
          <w:szCs w:val="28"/>
        </w:rPr>
        <w:t>8. 投标方需要说明的其它问题</w:t>
      </w:r>
      <w:r>
        <w:tab/>
      </w:r>
      <w:r>
        <w:fldChar w:fldCharType="begin"/>
      </w:r>
      <w:r>
        <w:instrText xml:space="preserve"> PAGEREF _Toc31035 </w:instrText>
      </w:r>
      <w:r>
        <w:fldChar w:fldCharType="separate"/>
      </w:r>
      <w:r>
        <w:t>7</w:t>
      </w:r>
      <w:r>
        <w:fldChar w:fldCharType="end"/>
      </w:r>
      <w:r>
        <w:fldChar w:fldCharType="end"/>
      </w:r>
    </w:p>
    <w:p>
      <w:pPr>
        <w:rPr>
          <w:rFonts w:hint="eastAsia"/>
        </w:rPr>
      </w:pPr>
      <w:r>
        <w:fldChar w:fldCharType="end"/>
      </w:r>
    </w:p>
    <w:p>
      <w:pPr>
        <w:rPr>
          <w:rFonts w:hint="eastAsia"/>
        </w:rPr>
      </w:pPr>
    </w:p>
    <w:p>
      <w:pPr>
        <w:rPr>
          <w:rFonts w:hint="eastAsia"/>
        </w:rPr>
      </w:pPr>
    </w:p>
    <w:p>
      <w:pPr>
        <w:rPr>
          <w:rFonts w:hint="eastAsia"/>
        </w:rPr>
      </w:pPr>
    </w:p>
    <w:p>
      <w:pPr>
        <w:jc w:val="center"/>
        <w:sectPr>
          <w:footerReference r:id="rId5" w:type="even"/>
          <w:pgSz w:w="11906" w:h="16838"/>
          <w:pgMar w:top="1440" w:right="1080" w:bottom="1440" w:left="1080" w:header="851" w:footer="992" w:gutter="0"/>
          <w:cols w:space="720" w:num="1"/>
          <w:docGrid w:type="lines" w:linePitch="326" w:charSpace="0"/>
        </w:sectPr>
      </w:pPr>
    </w:p>
    <w:p>
      <w:pPr>
        <w:pStyle w:val="2"/>
        <w:keepNext w:val="0"/>
        <w:keepLines w:val="0"/>
        <w:snapToGrid w:val="0"/>
        <w:spacing w:line="324" w:lineRule="auto"/>
        <w:rPr>
          <w:rFonts w:hint="eastAsia"/>
          <w:sz w:val="28"/>
          <w:szCs w:val="28"/>
        </w:rPr>
      </w:pPr>
      <w:bookmarkStart w:id="0" w:name="_Toc16539"/>
      <w:r>
        <w:rPr>
          <w:rFonts w:hint="eastAsia"/>
          <w:sz w:val="28"/>
          <w:szCs w:val="28"/>
        </w:rPr>
        <w:t>总则</w:t>
      </w:r>
      <w:bookmarkEnd w:id="0"/>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本招标技术文件适</w:t>
      </w:r>
      <w:r>
        <w:rPr>
          <w:rFonts w:hint="eastAsia"/>
          <w:b w:val="0"/>
          <w:color w:val="auto"/>
          <w:sz w:val="28"/>
          <w:szCs w:val="28"/>
        </w:rPr>
        <w:t>用于</w:t>
      </w:r>
      <w:r>
        <w:rPr>
          <w:rFonts w:hint="eastAsia"/>
          <w:b w:val="0"/>
          <w:color w:val="auto"/>
          <w:sz w:val="28"/>
          <w:szCs w:val="28"/>
          <w:lang w:val="en-US" w:eastAsia="zh-CN"/>
        </w:rPr>
        <w:t>电机驱动元件</w:t>
      </w:r>
      <w:r>
        <w:rPr>
          <w:rFonts w:hint="eastAsia"/>
          <w:b w:val="0"/>
          <w:color w:val="auto"/>
          <w:sz w:val="28"/>
          <w:szCs w:val="28"/>
        </w:rPr>
        <w:t>的采购</w:t>
      </w:r>
      <w:r>
        <w:rPr>
          <w:rFonts w:hint="eastAsia"/>
          <w:b w:val="0"/>
          <w:sz w:val="28"/>
          <w:szCs w:val="28"/>
        </w:rPr>
        <w:t>，它包括了功能、性能、安装等方面的技术要求。</w:t>
      </w:r>
    </w:p>
    <w:p>
      <w:pPr>
        <w:pStyle w:val="3"/>
        <w:keepNext w:val="0"/>
        <w:keepLines w:val="0"/>
        <w:snapToGrid w:val="0"/>
        <w:spacing w:line="324" w:lineRule="auto"/>
        <w:ind w:left="0"/>
        <w:rPr>
          <w:b w:val="0"/>
          <w:sz w:val="28"/>
          <w:szCs w:val="28"/>
        </w:rPr>
      </w:pPr>
      <w:r>
        <w:rPr>
          <w:rFonts w:hint="eastAsia"/>
          <w:b w:val="0"/>
          <w:sz w:val="28"/>
          <w:szCs w:val="28"/>
        </w:rPr>
        <w:t>本招标技术文件提出的是最低限度的技术要求。凡本招标技术文件中未规定，但在相关设备的行业标准、国家标准或</w:t>
      </w:r>
      <w:r>
        <w:rPr>
          <w:b w:val="0"/>
          <w:sz w:val="28"/>
          <w:szCs w:val="28"/>
        </w:rPr>
        <w:t>IEC</w:t>
      </w:r>
      <w:r>
        <w:rPr>
          <w:rFonts w:hint="eastAsia"/>
          <w:b w:val="0"/>
          <w:sz w:val="28"/>
          <w:szCs w:val="28"/>
        </w:rPr>
        <w:t>标准中有规定的规范条文，投标方应按相应标准的条文进行设备设计、制造、试验和安装。对国家有关安全、环保等强制性标准，必须满足其要求。</w:t>
      </w:r>
    </w:p>
    <w:p>
      <w:pPr>
        <w:pStyle w:val="3"/>
        <w:keepNext w:val="0"/>
        <w:keepLines w:val="0"/>
        <w:snapToGrid w:val="0"/>
        <w:spacing w:line="324" w:lineRule="auto"/>
        <w:ind w:left="0"/>
        <w:rPr>
          <w:b w:val="0"/>
          <w:sz w:val="28"/>
          <w:szCs w:val="28"/>
        </w:rPr>
      </w:pPr>
      <w:r>
        <w:rPr>
          <w:rFonts w:hint="eastAsia"/>
          <w:b w:val="0"/>
          <w:sz w:val="28"/>
          <w:szCs w:val="28"/>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3"/>
        <w:keepNext w:val="0"/>
        <w:keepLines w:val="0"/>
        <w:snapToGrid w:val="0"/>
        <w:spacing w:line="324" w:lineRule="auto"/>
        <w:ind w:left="0"/>
        <w:rPr>
          <w:b w:val="0"/>
          <w:sz w:val="28"/>
          <w:szCs w:val="28"/>
        </w:rPr>
      </w:pPr>
      <w:r>
        <w:rPr>
          <w:rFonts w:hint="eastAsia"/>
          <w:b w:val="0"/>
          <w:sz w:val="28"/>
          <w:szCs w:val="28"/>
        </w:rPr>
        <w:t>本招标技术文件所使用的标准如遇与投标方所执行的标准不一致时</w:t>
      </w:r>
      <w:r>
        <w:rPr>
          <w:b w:val="0"/>
          <w:sz w:val="28"/>
          <w:szCs w:val="28"/>
        </w:rPr>
        <w:t xml:space="preserve">, </w:t>
      </w:r>
      <w:r>
        <w:rPr>
          <w:rFonts w:hint="eastAsia"/>
          <w:b w:val="0"/>
          <w:sz w:val="28"/>
          <w:szCs w:val="28"/>
        </w:rPr>
        <w:t>按较高标准执行。</w:t>
      </w:r>
    </w:p>
    <w:p>
      <w:pPr>
        <w:pStyle w:val="3"/>
        <w:keepNext w:val="0"/>
        <w:keepLines w:val="0"/>
        <w:snapToGrid w:val="0"/>
        <w:spacing w:line="324" w:lineRule="auto"/>
        <w:ind w:left="0"/>
        <w:rPr>
          <w:b w:val="0"/>
          <w:sz w:val="28"/>
          <w:szCs w:val="28"/>
        </w:rPr>
      </w:pPr>
      <w:r>
        <w:rPr>
          <w:rFonts w:hint="eastAsia"/>
          <w:b w:val="0"/>
          <w:sz w:val="28"/>
          <w:szCs w:val="28"/>
        </w:rPr>
        <w:t>本招标技术文件经买、卖双方确认后作为订货合同的技术附件，与合同正文具有同等法律效力。</w:t>
      </w:r>
    </w:p>
    <w:p>
      <w:pPr>
        <w:pStyle w:val="3"/>
        <w:keepNext w:val="0"/>
        <w:keepLines w:val="0"/>
        <w:snapToGrid w:val="0"/>
        <w:spacing w:line="324" w:lineRule="auto"/>
        <w:ind w:left="0"/>
        <w:rPr>
          <w:b w:val="0"/>
          <w:sz w:val="28"/>
          <w:szCs w:val="28"/>
        </w:rPr>
      </w:pPr>
      <w:r>
        <w:rPr>
          <w:rFonts w:hint="eastAsia"/>
          <w:b w:val="0"/>
          <w:sz w:val="28"/>
          <w:szCs w:val="28"/>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投标方应在应标技术部分按本招标技术文件的要求如实详细的填写应标设备的标准配置表，并在应标商务部分按此标准配置进行报价，如发现二者有矛盾之处，将对评标工作有不同程度的影响。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本招标技术文件未尽事宜</w:t>
      </w:r>
      <w:r>
        <w:rPr>
          <w:b w:val="0"/>
          <w:sz w:val="28"/>
          <w:szCs w:val="28"/>
        </w:rPr>
        <w:t xml:space="preserve">, </w:t>
      </w:r>
      <w:r>
        <w:rPr>
          <w:rFonts w:hint="eastAsia"/>
          <w:b w:val="0"/>
          <w:sz w:val="28"/>
          <w:szCs w:val="28"/>
        </w:rPr>
        <w:t>由买卖双方协商确定。</w:t>
      </w:r>
    </w:p>
    <w:p>
      <w:pPr>
        <w:pStyle w:val="3"/>
        <w:keepNext w:val="0"/>
        <w:keepLines w:val="0"/>
        <w:snapToGrid w:val="0"/>
        <w:spacing w:line="324" w:lineRule="auto"/>
        <w:ind w:left="0"/>
        <w:rPr>
          <w:rFonts w:hint="eastAsia"/>
          <w:b w:val="0"/>
          <w:sz w:val="28"/>
          <w:szCs w:val="28"/>
        </w:rPr>
      </w:pPr>
      <w:r>
        <w:rPr>
          <w:rFonts w:hint="eastAsia"/>
          <w:b w:val="0"/>
          <w:sz w:val="28"/>
          <w:szCs w:val="28"/>
        </w:rPr>
        <w:t>本技术规范书规定的设备（包括设备附件）技术性能是基本性能参数和方案，在满足基本技术性能要求情况下投标方可以推荐更佳的方案。</w:t>
      </w:r>
    </w:p>
    <w:p>
      <w:pPr>
        <w:pStyle w:val="3"/>
        <w:keepNext w:val="0"/>
        <w:keepLines w:val="0"/>
        <w:snapToGrid w:val="0"/>
        <w:spacing w:line="324" w:lineRule="auto"/>
        <w:ind w:left="0"/>
        <w:rPr>
          <w:b w:val="0"/>
          <w:sz w:val="28"/>
          <w:szCs w:val="28"/>
        </w:rPr>
      </w:pPr>
      <w:r>
        <w:rPr>
          <w:rFonts w:hint="eastAsia"/>
          <w:b w:val="0"/>
          <w:sz w:val="28"/>
          <w:szCs w:val="28"/>
        </w:rPr>
        <w:t>投标产品应符合本招标技术文件要求，是技术性能先进、成熟、完整和安全可靠的成套产品，同</w:t>
      </w:r>
      <w:r>
        <w:rPr>
          <w:b w:val="0"/>
          <w:sz w:val="28"/>
          <w:szCs w:val="28"/>
        </w:rPr>
        <w:t>类产品</w:t>
      </w:r>
      <w:r>
        <w:rPr>
          <w:rFonts w:hint="eastAsia"/>
          <w:b w:val="0"/>
          <w:sz w:val="28"/>
          <w:szCs w:val="28"/>
        </w:rPr>
        <w:t>在电力系统有三年以上的销售业绩（请提供证明材料）。</w:t>
      </w:r>
    </w:p>
    <w:p>
      <w:pPr>
        <w:pStyle w:val="2"/>
        <w:keepNext w:val="0"/>
        <w:keepLines w:val="0"/>
        <w:snapToGrid w:val="0"/>
        <w:spacing w:line="324" w:lineRule="auto"/>
        <w:rPr>
          <w:rFonts w:hint="eastAsia"/>
          <w:sz w:val="28"/>
          <w:szCs w:val="28"/>
        </w:rPr>
      </w:pPr>
      <w:bookmarkStart w:id="1" w:name="_Toc14260"/>
      <w:r>
        <w:rPr>
          <w:rFonts w:hint="eastAsia"/>
          <w:sz w:val="28"/>
          <w:szCs w:val="28"/>
        </w:rPr>
        <w:t>工作范围</w:t>
      </w:r>
      <w:bookmarkEnd w:id="1"/>
    </w:p>
    <w:p>
      <w:pPr>
        <w:pStyle w:val="3"/>
        <w:keepNext w:val="0"/>
        <w:keepLines w:val="0"/>
        <w:snapToGrid w:val="0"/>
        <w:spacing w:line="324" w:lineRule="auto"/>
        <w:ind w:left="0"/>
        <w:rPr>
          <w:rFonts w:hint="eastAsia"/>
          <w:sz w:val="28"/>
          <w:szCs w:val="28"/>
        </w:rPr>
      </w:pPr>
      <w:r>
        <w:rPr>
          <w:rFonts w:hint="eastAsia"/>
          <w:sz w:val="28"/>
          <w:szCs w:val="28"/>
        </w:rPr>
        <w:t>供货范围</w:t>
      </w:r>
    </w:p>
    <w:p>
      <w:pPr>
        <w:pStyle w:val="9"/>
        <w:snapToGrid w:val="0"/>
        <w:spacing w:line="324" w:lineRule="auto"/>
        <w:rPr>
          <w:rFonts w:hint="eastAsia"/>
          <w:sz w:val="28"/>
          <w:szCs w:val="28"/>
        </w:rPr>
      </w:pPr>
      <w:r>
        <w:rPr>
          <w:rFonts w:hint="eastAsia"/>
          <w:sz w:val="28"/>
          <w:szCs w:val="28"/>
        </w:rP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9"/>
        <w:snapToGrid w:val="0"/>
        <w:spacing w:line="324" w:lineRule="auto"/>
        <w:rPr>
          <w:rFonts w:hint="eastAsia"/>
          <w:b/>
          <w:sz w:val="28"/>
          <w:szCs w:val="28"/>
        </w:rPr>
      </w:pPr>
      <w:r>
        <w:rPr>
          <w:rFonts w:hint="eastAsia"/>
          <w:b/>
          <w:sz w:val="28"/>
          <w:szCs w:val="28"/>
        </w:rPr>
        <w:t>供货范围一览表</w:t>
      </w:r>
    </w:p>
    <w:p>
      <w:pPr>
        <w:pStyle w:val="9"/>
        <w:numPr>
          <w:ilvl w:val="0"/>
          <w:numId w:val="0"/>
        </w:numPr>
        <w:snapToGrid w:val="0"/>
        <w:spacing w:line="324" w:lineRule="auto"/>
        <w:ind w:firstLine="560" w:firstLineChars="200"/>
        <w:rPr>
          <w:rFonts w:hint="eastAsia" w:hAnsi="宋体"/>
          <w:color w:val="000000"/>
          <w:sz w:val="28"/>
          <w:szCs w:val="28"/>
        </w:rPr>
      </w:pPr>
      <w:r>
        <w:rPr>
          <w:rFonts w:hint="eastAsia" w:hAnsi="宋体"/>
          <w:color w:val="000000"/>
          <w:sz w:val="28"/>
          <w:szCs w:val="28"/>
        </w:rPr>
        <w:t>投标方应确保供货范围完整，对于属于合同设备运行所必需的部件（含备品、专用工具等），即使本供货范围未列出或数目不足，投标方仍须在执行合同时免费补足。</w:t>
      </w:r>
    </w:p>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项目名称</w:t>
      </w:r>
      <w:r>
        <w:rPr>
          <w:rFonts w:hint="eastAsia" w:hAnsi="宋体" w:cs="Times New Roman"/>
          <w:color w:val="000000"/>
          <w:sz w:val="28"/>
          <w:szCs w:val="28"/>
        </w:rPr>
        <w:t>：202</w:t>
      </w:r>
      <w:r>
        <w:rPr>
          <w:rFonts w:hint="eastAsia" w:hAnsi="宋体" w:cs="Times New Roman"/>
          <w:color w:val="000000"/>
          <w:sz w:val="28"/>
          <w:szCs w:val="28"/>
          <w:lang w:val="en-US" w:eastAsia="zh-CN"/>
        </w:rPr>
        <w:t>4</w:t>
      </w:r>
      <w:r>
        <w:rPr>
          <w:rFonts w:hint="eastAsia" w:hAnsi="宋体" w:cs="Times New Roman"/>
          <w:color w:val="000000"/>
          <w:sz w:val="28"/>
          <w:szCs w:val="28"/>
        </w:rPr>
        <w:t>年崇左网区变电</w:t>
      </w:r>
      <w:bookmarkStart w:id="20" w:name="_GoBack"/>
      <w:bookmarkEnd w:id="20"/>
      <w:r>
        <w:rPr>
          <w:rFonts w:hint="eastAsia" w:hAnsi="宋体" w:cs="Times New Roman"/>
          <w:color w:val="000000"/>
          <w:sz w:val="28"/>
          <w:szCs w:val="28"/>
        </w:rPr>
        <w:t>生产材料项目</w:t>
      </w:r>
    </w:p>
    <w:tbl>
      <w:tblPr>
        <w:tblStyle w:val="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3410"/>
        <w:gridCol w:w="887"/>
        <w:gridCol w:w="813"/>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序号</w:t>
            </w:r>
          </w:p>
        </w:tc>
        <w:tc>
          <w:tcPr>
            <w:tcW w:w="1418"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物资名称</w:t>
            </w:r>
          </w:p>
        </w:tc>
        <w:tc>
          <w:tcPr>
            <w:tcW w:w="3410"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型号规格</w:t>
            </w:r>
          </w:p>
        </w:tc>
        <w:tc>
          <w:tcPr>
            <w:tcW w:w="887"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单位</w:t>
            </w:r>
          </w:p>
        </w:tc>
        <w:tc>
          <w:tcPr>
            <w:tcW w:w="813"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数量</w:t>
            </w:r>
          </w:p>
        </w:tc>
        <w:tc>
          <w:tcPr>
            <w:tcW w:w="2402" w:type="dxa"/>
            <w:vAlign w:val="center"/>
          </w:tcPr>
          <w:p>
            <w:pPr>
              <w:pStyle w:val="9"/>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9"/>
              <w:numPr>
                <w:ilvl w:val="0"/>
                <w:numId w:val="0"/>
              </w:numPr>
              <w:snapToGrid w:val="0"/>
              <w:spacing w:line="324" w:lineRule="auto"/>
              <w:jc w:val="left"/>
              <w:rPr>
                <w:rFonts w:hint="eastAsia" w:hAnsi="宋体"/>
                <w:color w:val="auto"/>
                <w:sz w:val="24"/>
                <w:szCs w:val="24"/>
                <w:lang w:val="en-US" w:eastAsia="zh-CN"/>
              </w:rPr>
            </w:pPr>
            <w:r>
              <w:rPr>
                <w:rFonts w:hint="eastAsia" w:hAnsi="宋体"/>
                <w:color w:val="auto"/>
                <w:sz w:val="24"/>
                <w:szCs w:val="24"/>
                <w:lang w:val="en-US" w:eastAsia="zh-CN"/>
              </w:rPr>
              <w:t>1</w:t>
            </w:r>
          </w:p>
        </w:tc>
        <w:tc>
          <w:tcPr>
            <w:tcW w:w="1418" w:type="dxa"/>
            <w:vAlign w:val="center"/>
          </w:tcPr>
          <w:p>
            <w:pPr>
              <w:pStyle w:val="9"/>
              <w:numPr>
                <w:ilvl w:val="0"/>
                <w:numId w:val="0"/>
              </w:numPr>
              <w:snapToGrid w:val="0"/>
              <w:spacing w:line="324" w:lineRule="auto"/>
              <w:jc w:val="left"/>
              <w:rPr>
                <w:rFonts w:hint="default" w:hAnsi="宋体"/>
                <w:color w:val="auto"/>
                <w:sz w:val="24"/>
                <w:szCs w:val="24"/>
                <w:lang w:val="en-US" w:eastAsia="zh-CN"/>
              </w:rPr>
            </w:pPr>
            <w:r>
              <w:rPr>
                <w:rFonts w:hint="eastAsia" w:hAnsi="宋体"/>
                <w:color w:val="auto"/>
                <w:sz w:val="24"/>
                <w:szCs w:val="24"/>
                <w:lang w:val="en-US" w:eastAsia="zh-CN"/>
              </w:rPr>
              <w:t>电机驱动元件</w:t>
            </w:r>
          </w:p>
        </w:tc>
        <w:tc>
          <w:tcPr>
            <w:tcW w:w="3410" w:type="dxa"/>
            <w:vAlign w:val="center"/>
          </w:tcPr>
          <w:p>
            <w:pPr>
              <w:pStyle w:val="9"/>
              <w:numPr>
                <w:ilvl w:val="0"/>
                <w:numId w:val="0"/>
              </w:numPr>
              <w:snapToGrid w:val="0"/>
              <w:spacing w:line="324" w:lineRule="auto"/>
              <w:jc w:val="left"/>
              <w:rPr>
                <w:rFonts w:hint="default" w:hAnsi="宋体"/>
                <w:color w:val="auto"/>
                <w:sz w:val="24"/>
                <w:szCs w:val="24"/>
                <w:lang w:val="en-US" w:eastAsia="zh-CN"/>
              </w:rPr>
            </w:pPr>
            <w:r>
              <w:rPr>
                <w:rFonts w:hint="eastAsia" w:hAnsi="宋体"/>
                <w:color w:val="auto"/>
                <w:sz w:val="24"/>
                <w:szCs w:val="24"/>
                <w:lang w:val="en-US" w:eastAsia="zh-CN"/>
              </w:rPr>
              <w:t>检测单元</w:t>
            </w:r>
            <w:r>
              <w:rPr>
                <w:rFonts w:hint="default" w:hAnsi="宋体"/>
                <w:color w:val="auto"/>
                <w:sz w:val="24"/>
                <w:szCs w:val="24"/>
                <w:lang w:val="en-US" w:eastAsia="zh-CN"/>
              </w:rPr>
              <w:t>配件-电机驱动元件</w:t>
            </w:r>
            <w:r>
              <w:rPr>
                <w:rFonts w:hint="eastAsia" w:hAnsi="宋体"/>
                <w:color w:val="auto"/>
                <w:sz w:val="24"/>
                <w:szCs w:val="24"/>
                <w:lang w:val="en-US" w:eastAsia="zh-CN"/>
              </w:rPr>
              <w:t>，</w:t>
            </w:r>
            <w:r>
              <w:rPr>
                <w:rFonts w:hint="default" w:hAnsi="宋体"/>
                <w:color w:val="auto"/>
                <w:sz w:val="24"/>
                <w:szCs w:val="24"/>
                <w:lang w:val="en-US" w:eastAsia="zh-CN"/>
              </w:rPr>
              <w:t>用于</w:t>
            </w:r>
            <w:r>
              <w:rPr>
                <w:rFonts w:hint="eastAsia" w:hAnsi="宋体"/>
                <w:color w:val="auto"/>
                <w:sz w:val="24"/>
                <w:szCs w:val="24"/>
                <w:lang w:val="en-US" w:eastAsia="zh-CN"/>
              </w:rPr>
              <w:t>河南省日立信股份有限公司NA1000</w:t>
            </w:r>
            <w:r>
              <w:rPr>
                <w:rFonts w:hint="default" w:hAnsi="宋体"/>
                <w:color w:val="auto"/>
                <w:sz w:val="24"/>
                <w:szCs w:val="24"/>
                <w:lang w:val="en-US" w:eastAsia="zh-CN"/>
              </w:rPr>
              <w:t>型号的</w:t>
            </w:r>
            <w:r>
              <w:rPr>
                <w:rFonts w:hint="eastAsia" w:hAnsi="宋体"/>
                <w:color w:val="auto"/>
                <w:sz w:val="24"/>
                <w:szCs w:val="24"/>
                <w:lang w:val="en-US" w:eastAsia="zh-CN"/>
              </w:rPr>
              <w:t>检测单元</w:t>
            </w:r>
          </w:p>
        </w:tc>
        <w:tc>
          <w:tcPr>
            <w:tcW w:w="887" w:type="dxa"/>
            <w:vAlign w:val="center"/>
          </w:tcPr>
          <w:p>
            <w:pPr>
              <w:pStyle w:val="9"/>
              <w:numPr>
                <w:ilvl w:val="0"/>
                <w:numId w:val="0"/>
              </w:numPr>
              <w:snapToGrid w:val="0"/>
              <w:spacing w:line="324" w:lineRule="auto"/>
              <w:jc w:val="left"/>
              <w:rPr>
                <w:rFonts w:hint="eastAsia" w:hAnsi="宋体"/>
                <w:color w:val="auto"/>
                <w:sz w:val="24"/>
                <w:szCs w:val="24"/>
                <w:lang w:val="en-US" w:eastAsia="zh-CN"/>
              </w:rPr>
            </w:pPr>
            <w:r>
              <w:rPr>
                <w:rFonts w:hint="eastAsia" w:hAnsi="宋体"/>
                <w:color w:val="auto"/>
                <w:sz w:val="24"/>
                <w:szCs w:val="24"/>
                <w:lang w:val="en-US" w:eastAsia="zh-CN"/>
              </w:rPr>
              <w:t>台</w:t>
            </w:r>
          </w:p>
        </w:tc>
        <w:tc>
          <w:tcPr>
            <w:tcW w:w="813" w:type="dxa"/>
            <w:vAlign w:val="center"/>
          </w:tcPr>
          <w:p>
            <w:pPr>
              <w:pStyle w:val="9"/>
              <w:numPr>
                <w:ilvl w:val="0"/>
                <w:numId w:val="0"/>
              </w:numPr>
              <w:snapToGrid w:val="0"/>
              <w:spacing w:line="324" w:lineRule="auto"/>
              <w:jc w:val="left"/>
              <w:rPr>
                <w:rFonts w:hint="default" w:hAnsi="宋体"/>
                <w:color w:val="auto"/>
                <w:sz w:val="24"/>
                <w:szCs w:val="24"/>
                <w:lang w:val="en-US" w:eastAsia="zh-CN"/>
              </w:rPr>
            </w:pPr>
            <w:r>
              <w:rPr>
                <w:rFonts w:hint="eastAsia" w:hAnsi="宋体"/>
                <w:color w:val="auto"/>
                <w:sz w:val="24"/>
                <w:szCs w:val="24"/>
                <w:lang w:val="en-US" w:eastAsia="zh-CN"/>
              </w:rPr>
              <w:t>1</w:t>
            </w:r>
          </w:p>
        </w:tc>
        <w:tc>
          <w:tcPr>
            <w:tcW w:w="2402"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p>
        </w:tc>
      </w:tr>
    </w:tbl>
    <w:p>
      <w:pPr>
        <w:pStyle w:val="9"/>
        <w:numPr>
          <w:ilvl w:val="0"/>
          <w:numId w:val="0"/>
        </w:numPr>
        <w:snapToGrid w:val="0"/>
        <w:spacing w:line="324" w:lineRule="auto"/>
        <w:jc w:val="left"/>
        <w:rPr>
          <w:rFonts w:hint="default" w:hAnsi="宋体"/>
          <w:color w:val="000000"/>
          <w:sz w:val="28"/>
          <w:szCs w:val="28"/>
          <w:lang w:val="en-US" w:eastAsia="zh-CN"/>
        </w:rPr>
      </w:pPr>
      <w:r>
        <w:rPr>
          <w:rFonts w:hint="eastAsia" w:hAnsi="宋体"/>
          <w:color w:val="000000"/>
          <w:sz w:val="28"/>
          <w:szCs w:val="28"/>
        </w:rPr>
        <w:t>联系人及联系方式：</w:t>
      </w:r>
      <w:r>
        <w:rPr>
          <w:rFonts w:hint="eastAsia" w:hAnsi="宋体"/>
          <w:color w:val="000000"/>
          <w:sz w:val="28"/>
          <w:szCs w:val="28"/>
          <w:lang w:val="en-US" w:eastAsia="zh-CN"/>
        </w:rPr>
        <w:t>凌刚</w:t>
      </w:r>
      <w:r>
        <w:rPr>
          <w:rFonts w:hint="eastAsia" w:hAnsi="宋体"/>
          <w:color w:val="000000"/>
          <w:sz w:val="28"/>
          <w:szCs w:val="28"/>
        </w:rPr>
        <w:t>：</w:t>
      </w:r>
      <w:r>
        <w:rPr>
          <w:rFonts w:hint="eastAsia" w:hAnsi="宋体"/>
          <w:color w:val="000000"/>
          <w:sz w:val="28"/>
          <w:szCs w:val="28"/>
          <w:lang w:val="en-US" w:eastAsia="zh-CN"/>
        </w:rPr>
        <w:t>13978118399</w:t>
      </w:r>
    </w:p>
    <w:p>
      <w:pPr>
        <w:pStyle w:val="9"/>
        <w:numPr>
          <w:ilvl w:val="0"/>
          <w:numId w:val="0"/>
        </w:numPr>
        <w:snapToGrid w:val="0"/>
        <w:spacing w:line="324" w:lineRule="auto"/>
        <w:jc w:val="left"/>
        <w:rPr>
          <w:rFonts w:hint="eastAsia" w:hAnsi="宋体" w:eastAsia="宋体"/>
          <w:color w:val="000000"/>
          <w:sz w:val="28"/>
          <w:szCs w:val="28"/>
          <w:lang w:val="en-US" w:eastAsia="zh-CN"/>
        </w:rPr>
      </w:pPr>
      <w:r>
        <w:rPr>
          <w:rFonts w:hint="eastAsia" w:hAnsi="宋体"/>
          <w:color w:val="000000"/>
          <w:sz w:val="28"/>
          <w:szCs w:val="28"/>
        </w:rPr>
        <w:t>送货地址：广西崇左市江州区江南路崇左供电局江南生产</w:t>
      </w:r>
      <w:r>
        <w:rPr>
          <w:rFonts w:hint="eastAsia" w:hAnsi="宋体"/>
          <w:color w:val="000000"/>
          <w:sz w:val="28"/>
          <w:szCs w:val="28"/>
          <w:lang w:val="en-US" w:eastAsia="zh-CN"/>
        </w:rPr>
        <w:t>区</w:t>
      </w:r>
    </w:p>
    <w:p>
      <w:pPr>
        <w:pStyle w:val="9"/>
        <w:snapToGrid w:val="0"/>
        <w:spacing w:line="324" w:lineRule="auto"/>
        <w:rPr>
          <w:rFonts w:hint="eastAsia"/>
          <w:sz w:val="28"/>
          <w:szCs w:val="28"/>
        </w:rPr>
      </w:pPr>
      <w:r>
        <w:rPr>
          <w:rFonts w:hint="eastAsia" w:hAnsi="宋体"/>
          <w:color w:val="000000"/>
          <w:sz w:val="28"/>
          <w:szCs w:val="28"/>
        </w:rPr>
        <w:t>投标方应根据自身设备的具体情况，提供详细的设备配置清单，包括安装材料、专用工具和备品备件，清单中依次说明型号、数量、产地、生产厂家等内容。</w:t>
      </w:r>
    </w:p>
    <w:p>
      <w:pPr>
        <w:pStyle w:val="3"/>
        <w:keepNext w:val="0"/>
        <w:keepLines w:val="0"/>
        <w:snapToGrid w:val="0"/>
        <w:spacing w:line="324" w:lineRule="auto"/>
        <w:ind w:left="0"/>
        <w:rPr>
          <w:rFonts w:hint="eastAsia"/>
          <w:sz w:val="28"/>
          <w:szCs w:val="28"/>
        </w:rPr>
      </w:pPr>
      <w:r>
        <w:rPr>
          <w:rFonts w:hint="eastAsia"/>
          <w:sz w:val="28"/>
          <w:szCs w:val="28"/>
        </w:rPr>
        <w:t>范围和界限</w:t>
      </w:r>
    </w:p>
    <w:p>
      <w:pPr>
        <w:pStyle w:val="9"/>
        <w:snapToGrid w:val="0"/>
        <w:spacing w:line="324" w:lineRule="auto"/>
        <w:rPr>
          <w:rFonts w:hint="eastAsia"/>
          <w:sz w:val="28"/>
          <w:szCs w:val="28"/>
        </w:rPr>
      </w:pPr>
      <w:r>
        <w:rPr>
          <w:rFonts w:hint="eastAsia"/>
          <w:sz w:val="28"/>
          <w:szCs w:val="28"/>
        </w:rPr>
        <w:t>现场安装和试验在投标方的技术指导下由招标方完成。投标方协助招标方</w:t>
      </w:r>
      <w:r>
        <w:rPr>
          <w:rFonts w:hint="eastAsia" w:hAnsi="宋体" w:cs="宋体"/>
          <w:sz w:val="28"/>
          <w:szCs w:val="28"/>
        </w:rPr>
        <w:t>按标准检查安装质量, 处理调试投运过程中出现的问题, 并提供备品、备件，做好销售服务工作。</w:t>
      </w:r>
    </w:p>
    <w:p>
      <w:pPr>
        <w:pStyle w:val="9"/>
        <w:snapToGrid w:val="0"/>
        <w:spacing w:line="324" w:lineRule="auto"/>
        <w:rPr>
          <w:rFonts w:hint="eastAsia"/>
          <w:sz w:val="28"/>
          <w:szCs w:val="28"/>
        </w:rPr>
      </w:pPr>
      <w:r>
        <w:rPr>
          <w:rFonts w:hint="eastAsia"/>
          <w:sz w:val="28"/>
          <w:szCs w:val="28"/>
        </w:rPr>
        <w:t>投标方应协助招标方解决设备运行中出现的问题。</w:t>
      </w:r>
    </w:p>
    <w:p>
      <w:pPr>
        <w:pStyle w:val="9"/>
        <w:snapToGrid w:val="0"/>
        <w:spacing w:line="324" w:lineRule="auto"/>
        <w:rPr>
          <w:rFonts w:hint="eastAsia"/>
          <w:sz w:val="28"/>
          <w:szCs w:val="28"/>
        </w:rPr>
      </w:pPr>
      <w:r>
        <w:rPr>
          <w:rFonts w:hint="eastAsia"/>
          <w:sz w:val="28"/>
          <w:szCs w:val="28"/>
        </w:rPr>
        <w:t>设备安装、调试和性能试验合格后方可投运。设备投运并稳定运行后，投标方和招标方（业主）双方应根据相关法律、法规和公司管理制度签署验收证明书。该证明书共两份，双方各执一份。</w:t>
      </w:r>
    </w:p>
    <w:p>
      <w:pPr>
        <w:pStyle w:val="9"/>
        <w:snapToGrid w:val="0"/>
        <w:spacing w:line="324" w:lineRule="auto"/>
        <w:rPr>
          <w:rFonts w:hint="eastAsia"/>
          <w:sz w:val="28"/>
          <w:szCs w:val="28"/>
        </w:rPr>
      </w:pPr>
      <w:r>
        <w:rPr>
          <w:rFonts w:hint="eastAsia"/>
          <w:sz w:val="28"/>
          <w:szCs w:val="28"/>
        </w:rPr>
        <w:t>如果安装、调试、性能试验、试运行及质保期内技术指标一项或多项不能满足合同技术部分要求，买卖双方共同分析原因，分清责任，如属制造方面的原因，或涉及索赔部分，按商务部分有关条款执行。</w:t>
      </w:r>
    </w:p>
    <w:p>
      <w:pPr>
        <w:pStyle w:val="9"/>
        <w:snapToGrid w:val="0"/>
        <w:spacing w:line="324" w:lineRule="auto"/>
        <w:rPr>
          <w:rFonts w:hint="eastAsia"/>
          <w:sz w:val="28"/>
          <w:szCs w:val="28"/>
        </w:rPr>
      </w:pPr>
      <w:r>
        <w:rPr>
          <w:rFonts w:hint="eastAsia"/>
          <w:sz w:val="28"/>
          <w:szCs w:val="28"/>
        </w:rPr>
        <w:t>本标书未说明，但又与设计、制造、装配、试验、运输、包装、保管、安装和运行维护有关的技术要求，按条款3所规定的有关标准执行。</w:t>
      </w:r>
    </w:p>
    <w:p>
      <w:pPr>
        <w:pStyle w:val="9"/>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2" w:name="_Toc2239"/>
      <w:r>
        <w:rPr>
          <w:rFonts w:hint="eastAsia"/>
          <w:sz w:val="28"/>
          <w:szCs w:val="28"/>
        </w:rPr>
        <w:t>应遵循的主要标准</w:t>
      </w:r>
      <w:bookmarkEnd w:id="2"/>
    </w:p>
    <w:p>
      <w:pPr>
        <w:snapToGrid w:val="0"/>
        <w:spacing w:line="324" w:lineRule="auto"/>
        <w:ind w:firstLine="560" w:firstLineChars="200"/>
        <w:rPr>
          <w:rFonts w:hint="eastAsia"/>
          <w:sz w:val="28"/>
          <w:szCs w:val="28"/>
        </w:rPr>
      </w:pPr>
      <w:r>
        <w:rPr>
          <w:sz w:val="28"/>
          <w:szCs w:val="28"/>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p>
    <w:p>
      <w:pPr>
        <w:pStyle w:val="2"/>
        <w:snapToGrid w:val="0"/>
        <w:spacing w:line="324" w:lineRule="auto"/>
        <w:rPr>
          <w:rFonts w:hint="eastAsia"/>
          <w:sz w:val="28"/>
          <w:szCs w:val="28"/>
        </w:rPr>
      </w:pPr>
      <w:bookmarkStart w:id="3" w:name="_Toc26446"/>
      <w:r>
        <w:rPr>
          <w:rFonts w:hint="eastAsia"/>
          <w:sz w:val="28"/>
          <w:szCs w:val="28"/>
        </w:rPr>
        <w:t>使用条件</w:t>
      </w:r>
      <w:bookmarkEnd w:id="3"/>
    </w:p>
    <w:p>
      <w:pPr>
        <w:pStyle w:val="3"/>
        <w:snapToGrid w:val="0"/>
        <w:spacing w:line="324" w:lineRule="auto"/>
        <w:ind w:left="0"/>
        <w:rPr>
          <w:rFonts w:hint="eastAsia"/>
          <w:b w:val="0"/>
          <w:sz w:val="28"/>
          <w:szCs w:val="28"/>
        </w:rPr>
      </w:pPr>
      <w:r>
        <w:rPr>
          <w:rFonts w:hint="eastAsia"/>
          <w:b w:val="0"/>
          <w:sz w:val="28"/>
          <w:szCs w:val="28"/>
        </w:rPr>
        <w:t>正常工作大气条件</w:t>
      </w:r>
    </w:p>
    <w:p>
      <w:pPr>
        <w:pStyle w:val="9"/>
        <w:snapToGrid w:val="0"/>
        <w:spacing w:line="324" w:lineRule="auto"/>
        <w:rPr>
          <w:rFonts w:hint="eastAsia" w:hAnsi="Times New Roman" w:cs="Times New Roman"/>
          <w:sz w:val="28"/>
          <w:szCs w:val="28"/>
          <w:lang w:val="en-US" w:eastAsia="zh-CN"/>
        </w:rPr>
      </w:pPr>
      <w:r>
        <w:rPr>
          <w:rFonts w:hint="eastAsia"/>
          <w:sz w:val="28"/>
          <w:szCs w:val="28"/>
          <w:lang w:eastAsia="zh-CN"/>
        </w:rPr>
        <w:t>室外</w:t>
      </w:r>
      <w:r>
        <w:rPr>
          <w:rFonts w:hint="eastAsia"/>
          <w:sz w:val="28"/>
          <w:szCs w:val="28"/>
        </w:rPr>
        <w:t>：</w:t>
      </w:r>
      <w:r>
        <w:rPr>
          <w:rFonts w:hint="eastAsia"/>
          <w:sz w:val="28"/>
          <w:szCs w:val="28"/>
          <w:lang w:eastAsia="zh-CN"/>
        </w:rPr>
        <w:t>环境温度</w:t>
      </w:r>
      <w:r>
        <w:rPr>
          <w:rFonts w:hint="eastAsia"/>
          <w:sz w:val="28"/>
          <w:szCs w:val="28"/>
          <w:lang w:val="en-US" w:eastAsia="zh-CN"/>
        </w:rPr>
        <w:t>-10℃—100℃</w:t>
      </w:r>
    </w:p>
    <w:p>
      <w:p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4" w:name="_Toc14465"/>
      <w:r>
        <w:rPr>
          <w:rFonts w:hint="eastAsia"/>
          <w:sz w:val="28"/>
          <w:szCs w:val="28"/>
        </w:rPr>
        <w:t>技术要求</w:t>
      </w:r>
      <w:bookmarkEnd w:id="4"/>
    </w:p>
    <w:p>
      <w:pPr>
        <w:pStyle w:val="3"/>
        <w:keepNext w:val="0"/>
        <w:keepLines w:val="0"/>
        <w:snapToGrid w:val="0"/>
        <w:spacing w:line="324" w:lineRule="auto"/>
        <w:ind w:left="0"/>
        <w:rPr>
          <w:rFonts w:hint="eastAsia"/>
          <w:sz w:val="28"/>
          <w:szCs w:val="28"/>
        </w:rPr>
      </w:pPr>
      <w:bookmarkStart w:id="5" w:name="_Toc6262"/>
      <w:bookmarkStart w:id="6" w:name="_Toc480464137"/>
      <w:r>
        <w:rPr>
          <w:rFonts w:hint="eastAsia"/>
          <w:sz w:val="28"/>
          <w:szCs w:val="28"/>
        </w:rPr>
        <w:t>基本要求</w:t>
      </w:r>
    </w:p>
    <w:p>
      <w:pPr>
        <w:pStyle w:val="9"/>
        <w:numPr>
          <w:ilvl w:val="2"/>
          <w:numId w:val="0"/>
        </w:numPr>
        <w:snapToGrid w:val="0"/>
        <w:spacing w:line="324" w:lineRule="auto"/>
        <w:ind w:leftChars="0"/>
        <w:rPr>
          <w:rFonts w:hint="eastAsia" w:ascii="Arial" w:hAnsi="Arial" w:eastAsia="宋体" w:cs="Arial"/>
          <w:bCs/>
          <w:lang w:val="en-US" w:eastAsia="zh-CN"/>
        </w:rPr>
      </w:pPr>
      <w:r>
        <w:rPr>
          <w:rFonts w:hint="eastAsia"/>
          <w:sz w:val="28"/>
          <w:szCs w:val="28"/>
          <w:lang w:val="en-US" w:eastAsia="zh-CN"/>
        </w:rPr>
        <w:t>5.1</w:t>
      </w:r>
      <w:bookmarkEnd w:id="5"/>
      <w:bookmarkEnd w:id="6"/>
      <w:r>
        <w:rPr>
          <w:rFonts w:hint="eastAsia"/>
          <w:sz w:val="28"/>
          <w:szCs w:val="28"/>
          <w:lang w:val="en-US" w:eastAsia="zh-CN"/>
        </w:rPr>
        <w:t>.1</w:t>
      </w:r>
      <w:r>
        <w:rPr>
          <w:rFonts w:hint="eastAsia"/>
          <w:sz w:val="28"/>
          <w:szCs w:val="28"/>
        </w:rPr>
        <w:t>投标商必须提供与所投产品相符的产品说明书及配件清单，必要时提供产品样品。</w:t>
      </w:r>
      <w:r>
        <w:rPr>
          <w:rFonts w:hint="eastAsia"/>
          <w:sz w:val="28"/>
          <w:szCs w:val="28"/>
          <w:lang w:eastAsia="zh-CN"/>
        </w:rPr>
        <w:t xml:space="preserve"> </w:t>
      </w:r>
      <w:r>
        <w:rPr>
          <w:rFonts w:hint="eastAsia" w:ascii="Arial" w:hAnsi="Arial" w:cs="Arial"/>
          <w:bCs/>
          <w:lang w:val="en-US" w:eastAsia="zh-CN"/>
        </w:rPr>
        <w:t xml:space="preserve">  </w:t>
      </w:r>
    </w:p>
    <w:p>
      <w:pPr>
        <w:pStyle w:val="2"/>
        <w:keepNext w:val="0"/>
        <w:keepLines w:val="0"/>
        <w:numPr>
          <w:ilvl w:val="0"/>
          <w:numId w:val="0"/>
        </w:numPr>
        <w:snapToGrid w:val="0"/>
        <w:spacing w:line="324" w:lineRule="auto"/>
        <w:ind w:leftChars="0"/>
        <w:rPr>
          <w:rFonts w:hint="eastAsia"/>
          <w:sz w:val="28"/>
          <w:szCs w:val="28"/>
        </w:rPr>
      </w:pPr>
      <w:bookmarkStart w:id="7" w:name="_Toc28510"/>
      <w:r>
        <w:rPr>
          <w:rFonts w:hint="eastAsia"/>
          <w:sz w:val="28"/>
          <w:szCs w:val="28"/>
          <w:lang w:val="en-US" w:eastAsia="zh-CN"/>
        </w:rPr>
        <w:t>5.2</w:t>
      </w:r>
      <w:r>
        <w:rPr>
          <w:rFonts w:hint="eastAsia"/>
          <w:sz w:val="28"/>
          <w:szCs w:val="28"/>
        </w:rPr>
        <w:t>技术参数</w:t>
      </w:r>
      <w:bookmarkEnd w:id="7"/>
    </w:p>
    <w:p>
      <w:pPr>
        <w:pStyle w:val="9"/>
        <w:numPr>
          <w:ilvl w:val="2"/>
          <w:numId w:val="0"/>
        </w:numPr>
        <w:snapToGrid w:val="0"/>
        <w:spacing w:line="324" w:lineRule="auto"/>
        <w:ind w:leftChars="0"/>
        <w:rPr>
          <w:rFonts w:hint="default"/>
          <w:sz w:val="28"/>
          <w:szCs w:val="28"/>
          <w:lang w:val="en-US"/>
        </w:rPr>
      </w:pPr>
      <w:bookmarkStart w:id="8" w:name="_Toc18574"/>
      <w:r>
        <w:rPr>
          <w:rFonts w:hint="eastAsia"/>
          <w:sz w:val="28"/>
          <w:szCs w:val="28"/>
          <w:lang w:eastAsia="zh-CN"/>
        </w:rPr>
        <w:t xml:space="preserve"> </w:t>
      </w:r>
      <w:r>
        <w:rPr>
          <w:rFonts w:hint="eastAsia"/>
          <w:sz w:val="28"/>
          <w:szCs w:val="28"/>
          <w:lang w:val="en-US" w:eastAsia="zh-CN"/>
        </w:rPr>
        <w:t>5.2.1尺寸大小参考附图</w:t>
      </w:r>
    </w:p>
    <w:p>
      <w:pPr>
        <w:pStyle w:val="2"/>
        <w:keepNext w:val="0"/>
        <w:keepLines w:val="0"/>
        <w:numPr>
          <w:ilvl w:val="0"/>
          <w:numId w:val="0"/>
        </w:numPr>
        <w:snapToGrid w:val="0"/>
        <w:spacing w:line="324" w:lineRule="auto"/>
        <w:ind w:leftChars="0"/>
        <w:rPr>
          <w:rFonts w:hint="eastAsia"/>
          <w:sz w:val="28"/>
          <w:szCs w:val="28"/>
        </w:rPr>
      </w:pPr>
      <w:r>
        <w:rPr>
          <w:rFonts w:hint="eastAsia"/>
          <w:sz w:val="28"/>
          <w:szCs w:val="28"/>
          <w:lang w:val="en-US" w:eastAsia="zh-CN"/>
        </w:rPr>
        <w:t>5.3</w:t>
      </w:r>
      <w:r>
        <w:rPr>
          <w:rFonts w:hint="eastAsia"/>
          <w:sz w:val="28"/>
          <w:szCs w:val="28"/>
          <w:lang w:eastAsia="zh-CN"/>
        </w:rPr>
        <w:t>其它要求</w:t>
      </w:r>
      <w:bookmarkEnd w:id="8"/>
    </w:p>
    <w:p>
      <w:pPr>
        <w:pStyle w:val="9"/>
        <w:numPr>
          <w:ilvl w:val="2"/>
          <w:numId w:val="0"/>
        </w:numPr>
        <w:snapToGrid w:val="0"/>
        <w:spacing w:line="324" w:lineRule="auto"/>
        <w:ind w:leftChars="0"/>
        <w:rPr>
          <w:rFonts w:hint="eastAsia" w:ascii="Arial" w:hAnsi="Arial" w:cs="Arial"/>
          <w:bCs/>
        </w:rPr>
      </w:pPr>
      <w:r>
        <w:rPr>
          <w:rFonts w:hint="eastAsia"/>
          <w:sz w:val="28"/>
          <w:szCs w:val="28"/>
        </w:rPr>
        <w:t>在正常试验环境及各种操作下，安全可靠。</w:t>
      </w:r>
    </w:p>
    <w:p>
      <w:pPr>
        <w:pStyle w:val="2"/>
        <w:keepNext w:val="0"/>
        <w:keepLines w:val="0"/>
        <w:snapToGrid w:val="0"/>
        <w:spacing w:line="324" w:lineRule="auto"/>
        <w:rPr>
          <w:rFonts w:hint="eastAsia"/>
          <w:sz w:val="28"/>
          <w:szCs w:val="28"/>
        </w:rPr>
      </w:pPr>
      <w:bookmarkStart w:id="9" w:name="_Toc416422057"/>
      <w:r>
        <w:rPr>
          <w:rFonts w:hint="eastAsia"/>
          <w:sz w:val="28"/>
          <w:szCs w:val="28"/>
        </w:rPr>
        <w:t>调试及验收</w:t>
      </w:r>
      <w:bookmarkEnd w:id="9"/>
    </w:p>
    <w:p>
      <w:pPr>
        <w:pStyle w:val="3"/>
        <w:keepNext w:val="0"/>
        <w:keepLines w:val="0"/>
        <w:snapToGrid w:val="0"/>
        <w:spacing w:line="324" w:lineRule="auto"/>
        <w:ind w:left="0"/>
        <w:rPr>
          <w:rFonts w:hint="eastAsia"/>
          <w:sz w:val="28"/>
          <w:szCs w:val="28"/>
        </w:rPr>
      </w:pPr>
      <w:r>
        <w:rPr>
          <w:rFonts w:hint="eastAsia"/>
          <w:sz w:val="28"/>
          <w:szCs w:val="28"/>
        </w:rPr>
        <w:t>现场调试</w:t>
      </w:r>
    </w:p>
    <w:p>
      <w:pPr>
        <w:pStyle w:val="9"/>
        <w:snapToGrid w:val="0"/>
        <w:spacing w:line="324" w:lineRule="auto"/>
        <w:rPr>
          <w:rFonts w:hint="eastAsia"/>
          <w:sz w:val="28"/>
          <w:szCs w:val="28"/>
        </w:rPr>
      </w:pPr>
      <w:r>
        <w:rPr>
          <w:rFonts w:hint="eastAsia"/>
          <w:sz w:val="28"/>
          <w:szCs w:val="28"/>
        </w:rPr>
        <w:t>设备到达现场</w:t>
      </w:r>
      <w:r>
        <w:rPr>
          <w:sz w:val="28"/>
          <w:szCs w:val="28"/>
        </w:rPr>
        <w:t>后</w:t>
      </w:r>
      <w:r>
        <w:rPr>
          <w:rFonts w:hint="eastAsia"/>
          <w:sz w:val="28"/>
          <w:szCs w:val="28"/>
        </w:rPr>
        <w:t>，招标方应通知投标方人员到场参加设备调试。投标方应派出有经验的专家提供技术服务。</w:t>
      </w:r>
    </w:p>
    <w:p>
      <w:pPr>
        <w:pStyle w:val="9"/>
        <w:snapToGrid w:val="0"/>
        <w:spacing w:line="324" w:lineRule="auto"/>
        <w:rPr>
          <w:rFonts w:hint="eastAsia"/>
          <w:sz w:val="28"/>
          <w:szCs w:val="28"/>
        </w:rPr>
      </w:pPr>
      <w:r>
        <w:rPr>
          <w:rFonts w:hint="eastAsia"/>
          <w:sz w:val="28"/>
          <w:szCs w:val="28"/>
        </w:rPr>
        <w:t>在调试过程中，若发现设备存在元器件损坏或不正常工作情况，投标方应负责更换。</w:t>
      </w:r>
    </w:p>
    <w:p>
      <w:pPr>
        <w:pStyle w:val="3"/>
        <w:keepNext w:val="0"/>
        <w:keepLines w:val="0"/>
        <w:snapToGrid w:val="0"/>
        <w:spacing w:line="324" w:lineRule="auto"/>
        <w:ind w:left="0"/>
        <w:rPr>
          <w:rFonts w:hint="eastAsia"/>
          <w:sz w:val="28"/>
          <w:szCs w:val="28"/>
        </w:rPr>
      </w:pPr>
      <w:r>
        <w:rPr>
          <w:rFonts w:hint="eastAsia"/>
          <w:sz w:val="28"/>
          <w:szCs w:val="28"/>
        </w:rPr>
        <w:t>现场验收</w:t>
      </w:r>
    </w:p>
    <w:p>
      <w:pPr>
        <w:pStyle w:val="9"/>
        <w:snapToGrid w:val="0"/>
        <w:spacing w:line="324" w:lineRule="auto"/>
        <w:rPr>
          <w:rFonts w:hint="eastAsia"/>
          <w:sz w:val="28"/>
          <w:szCs w:val="28"/>
        </w:rPr>
      </w:pPr>
      <w:r>
        <w:rPr>
          <w:rFonts w:hint="eastAsia"/>
          <w:sz w:val="28"/>
          <w:szCs w:val="28"/>
        </w:rPr>
        <w:t>现场验收应在所有设备安装调试完毕，且设备准备投入试运行时进行</w:t>
      </w:r>
      <w:r>
        <w:rPr>
          <w:sz w:val="28"/>
          <w:szCs w:val="28"/>
        </w:rPr>
        <w:t>,</w:t>
      </w:r>
      <w:r>
        <w:rPr>
          <w:rFonts w:hint="eastAsia"/>
          <w:sz w:val="28"/>
          <w:szCs w:val="28"/>
        </w:rPr>
        <w:t>并出具书面测试报告。</w:t>
      </w:r>
    </w:p>
    <w:p>
      <w:pPr>
        <w:pStyle w:val="9"/>
        <w:snapToGrid w:val="0"/>
        <w:spacing w:line="324" w:lineRule="auto"/>
        <w:rPr>
          <w:rFonts w:hint="eastAsia"/>
          <w:sz w:val="28"/>
          <w:szCs w:val="28"/>
        </w:rPr>
      </w:pPr>
      <w:r>
        <w:rPr>
          <w:rFonts w:hint="eastAsia"/>
          <w:sz w:val="28"/>
          <w:szCs w:val="28"/>
        </w:rPr>
        <w:t>备品备件、文档资料均作为验收的一部分。</w:t>
      </w:r>
    </w:p>
    <w:p>
      <w:pPr>
        <w:pStyle w:val="2"/>
        <w:keepNext w:val="0"/>
        <w:keepLines w:val="0"/>
        <w:snapToGrid w:val="0"/>
        <w:spacing w:line="324" w:lineRule="auto"/>
        <w:rPr>
          <w:rFonts w:hint="eastAsia"/>
          <w:sz w:val="28"/>
          <w:szCs w:val="28"/>
        </w:rPr>
      </w:pPr>
      <w:bookmarkStart w:id="10" w:name="_Toc416422058"/>
      <w:r>
        <w:rPr>
          <w:rFonts w:hint="eastAsia"/>
          <w:sz w:val="28"/>
          <w:szCs w:val="28"/>
        </w:rPr>
        <w:t>技术文件要求、培训</w:t>
      </w:r>
      <w:bookmarkEnd w:id="10"/>
    </w:p>
    <w:p>
      <w:pPr>
        <w:pStyle w:val="3"/>
        <w:keepNext w:val="0"/>
        <w:keepLines w:val="0"/>
        <w:snapToGrid w:val="0"/>
        <w:spacing w:line="324" w:lineRule="auto"/>
        <w:ind w:left="0"/>
        <w:rPr>
          <w:rFonts w:hint="eastAsia"/>
          <w:sz w:val="28"/>
          <w:szCs w:val="28"/>
        </w:rPr>
      </w:pPr>
      <w:r>
        <w:rPr>
          <w:rFonts w:hint="eastAsia"/>
          <w:sz w:val="28"/>
          <w:szCs w:val="28"/>
        </w:rPr>
        <w:t>技术文件要求</w:t>
      </w:r>
    </w:p>
    <w:p>
      <w:pPr>
        <w:pStyle w:val="9"/>
        <w:snapToGrid w:val="0"/>
        <w:spacing w:line="324" w:lineRule="auto"/>
        <w:rPr>
          <w:rFonts w:hint="eastAsia"/>
          <w:sz w:val="28"/>
          <w:szCs w:val="28"/>
        </w:rPr>
      </w:pPr>
      <w:r>
        <w:rPr>
          <w:rFonts w:hAnsi="宋体"/>
          <w:sz w:val="28"/>
          <w:szCs w:val="28"/>
        </w:rPr>
        <w:t>投标方提供的</w:t>
      </w:r>
      <w:r>
        <w:rPr>
          <w:rFonts w:hint="eastAsia" w:hAnsi="宋体"/>
          <w:sz w:val="28"/>
          <w:szCs w:val="28"/>
        </w:rPr>
        <w:t>图纸、</w:t>
      </w:r>
      <w:r>
        <w:rPr>
          <w:rFonts w:hAnsi="宋体"/>
          <w:sz w:val="28"/>
          <w:szCs w:val="28"/>
        </w:rPr>
        <w:t>资料</w:t>
      </w:r>
      <w:r>
        <w:rPr>
          <w:rFonts w:hint="eastAsia" w:hAnsi="宋体"/>
          <w:sz w:val="28"/>
          <w:szCs w:val="28"/>
        </w:rPr>
        <w:t>、文件</w:t>
      </w:r>
      <w:r>
        <w:rPr>
          <w:rFonts w:hAnsi="宋体"/>
          <w:sz w:val="28"/>
          <w:szCs w:val="28"/>
        </w:rPr>
        <w:t>应使用国家法定单位制即国际单位制，语言为中文。资料的组织结构清晰</w:t>
      </w:r>
      <w:r>
        <w:rPr>
          <w:rFonts w:hint="eastAsia" w:hAnsi="宋体"/>
          <w:sz w:val="28"/>
          <w:szCs w:val="28"/>
        </w:rPr>
        <w:t>，</w:t>
      </w:r>
      <w:r>
        <w:rPr>
          <w:rFonts w:hAnsi="宋体"/>
          <w:sz w:val="28"/>
          <w:szCs w:val="28"/>
        </w:rPr>
        <w:t>内容正确、一致、清晰、完整，满足工程要求。</w:t>
      </w:r>
    </w:p>
    <w:p>
      <w:pPr>
        <w:pStyle w:val="9"/>
        <w:snapToGrid w:val="0"/>
        <w:spacing w:line="324" w:lineRule="auto"/>
        <w:rPr>
          <w:rFonts w:hint="eastAsia"/>
          <w:sz w:val="28"/>
          <w:szCs w:val="28"/>
        </w:rPr>
      </w:pPr>
      <w:r>
        <w:rPr>
          <w:rFonts w:hint="eastAsia"/>
          <w:sz w:val="28"/>
          <w:szCs w:val="28"/>
        </w:rPr>
        <w:t>投标方应承诺在签订合同后</w:t>
      </w:r>
      <w:r>
        <w:rPr>
          <w:rFonts w:hint="eastAsia"/>
          <w:color w:val="0000FF"/>
          <w:sz w:val="28"/>
          <w:szCs w:val="28"/>
          <w:u w:val="single"/>
          <w:lang w:val="en-US" w:eastAsia="zh-CN"/>
        </w:rPr>
        <w:t>\</w:t>
      </w:r>
      <w:r>
        <w:rPr>
          <w:rFonts w:hint="eastAsia"/>
          <w:sz w:val="28"/>
          <w:szCs w:val="28"/>
        </w:rPr>
        <w:t>天内提供用于设计、安装、运维使用的文件、图纸及设备操作维护手册等。</w:t>
      </w:r>
    </w:p>
    <w:p>
      <w:pPr>
        <w:pStyle w:val="9"/>
        <w:snapToGrid w:val="0"/>
        <w:spacing w:line="324" w:lineRule="auto"/>
        <w:rPr>
          <w:rFonts w:hint="eastAsia"/>
          <w:sz w:val="28"/>
          <w:szCs w:val="28"/>
        </w:rPr>
      </w:pPr>
      <w:r>
        <w:rPr>
          <w:rFonts w:hint="eastAsia"/>
          <w:sz w:val="28"/>
          <w:szCs w:val="28"/>
        </w:rPr>
        <w:t>投标方应对其所提供的全部文档的准确性和完整性负责。所有由投标方采购供货的第三方设备的技术手册的准确性由投标方负责。</w:t>
      </w:r>
      <w:r>
        <w:rPr>
          <w:sz w:val="28"/>
          <w:szCs w:val="28"/>
        </w:rPr>
        <w:t>对于其它没有列入合同技术资料清单，却是工程所必需的文件和资料，一经发现，投标方也应及时免费提供。</w:t>
      </w:r>
    </w:p>
    <w:p>
      <w:pPr>
        <w:pStyle w:val="3"/>
        <w:keepNext w:val="0"/>
        <w:keepLines w:val="0"/>
        <w:snapToGrid w:val="0"/>
        <w:spacing w:line="324" w:lineRule="auto"/>
        <w:ind w:left="0"/>
        <w:rPr>
          <w:rFonts w:hint="eastAsia"/>
          <w:sz w:val="28"/>
          <w:szCs w:val="28"/>
        </w:rPr>
      </w:pPr>
      <w:r>
        <w:rPr>
          <w:rFonts w:hint="eastAsia"/>
          <w:sz w:val="28"/>
          <w:szCs w:val="28"/>
        </w:rPr>
        <w:t>培训</w:t>
      </w:r>
    </w:p>
    <w:p>
      <w:pPr>
        <w:pStyle w:val="9"/>
        <w:snapToGrid w:val="0"/>
        <w:spacing w:line="324" w:lineRule="auto"/>
        <w:rPr>
          <w:rFonts w:hint="eastAsia"/>
          <w:sz w:val="28"/>
          <w:szCs w:val="28"/>
        </w:rPr>
      </w:pPr>
      <w:r>
        <w:rPr>
          <w:rFonts w:hint="eastAsia"/>
          <w:sz w:val="28"/>
          <w:szCs w:val="28"/>
        </w:rPr>
        <w:t>投标方负责对招标方的人员进行现场培训，培训内容包括：设备安装调试、运行维护等。</w:t>
      </w:r>
    </w:p>
    <w:p>
      <w:pPr>
        <w:pStyle w:val="9"/>
        <w:snapToGrid w:val="0"/>
        <w:spacing w:line="324" w:lineRule="auto"/>
        <w:rPr>
          <w:rFonts w:hint="eastAsia"/>
          <w:sz w:val="28"/>
          <w:szCs w:val="28"/>
        </w:rPr>
      </w:pPr>
      <w:r>
        <w:rPr>
          <w:rFonts w:hint="eastAsia"/>
          <w:sz w:val="28"/>
          <w:szCs w:val="28"/>
        </w:rPr>
        <w:t>投标方应向受训人员提供必要的技术资料、图纸、参考材料、培训手册、工具等。</w:t>
      </w:r>
    </w:p>
    <w:p>
      <w:pPr>
        <w:pStyle w:val="9"/>
        <w:snapToGrid w:val="0"/>
        <w:spacing w:line="324" w:lineRule="auto"/>
        <w:rPr>
          <w:rFonts w:hint="eastAsia"/>
          <w:sz w:val="28"/>
          <w:szCs w:val="28"/>
        </w:rPr>
      </w:pPr>
      <w:r>
        <w:rPr>
          <w:rFonts w:hint="eastAsia"/>
          <w:sz w:val="28"/>
          <w:szCs w:val="28"/>
        </w:rPr>
        <w:t>投标方应定出培训大纲及培训计划交招标方确认，根据招标方实际需求进行修改。</w:t>
      </w:r>
    </w:p>
    <w:p>
      <w:pPr>
        <w:pStyle w:val="9"/>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11" w:name="_Toc416422059"/>
      <w:r>
        <w:rPr>
          <w:rFonts w:hint="eastAsia"/>
          <w:sz w:val="28"/>
          <w:szCs w:val="28"/>
        </w:rPr>
        <w:t>包装、运输、安装及质量保证</w:t>
      </w:r>
      <w:bookmarkEnd w:id="11"/>
    </w:p>
    <w:p>
      <w:pPr>
        <w:pStyle w:val="10"/>
        <w:keepNext w:val="0"/>
        <w:keepLines w:val="0"/>
        <w:snapToGrid w:val="0"/>
        <w:spacing w:line="324" w:lineRule="auto"/>
        <w:ind w:left="0"/>
        <w:rPr>
          <w:rFonts w:hint="eastAsia" w:hAnsi="宋体"/>
          <w:sz w:val="28"/>
          <w:szCs w:val="28"/>
        </w:rPr>
      </w:pPr>
      <w:bookmarkStart w:id="12" w:name="_Toc240452888"/>
      <w:bookmarkStart w:id="13" w:name="_Toc289089107"/>
      <w:bookmarkStart w:id="14" w:name="_Toc296962415"/>
      <w:bookmarkStart w:id="15" w:name="_Toc296359235"/>
      <w:bookmarkStart w:id="16" w:name="_Toc296359234"/>
      <w:bookmarkStart w:id="17" w:name="_Toc296962416"/>
      <w:r>
        <w:rPr>
          <w:rFonts w:hint="eastAsia" w:hAnsi="宋体"/>
          <w:sz w:val="28"/>
          <w:szCs w:val="28"/>
        </w:rPr>
        <w:t>设备本体（含所有零部件）与资料分开单独包装，防止受潮，保证设备及其资料完好无损。</w:t>
      </w:r>
    </w:p>
    <w:p>
      <w:pPr>
        <w:pStyle w:val="10"/>
        <w:keepNext w:val="0"/>
        <w:keepLines w:val="0"/>
        <w:snapToGrid w:val="0"/>
        <w:spacing w:line="324" w:lineRule="auto"/>
        <w:ind w:left="0"/>
        <w:rPr>
          <w:rFonts w:hAnsi="宋体"/>
          <w:sz w:val="28"/>
          <w:szCs w:val="28"/>
        </w:rPr>
      </w:pPr>
      <w:r>
        <w:rPr>
          <w:rFonts w:hint="eastAsia" w:hAnsi="宋体"/>
          <w:sz w:val="28"/>
          <w:szCs w:val="28"/>
        </w:rPr>
        <w:t>交付的设备应符合相关包装储运指示标志的规定，按照国家有关部门最新的规定进行包装，以便合同货物在没有任何损坏和腐蚀的情况下安全地运抵合同货物安装现场。合同货物包装前，卖方应负责按部套进行检查清理，不留异物，并保证零部件齐全。</w:t>
      </w:r>
    </w:p>
    <w:p>
      <w:pPr>
        <w:pStyle w:val="10"/>
        <w:keepNext w:val="0"/>
        <w:keepLines w:val="0"/>
        <w:snapToGrid w:val="0"/>
        <w:spacing w:line="324" w:lineRule="auto"/>
        <w:ind w:left="0"/>
        <w:rPr>
          <w:rFonts w:hint="eastAsia"/>
          <w:sz w:val="28"/>
          <w:szCs w:val="28"/>
        </w:rPr>
      </w:pPr>
      <w:r>
        <w:rPr>
          <w:rFonts w:hint="eastAsia"/>
          <w:sz w:val="28"/>
          <w:szCs w:val="28"/>
        </w:rPr>
        <w:t>在包装箱上应以不褪色的醒目标志标明：合同号、目的地、收货人、设备名称、箱号、毛重、外形尺寸、运输警示标识等。</w:t>
      </w:r>
      <w:r>
        <w:rPr>
          <w:rFonts w:hint="eastAsia" w:hAnsi="宋体"/>
          <w:sz w:val="28"/>
          <w:szCs w:val="28"/>
        </w:rPr>
        <w:t>包装箱应连续编号</w:t>
      </w:r>
      <w:r>
        <w:rPr>
          <w:rFonts w:hAnsi="宋体"/>
          <w:sz w:val="28"/>
          <w:szCs w:val="28"/>
        </w:rPr>
        <w:t>，</w:t>
      </w:r>
      <w:r>
        <w:rPr>
          <w:rFonts w:hint="eastAsia" w:hAnsi="宋体"/>
          <w:sz w:val="28"/>
          <w:szCs w:val="28"/>
        </w:rPr>
        <w:t>不能有重号。</w:t>
      </w:r>
    </w:p>
    <w:p>
      <w:pPr>
        <w:pStyle w:val="10"/>
        <w:keepNext w:val="0"/>
        <w:keepLines w:val="0"/>
        <w:snapToGrid w:val="0"/>
        <w:spacing w:line="324" w:lineRule="auto"/>
        <w:ind w:left="0"/>
        <w:rPr>
          <w:rFonts w:hint="eastAsia"/>
          <w:sz w:val="28"/>
          <w:szCs w:val="28"/>
        </w:rPr>
      </w:pPr>
      <w:r>
        <w:rPr>
          <w:rFonts w:hint="eastAsia" w:hAnsi="宋体"/>
          <w:spacing w:val="-2"/>
          <w:sz w:val="28"/>
          <w:szCs w:val="28"/>
        </w:rPr>
        <w:t>备品备件、专用工具等应随设备同时装运，但必须单独包装，并明显标记。</w:t>
      </w:r>
    </w:p>
    <w:p>
      <w:pPr>
        <w:pStyle w:val="10"/>
        <w:keepNext w:val="0"/>
        <w:keepLines w:val="0"/>
        <w:snapToGrid w:val="0"/>
        <w:spacing w:line="324" w:lineRule="auto"/>
        <w:ind w:left="0"/>
        <w:rPr>
          <w:rFonts w:hint="eastAsia"/>
          <w:sz w:val="28"/>
          <w:szCs w:val="28"/>
        </w:rPr>
      </w:pPr>
      <w:r>
        <w:rPr>
          <w:rFonts w:hint="eastAsia"/>
          <w:sz w:val="28"/>
          <w:szCs w:val="28"/>
        </w:rPr>
        <w:t>制造厂在安装和启动时应安排技术人员提供现场安装指导服务，提出技术建议，并有对运行人员提供相关培训的义务。</w:t>
      </w:r>
      <w:r>
        <w:rPr>
          <w:sz w:val="28"/>
          <w:szCs w:val="28"/>
        </w:rPr>
        <w:t>制造厂应提供</w:t>
      </w:r>
      <w:r>
        <w:rPr>
          <w:rFonts w:hint="eastAsia"/>
          <w:sz w:val="28"/>
          <w:szCs w:val="28"/>
        </w:rPr>
        <w:t>设备</w:t>
      </w:r>
      <w:r>
        <w:rPr>
          <w:sz w:val="28"/>
          <w:szCs w:val="28"/>
        </w:rPr>
        <w:t>专用工具</w:t>
      </w:r>
      <w:r>
        <w:rPr>
          <w:rFonts w:hint="eastAsia"/>
          <w:sz w:val="28"/>
          <w:szCs w:val="28"/>
        </w:rPr>
        <w:t>。</w:t>
      </w:r>
      <w:r>
        <w:rPr>
          <w:sz w:val="28"/>
          <w:szCs w:val="28"/>
        </w:rPr>
        <w:t>设备在</w:t>
      </w:r>
    </w:p>
    <w:p>
      <w:pPr>
        <w:pStyle w:val="10"/>
        <w:keepNext w:val="0"/>
        <w:keepLines w:val="0"/>
        <w:snapToGrid w:val="0"/>
        <w:spacing w:line="324" w:lineRule="auto"/>
        <w:ind w:left="0"/>
        <w:rPr>
          <w:rFonts w:hint="eastAsia"/>
          <w:sz w:val="28"/>
          <w:szCs w:val="28"/>
        </w:rPr>
      </w:pPr>
      <w:r>
        <w:rPr>
          <w:rFonts w:hint="eastAsia"/>
          <w:sz w:val="28"/>
          <w:szCs w:val="28"/>
        </w:rPr>
        <w:t>全部设备必须是全新的, 持久耐用的,应满足作为一个完整产品所能满足的全部要求。投标方应保证设备在规定的使用条件下运行、并按使用说明书进行安装和维护、预期寿命应不少于</w:t>
      </w:r>
      <w:r>
        <w:rPr>
          <w:sz w:val="28"/>
          <w:szCs w:val="28"/>
        </w:rPr>
        <w:t>15</w:t>
      </w:r>
      <w:r>
        <w:rPr>
          <w:rFonts w:hint="eastAsia"/>
          <w:sz w:val="28"/>
          <w:szCs w:val="28"/>
        </w:rPr>
        <w:t>年</w:t>
      </w:r>
      <w:r>
        <w:rPr>
          <w:sz w:val="28"/>
          <w:szCs w:val="28"/>
        </w:rPr>
        <w:t>。</w:t>
      </w:r>
    </w:p>
    <w:p>
      <w:pPr>
        <w:pStyle w:val="10"/>
        <w:keepNext w:val="0"/>
        <w:keepLines w:val="0"/>
        <w:snapToGrid w:val="0"/>
        <w:spacing w:line="324" w:lineRule="auto"/>
        <w:ind w:left="0"/>
        <w:rPr>
          <w:sz w:val="28"/>
          <w:szCs w:val="28"/>
        </w:rPr>
      </w:pPr>
      <w:r>
        <w:rPr>
          <w:rFonts w:hint="eastAsia"/>
          <w:sz w:val="28"/>
          <w:szCs w:val="28"/>
        </w:rPr>
        <w:t>投标方应对其整套设备在到货后提供不少于三年的“三包”质量保证，</w:t>
      </w:r>
      <w:r>
        <w:rPr>
          <w:sz w:val="28"/>
          <w:szCs w:val="28"/>
        </w:rPr>
        <w:t>并在质保期外实施终身保修</w:t>
      </w:r>
      <w:r>
        <w:rPr>
          <w:rFonts w:hint="eastAsia"/>
          <w:sz w:val="28"/>
          <w:szCs w:val="28"/>
        </w:rPr>
        <w:t>。质保期之后如发生产品损坏，投标方应及时为本套装置提供维修部件，并按最近的投标价提供。</w:t>
      </w:r>
    </w:p>
    <w:p>
      <w:pPr>
        <w:pStyle w:val="10"/>
        <w:keepNext w:val="0"/>
        <w:keepLines w:val="0"/>
        <w:snapToGrid w:val="0"/>
        <w:spacing w:line="324" w:lineRule="auto"/>
        <w:ind w:left="0"/>
        <w:rPr>
          <w:sz w:val="28"/>
          <w:szCs w:val="28"/>
        </w:rPr>
      </w:pPr>
      <w:r>
        <w:rPr>
          <w:rFonts w:hint="eastAsia"/>
          <w:sz w:val="28"/>
          <w:szCs w:val="28"/>
        </w:rPr>
        <w:t>产品验收后3年内因卖方产品质量问题或客户使用疑问，供方将派出的有经验的技术人员通过到现场或电话进行技术服务、指导。</w:t>
      </w:r>
    </w:p>
    <w:p>
      <w:pPr>
        <w:pStyle w:val="10"/>
        <w:keepNext w:val="0"/>
        <w:keepLines w:val="0"/>
        <w:snapToGrid w:val="0"/>
        <w:spacing w:line="324" w:lineRule="auto"/>
        <w:ind w:left="0"/>
        <w:rPr>
          <w:rFonts w:hint="eastAsia"/>
          <w:sz w:val="28"/>
          <w:szCs w:val="28"/>
        </w:rPr>
      </w:pPr>
      <w:r>
        <w:rPr>
          <w:rFonts w:hint="eastAsia"/>
          <w:sz w:val="28"/>
          <w:szCs w:val="28"/>
        </w:rPr>
        <w:t>质保期内因卖方质量问题，无法继续工作，供方将无偿提供备用设备直到产品修理完成为止。</w:t>
      </w:r>
    </w:p>
    <w:p>
      <w:pPr>
        <w:pStyle w:val="10"/>
        <w:keepNext w:val="0"/>
        <w:keepLines w:val="0"/>
        <w:snapToGrid w:val="0"/>
        <w:spacing w:line="324" w:lineRule="auto"/>
        <w:ind w:left="0"/>
        <w:rPr>
          <w:rFonts w:hint="eastAsia"/>
          <w:sz w:val="28"/>
          <w:szCs w:val="28"/>
        </w:rPr>
      </w:pPr>
      <w:r>
        <w:rPr>
          <w:rFonts w:hint="eastAsia"/>
          <w:sz w:val="28"/>
          <w:szCs w:val="28"/>
        </w:rPr>
        <w:t>订购的新型产品除应满足本招标技术文件外， 投标方还应提供产品的鉴定证书。</w:t>
      </w:r>
    </w:p>
    <w:p>
      <w:pPr>
        <w:pStyle w:val="10"/>
        <w:keepNext w:val="0"/>
        <w:keepLines w:val="0"/>
        <w:snapToGrid w:val="0"/>
        <w:spacing w:line="324" w:lineRule="auto"/>
        <w:ind w:left="0"/>
        <w:rPr>
          <w:rFonts w:hint="eastAsia"/>
          <w:sz w:val="28"/>
          <w:szCs w:val="28"/>
        </w:rPr>
      </w:pPr>
      <w:r>
        <w:rPr>
          <w:rFonts w:hint="eastAsia"/>
          <w:sz w:val="28"/>
          <w:szCs w:val="28"/>
        </w:rPr>
        <w:t>投标方应保证制造过程中的所有工艺、材料等（包括投标方的外购件在内）均应符合本招标技术文件的规定。若招标方根据运行经验指定投标方提供某种外购零部件，投标方应积极配合。</w:t>
      </w:r>
    </w:p>
    <w:p>
      <w:pPr>
        <w:pStyle w:val="10"/>
        <w:keepNext w:val="0"/>
        <w:keepLines w:val="0"/>
        <w:snapToGrid w:val="0"/>
        <w:spacing w:line="324" w:lineRule="auto"/>
        <w:ind w:left="0"/>
        <w:rPr>
          <w:rFonts w:hint="eastAsia"/>
          <w:sz w:val="28"/>
          <w:szCs w:val="28"/>
        </w:rPr>
      </w:pPr>
      <w:r>
        <w:rPr>
          <w:rFonts w:hint="eastAsia"/>
          <w:sz w:val="28"/>
          <w:szCs w:val="28"/>
        </w:rPr>
        <w:t>投标方应遵守本招标技术文件中各条款和工作项目的ISO9000、GB/T19000质量保证体系, 该质量保证体系已经过国家认证和正常运转。</w:t>
      </w:r>
    </w:p>
    <w:bookmarkEnd w:id="12"/>
    <w:bookmarkEnd w:id="13"/>
    <w:bookmarkEnd w:id="14"/>
    <w:bookmarkEnd w:id="15"/>
    <w:bookmarkEnd w:id="16"/>
    <w:bookmarkEnd w:id="17"/>
    <w:p>
      <w:pPr>
        <w:pStyle w:val="2"/>
        <w:keepNext w:val="0"/>
        <w:keepLines w:val="0"/>
        <w:snapToGrid w:val="0"/>
        <w:spacing w:line="324" w:lineRule="auto"/>
        <w:rPr>
          <w:rFonts w:hint="eastAsia"/>
          <w:sz w:val="28"/>
          <w:szCs w:val="28"/>
        </w:rPr>
      </w:pPr>
      <w:bookmarkStart w:id="18" w:name="_Toc416422060"/>
      <w:r>
        <w:rPr>
          <w:rFonts w:hint="eastAsia"/>
          <w:sz w:val="28"/>
          <w:szCs w:val="28"/>
        </w:rPr>
        <w:t>技术差异表</w:t>
      </w:r>
      <w:bookmarkEnd w:id="18"/>
    </w:p>
    <w:tbl>
      <w:tblPr>
        <w:tblStyle w:val="6"/>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r>
              <w:rPr>
                <w:rFonts w:hint="eastAsia"/>
                <w:sz w:val="28"/>
                <w:szCs w:val="28"/>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c>
          <w:tcPr>
            <w:tcW w:w="109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320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bl>
    <w:p>
      <w:pPr>
        <w:pStyle w:val="2"/>
        <w:keepNext w:val="0"/>
        <w:keepLines w:val="0"/>
        <w:snapToGrid w:val="0"/>
        <w:spacing w:line="324" w:lineRule="auto"/>
        <w:rPr>
          <w:rFonts w:hint="eastAsia"/>
          <w:sz w:val="28"/>
          <w:szCs w:val="28"/>
        </w:rPr>
      </w:pPr>
      <w:bookmarkStart w:id="19" w:name="_Toc31035"/>
      <w:r>
        <w:rPr>
          <w:rFonts w:hint="eastAsia"/>
          <w:sz w:val="28"/>
          <w:szCs w:val="28"/>
        </w:rPr>
        <w:t>投标方需要说明的其它问题</w:t>
      </w:r>
      <w:bookmarkEnd w:id="19"/>
    </w:p>
    <w:p>
      <w:pPr>
        <w:pStyle w:val="9"/>
        <w:numPr>
          <w:ilvl w:val="0"/>
          <w:numId w:val="0"/>
        </w:numPr>
        <w:snapToGrid w:val="0"/>
        <w:spacing w:line="324" w:lineRule="auto"/>
        <w:rPr>
          <w:rFonts w:hint="eastAsia"/>
          <w:sz w:val="28"/>
          <w:szCs w:val="28"/>
          <w:lang w:val="en-US" w:eastAsia="zh-CN"/>
        </w:rPr>
      </w:pPr>
      <w:r>
        <w:rPr>
          <w:rFonts w:hint="eastAsia"/>
          <w:sz w:val="28"/>
          <w:szCs w:val="28"/>
        </w:rPr>
        <w:t>附图（仅供参考）</w:t>
      </w:r>
      <w:r>
        <w:rPr>
          <w:rFonts w:hint="eastAsia"/>
          <w:sz w:val="28"/>
          <w:szCs w:val="28"/>
          <w:lang w:val="en-US" w:eastAsia="zh-CN"/>
        </w:rPr>
        <w:t>:</w:t>
      </w:r>
    </w:p>
    <w:p>
      <w:pPr>
        <w:pStyle w:val="9"/>
        <w:numPr>
          <w:ilvl w:val="0"/>
          <w:numId w:val="0"/>
        </w:numPr>
        <w:snapToGrid w:val="0"/>
        <w:spacing w:line="324" w:lineRule="auto"/>
        <w:jc w:val="center"/>
        <w:rPr>
          <w:rFonts w:hint="eastAsia" w:eastAsia="宋体"/>
          <w:sz w:val="28"/>
          <w:szCs w:val="28"/>
          <w:lang w:eastAsia="zh-CN"/>
        </w:rPr>
      </w:pPr>
      <w:r>
        <w:rPr>
          <w:rFonts w:hint="eastAsia" w:eastAsia="宋体"/>
          <w:sz w:val="28"/>
          <w:szCs w:val="28"/>
          <w:lang w:eastAsia="zh-CN"/>
        </w:rPr>
        <w:drawing>
          <wp:inline distT="0" distB="0" distL="114300" distR="114300">
            <wp:extent cx="3840480" cy="6953885"/>
            <wp:effectExtent l="0" t="0" r="7620" b="18415"/>
            <wp:docPr id="2" name="图片 2" descr="b0bc483d8a6ccd4cbb0e94848b76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0bc483d8a6ccd4cbb0e94848b764093"/>
                    <pic:cNvPicPr>
                      <a:picLocks noChangeAspect="1"/>
                    </pic:cNvPicPr>
                  </pic:nvPicPr>
                  <pic:blipFill>
                    <a:blip r:embed="rId9"/>
                    <a:stretch>
                      <a:fillRect/>
                    </a:stretch>
                  </pic:blipFill>
                  <pic:spPr>
                    <a:xfrm>
                      <a:off x="0" y="0"/>
                      <a:ext cx="3840480" cy="6953885"/>
                    </a:xfrm>
                    <a:prstGeom prst="rect">
                      <a:avLst/>
                    </a:prstGeom>
                  </pic:spPr>
                </pic:pic>
              </a:graphicData>
            </a:graphic>
          </wp:inline>
        </w:drawing>
      </w:r>
    </w:p>
    <w:p>
      <w:pPr>
        <w:jc w:val="center"/>
        <w:rPr>
          <w:rFonts w:hint="eastAsia" w:eastAsia="宋体"/>
          <w:lang w:eastAsia="zh-CN"/>
        </w:rPr>
      </w:pPr>
    </w:p>
    <w:p/>
    <w:p/>
    <w:p/>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6</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9"/>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12633B"/>
    <w:rsid w:val="04861705"/>
    <w:rsid w:val="067160F3"/>
    <w:rsid w:val="08236FC6"/>
    <w:rsid w:val="088744B5"/>
    <w:rsid w:val="0A1E5122"/>
    <w:rsid w:val="0C317B15"/>
    <w:rsid w:val="0C570F80"/>
    <w:rsid w:val="0EC61EA5"/>
    <w:rsid w:val="10285515"/>
    <w:rsid w:val="114C4ABE"/>
    <w:rsid w:val="122C60E9"/>
    <w:rsid w:val="14CD6770"/>
    <w:rsid w:val="157F468B"/>
    <w:rsid w:val="163813B2"/>
    <w:rsid w:val="16BA7D9B"/>
    <w:rsid w:val="1BCE102E"/>
    <w:rsid w:val="1BE14A17"/>
    <w:rsid w:val="1BEC2B47"/>
    <w:rsid w:val="1C260D05"/>
    <w:rsid w:val="1D16546B"/>
    <w:rsid w:val="21972FF6"/>
    <w:rsid w:val="237B2873"/>
    <w:rsid w:val="25013773"/>
    <w:rsid w:val="26DA6C8C"/>
    <w:rsid w:val="2ABE4196"/>
    <w:rsid w:val="2BF13151"/>
    <w:rsid w:val="2CA43ACB"/>
    <w:rsid w:val="2CDA2B4F"/>
    <w:rsid w:val="2D147147"/>
    <w:rsid w:val="2E0C78FC"/>
    <w:rsid w:val="313E2951"/>
    <w:rsid w:val="318A728E"/>
    <w:rsid w:val="32407D8C"/>
    <w:rsid w:val="36663DF0"/>
    <w:rsid w:val="37A50A8F"/>
    <w:rsid w:val="3800170F"/>
    <w:rsid w:val="3812633B"/>
    <w:rsid w:val="398B0587"/>
    <w:rsid w:val="39F272DE"/>
    <w:rsid w:val="3AE57D2D"/>
    <w:rsid w:val="3BC524F8"/>
    <w:rsid w:val="3C136BB6"/>
    <w:rsid w:val="3CD13A11"/>
    <w:rsid w:val="3D494D55"/>
    <w:rsid w:val="3D6052CE"/>
    <w:rsid w:val="3D81133B"/>
    <w:rsid w:val="3F234CB7"/>
    <w:rsid w:val="3F4354E6"/>
    <w:rsid w:val="40DF3407"/>
    <w:rsid w:val="40DF4E42"/>
    <w:rsid w:val="41840D47"/>
    <w:rsid w:val="425B19CF"/>
    <w:rsid w:val="43965607"/>
    <w:rsid w:val="43AC02EE"/>
    <w:rsid w:val="44CB4993"/>
    <w:rsid w:val="458E0B11"/>
    <w:rsid w:val="46D16078"/>
    <w:rsid w:val="470A3ED5"/>
    <w:rsid w:val="496D7EDC"/>
    <w:rsid w:val="4BD67D4C"/>
    <w:rsid w:val="50730EBD"/>
    <w:rsid w:val="50952541"/>
    <w:rsid w:val="50ED1A0E"/>
    <w:rsid w:val="51014EFB"/>
    <w:rsid w:val="511E51CB"/>
    <w:rsid w:val="51395730"/>
    <w:rsid w:val="51AD6B2D"/>
    <w:rsid w:val="52E94A66"/>
    <w:rsid w:val="53B34C28"/>
    <w:rsid w:val="543F3119"/>
    <w:rsid w:val="54A61937"/>
    <w:rsid w:val="56DD227B"/>
    <w:rsid w:val="57F22AAA"/>
    <w:rsid w:val="58611982"/>
    <w:rsid w:val="5905423E"/>
    <w:rsid w:val="5A0E0AC6"/>
    <w:rsid w:val="5A755EEC"/>
    <w:rsid w:val="5BA00F04"/>
    <w:rsid w:val="5C227AE7"/>
    <w:rsid w:val="5DD041E8"/>
    <w:rsid w:val="600724A8"/>
    <w:rsid w:val="60FE0741"/>
    <w:rsid w:val="61B5602B"/>
    <w:rsid w:val="6757296A"/>
    <w:rsid w:val="67CD7A5C"/>
    <w:rsid w:val="689C3936"/>
    <w:rsid w:val="68DC4098"/>
    <w:rsid w:val="6AAD4084"/>
    <w:rsid w:val="6D354187"/>
    <w:rsid w:val="6EA91BDA"/>
    <w:rsid w:val="6ECD3827"/>
    <w:rsid w:val="717A6835"/>
    <w:rsid w:val="724B3CD1"/>
    <w:rsid w:val="72B177B1"/>
    <w:rsid w:val="75E01CC5"/>
    <w:rsid w:val="77F730CE"/>
    <w:rsid w:val="7A3D0C19"/>
    <w:rsid w:val="7C7278F9"/>
    <w:rsid w:val="7C8C5AAE"/>
    <w:rsid w:val="7D012273"/>
    <w:rsid w:val="7EFC2C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5">
    <w:name w:val="toc 1"/>
    <w:basedOn w:val="1"/>
    <w:next w:val="1"/>
    <w:qFormat/>
    <w:uiPriority w:val="0"/>
    <w:pPr>
      <w:tabs>
        <w:tab w:val="right" w:leader="dot" w:pos="8296"/>
      </w:tabs>
    </w:pPr>
  </w:style>
  <w:style w:type="character" w:styleId="8">
    <w:name w:val="Hyperlink"/>
    <w:qFormat/>
    <w:uiPriority w:val="0"/>
    <w:rPr>
      <w:color w:val="0000FF"/>
      <w:u w:val="single"/>
    </w:rPr>
  </w:style>
  <w:style w:type="paragraph" w:customStyle="1" w:styleId="9">
    <w:name w:val="样式1"/>
    <w:basedOn w:val="1"/>
    <w:qFormat/>
    <w:uiPriority w:val="0"/>
    <w:pPr>
      <w:numPr>
        <w:ilvl w:val="2"/>
        <w:numId w:val="1"/>
      </w:numPr>
    </w:pPr>
  </w:style>
  <w:style w:type="paragraph" w:customStyle="1" w:styleId="10">
    <w:name w:val="样式 标题 2"/>
    <w:basedOn w:val="3"/>
    <w:qFormat/>
    <w:uiPriority w:val="0"/>
    <w:rPr>
      <w:b w:val="0"/>
      <w:bCs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2018-04-01T09:48:00Z</dcterms:created>
  <dc:creator>lijieru.cz</dc:creator>
  <cp:lastModifiedBy>凌刚</cp:lastModifiedBy>
  <cp:lastPrinted>2018-10-25T01:48:00Z</cp:lastPrinted>
  <dcterms:modified xsi:type="dcterms:W3CDTF">2024-07-25T00:25:09Z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06DB5B11B3244763B693F10A50CB6BC9</vt:lpwstr>
  </property>
</Properties>
</file>