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rPr>
      </w:pPr>
      <w:bookmarkStart w:id="0" w:name="_Toc86671994"/>
      <w:bookmarkStart w:id="1" w:name="_Toc352233105"/>
      <w:r>
        <w:rPr>
          <w:rFonts w:hint="eastAsia" w:ascii="宋体" w:hAnsi="宋体"/>
        </w:rPr>
        <w:drawing>
          <wp:anchor distT="0" distB="0" distL="114300" distR="114300" simplePos="0" relativeHeight="251659264" behindDoc="0" locked="0" layoutInCell="1" allowOverlap="1">
            <wp:simplePos x="0" y="0"/>
            <wp:positionH relativeFrom="column">
              <wp:posOffset>-1482725</wp:posOffset>
            </wp:positionH>
            <wp:positionV relativeFrom="paragraph">
              <wp:posOffset>-1080135</wp:posOffset>
            </wp:positionV>
            <wp:extent cx="8915400" cy="2736850"/>
            <wp:effectExtent l="0" t="0" r="0" b="635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8"/>
                    <a:stretch>
                      <a:fillRect/>
                    </a:stretch>
                  </pic:blipFill>
                  <pic:spPr>
                    <a:xfrm>
                      <a:off x="0" y="0"/>
                      <a:ext cx="8915400" cy="2736850"/>
                    </a:xfrm>
                    <a:prstGeom prst="rect">
                      <a:avLst/>
                    </a:prstGeom>
                    <a:noFill/>
                    <a:ln>
                      <a:noFill/>
                    </a:ln>
                  </pic:spPr>
                </pic:pic>
              </a:graphicData>
            </a:graphic>
          </wp:anchor>
        </w:drawing>
      </w:r>
    </w:p>
    <w:p>
      <w:pPr>
        <w:rPr>
          <w:rFonts w:hint="eastAsia" w:ascii="宋体" w:hAnsi="宋体"/>
        </w:rPr>
      </w:pPr>
    </w:p>
    <w:p>
      <w:pPr>
        <w:rPr>
          <w:rFonts w:hint="eastAsia" w:ascii="宋体" w:hAnsi="宋体"/>
        </w:rPr>
      </w:pPr>
    </w:p>
    <w:p>
      <w:pPr>
        <w:rPr>
          <w:rFonts w:hint="eastAsia" w:ascii="宋体" w:hAnsi="宋体"/>
        </w:rPr>
      </w:pPr>
    </w:p>
    <w:p>
      <w:pPr>
        <w:rPr>
          <w:rFonts w:hint="eastAsia" w:ascii="宋体" w:hAnsi="宋体"/>
        </w:rPr>
      </w:pPr>
    </w:p>
    <w:p>
      <w:pPr>
        <w:rPr>
          <w:rFonts w:hint="eastAsia" w:ascii="宋体" w:hAnsi="宋体"/>
        </w:rPr>
      </w:pPr>
    </w:p>
    <w:p>
      <w:pPr>
        <w:rPr>
          <w:rFonts w:hint="eastAsia" w:ascii="宋体" w:hAnsi="宋体"/>
        </w:rPr>
      </w:pPr>
    </w:p>
    <w:p>
      <w:pPr>
        <w:rPr>
          <w:rFonts w:hint="eastAsia" w:ascii="宋体" w:hAnsi="宋体"/>
        </w:rPr>
      </w:pPr>
    </w:p>
    <w:p>
      <w:pPr>
        <w:spacing w:line="360" w:lineRule="auto"/>
        <w:ind w:left="0" w:leftChars="0" w:firstLine="0" w:firstLineChars="0"/>
        <w:jc w:val="center"/>
        <w:rPr>
          <w:rFonts w:hint="eastAsia" w:ascii="微软雅黑" w:hAnsi="微软雅黑" w:eastAsia="微软雅黑" w:cs="微软雅黑"/>
          <w:b/>
          <w:sz w:val="36"/>
          <w:szCs w:val="36"/>
          <w:lang w:eastAsia="zh-CN"/>
        </w:rPr>
      </w:pPr>
      <w:r>
        <w:rPr>
          <w:rFonts w:hint="eastAsia" w:ascii="微软雅黑" w:hAnsi="微软雅黑" w:eastAsia="微软雅黑" w:cs="微软雅黑"/>
          <w:b/>
          <w:sz w:val="52"/>
        </w:rPr>
        <w:t>便携式应急</w:t>
      </w:r>
      <w:r>
        <w:rPr>
          <w:rFonts w:hint="eastAsia" w:ascii="微软雅黑" w:hAnsi="微软雅黑" w:eastAsia="微软雅黑" w:cs="微软雅黑"/>
          <w:b/>
          <w:sz w:val="52"/>
          <w:lang w:eastAsia="zh-CN"/>
        </w:rPr>
        <w:t>蓄电池系统</w:t>
      </w:r>
    </w:p>
    <w:p>
      <w:pPr>
        <w:spacing w:line="360" w:lineRule="auto"/>
        <w:jc w:val="center"/>
        <w:rPr>
          <w:rFonts w:hint="eastAsia" w:ascii="微软雅黑" w:hAnsi="微软雅黑" w:eastAsia="微软雅黑"/>
          <w:b/>
          <w:sz w:val="36"/>
          <w:szCs w:val="36"/>
        </w:rPr>
      </w:pPr>
      <w:r>
        <w:rPr>
          <w:rFonts w:hint="eastAsia" w:ascii="微软雅黑" w:hAnsi="微软雅黑" w:eastAsia="微软雅黑"/>
          <w:b/>
          <w:sz w:val="36"/>
          <w:szCs w:val="36"/>
        </w:rPr>
        <w:t>技术规范书</w:t>
      </w:r>
    </w:p>
    <w:p>
      <w:pPr>
        <w:spacing w:line="360" w:lineRule="auto"/>
        <w:ind w:firstLine="1767" w:firstLineChars="550"/>
        <w:rPr>
          <w:rFonts w:hint="eastAsia" w:ascii="华文宋体" w:hAnsi="华文宋体" w:eastAsia="华文宋体"/>
          <w:b/>
          <w:sz w:val="32"/>
          <w:szCs w:val="32"/>
        </w:rPr>
      </w:pPr>
    </w:p>
    <w:p>
      <w:pPr>
        <w:spacing w:line="360" w:lineRule="auto"/>
        <w:ind w:firstLine="1767" w:firstLineChars="550"/>
        <w:rPr>
          <w:rFonts w:hint="eastAsia" w:ascii="华文宋体" w:hAnsi="华文宋体" w:eastAsia="华文宋体"/>
          <w:b/>
          <w:sz w:val="32"/>
          <w:szCs w:val="32"/>
        </w:rPr>
      </w:pPr>
    </w:p>
    <w:p>
      <w:pPr>
        <w:spacing w:line="360" w:lineRule="auto"/>
        <w:ind w:firstLine="1767" w:firstLineChars="550"/>
        <w:rPr>
          <w:rFonts w:hint="eastAsia" w:ascii="华文宋体" w:hAnsi="华文宋体" w:eastAsia="华文宋体"/>
          <w:b/>
          <w:sz w:val="32"/>
          <w:szCs w:val="32"/>
        </w:rPr>
      </w:pPr>
    </w:p>
    <w:p>
      <w:pPr>
        <w:spacing w:line="360" w:lineRule="auto"/>
        <w:ind w:firstLine="1767" w:firstLineChars="550"/>
        <w:rPr>
          <w:rFonts w:hint="eastAsia" w:ascii="华文宋体" w:hAnsi="华文宋体" w:eastAsia="华文宋体"/>
          <w:b/>
          <w:sz w:val="32"/>
          <w:szCs w:val="32"/>
        </w:rPr>
      </w:pPr>
    </w:p>
    <w:p>
      <w:pPr>
        <w:spacing w:line="360" w:lineRule="auto"/>
        <w:ind w:firstLine="1767" w:firstLineChars="550"/>
        <w:rPr>
          <w:rFonts w:hint="eastAsia" w:ascii="华文宋体" w:hAnsi="华文宋体" w:eastAsia="华文宋体"/>
          <w:b/>
          <w:sz w:val="32"/>
          <w:szCs w:val="32"/>
        </w:rPr>
      </w:pPr>
    </w:p>
    <w:p>
      <w:pPr>
        <w:spacing w:line="360" w:lineRule="auto"/>
        <w:ind w:firstLine="1767" w:firstLineChars="550"/>
        <w:rPr>
          <w:rFonts w:hint="eastAsia" w:ascii="华文宋体" w:hAnsi="华文宋体" w:eastAsia="华文宋体"/>
          <w:b/>
          <w:sz w:val="32"/>
          <w:szCs w:val="32"/>
        </w:rPr>
      </w:pPr>
    </w:p>
    <w:p>
      <w:pPr>
        <w:spacing w:line="360" w:lineRule="auto"/>
        <w:rPr>
          <w:rFonts w:hint="eastAsia" w:ascii="微软雅黑" w:hAnsi="微软雅黑" w:eastAsia="微软雅黑" w:cs="Times New Roman"/>
          <w:b/>
          <w:sz w:val="32"/>
          <w:szCs w:val="32"/>
          <w:lang w:eastAsia="zh-CN"/>
        </w:rPr>
      </w:pPr>
    </w:p>
    <w:p>
      <w:pPr>
        <w:spacing w:line="360" w:lineRule="auto"/>
        <w:jc w:val="center"/>
        <w:rPr>
          <w:rFonts w:hint="eastAsia" w:ascii="微软雅黑" w:hAnsi="微软雅黑" w:eastAsia="微软雅黑" w:cs="Times New Roman"/>
          <w:b/>
          <w:sz w:val="32"/>
          <w:szCs w:val="32"/>
          <w:lang w:eastAsia="zh-CN"/>
        </w:rPr>
      </w:pPr>
      <w:r>
        <w:rPr>
          <w:rFonts w:hint="eastAsia" w:ascii="微软雅黑" w:hAnsi="微软雅黑" w:eastAsia="微软雅黑" w:cs="Times New Roman"/>
          <w:b/>
          <w:sz w:val="32"/>
          <w:szCs w:val="32"/>
          <w:lang w:eastAsia="zh-CN"/>
        </w:rPr>
        <w:t>广西电网有限责任公司崇左供电局</w:t>
      </w:r>
    </w:p>
    <w:p>
      <w:pPr>
        <w:spacing w:line="360" w:lineRule="auto"/>
        <w:jc w:val="center"/>
        <w:rPr>
          <w:rFonts w:hint="eastAsia" w:ascii="微软雅黑" w:hAnsi="微软雅黑" w:eastAsia="微软雅黑"/>
          <w:b/>
          <w:sz w:val="32"/>
          <w:szCs w:val="32"/>
        </w:rPr>
      </w:pPr>
      <w:r>
        <w:rPr>
          <w:rFonts w:hint="eastAsia" w:ascii="微软雅黑" w:hAnsi="微软雅黑" w:eastAsia="微软雅黑"/>
          <w:b/>
          <w:sz w:val="32"/>
          <w:szCs w:val="32"/>
        </w:rPr>
        <w:t>20</w:t>
      </w:r>
      <w:r>
        <w:rPr>
          <w:rFonts w:ascii="微软雅黑" w:hAnsi="微软雅黑" w:eastAsia="微软雅黑"/>
          <w:b/>
          <w:sz w:val="32"/>
          <w:szCs w:val="32"/>
        </w:rPr>
        <w:t>2</w:t>
      </w:r>
      <w:r>
        <w:rPr>
          <w:rFonts w:hint="eastAsia" w:ascii="微软雅黑" w:hAnsi="微软雅黑" w:eastAsia="微软雅黑"/>
          <w:b/>
          <w:sz w:val="32"/>
          <w:szCs w:val="32"/>
          <w:lang w:val="en-US" w:eastAsia="zh-CN"/>
        </w:rPr>
        <w:t>4</w:t>
      </w:r>
      <w:r>
        <w:rPr>
          <w:rFonts w:hint="eastAsia" w:ascii="微软雅黑" w:hAnsi="微软雅黑" w:eastAsia="微软雅黑"/>
          <w:b/>
          <w:sz w:val="32"/>
          <w:szCs w:val="32"/>
        </w:rPr>
        <w:t>年</w:t>
      </w:r>
      <w:r>
        <w:rPr>
          <w:rFonts w:hint="eastAsia" w:ascii="微软雅黑" w:hAnsi="微软雅黑" w:eastAsia="微软雅黑"/>
          <w:b/>
          <w:sz w:val="32"/>
          <w:szCs w:val="32"/>
          <w:lang w:val="en-US" w:eastAsia="zh-CN"/>
        </w:rPr>
        <w:t>7</w:t>
      </w:r>
      <w:r>
        <w:rPr>
          <w:rFonts w:hint="eastAsia" w:ascii="微软雅黑" w:hAnsi="微软雅黑" w:eastAsia="微软雅黑"/>
          <w:b/>
          <w:sz w:val="32"/>
          <w:szCs w:val="32"/>
        </w:rPr>
        <w:t>月</w:t>
      </w:r>
    </w:p>
    <w:p>
      <w:pPr>
        <w:spacing w:line="360" w:lineRule="auto"/>
        <w:ind w:firstLine="1044"/>
        <w:jc w:val="center"/>
        <w:rPr>
          <w:rFonts w:ascii="Arial" w:hAnsi="Arial"/>
          <w:b/>
          <w:sz w:val="52"/>
        </w:rPr>
      </w:pPr>
    </w:p>
    <w:p>
      <w:pPr>
        <w:spacing w:line="360" w:lineRule="auto"/>
        <w:ind w:firstLine="1044"/>
        <w:jc w:val="center"/>
        <w:rPr>
          <w:b/>
          <w:sz w:val="52"/>
        </w:rPr>
      </w:pPr>
    </w:p>
    <w:p>
      <w:pPr>
        <w:widowControl w:val="0"/>
        <w:snapToGrid w:val="0"/>
        <w:spacing w:line="324" w:lineRule="auto"/>
        <w:ind w:firstLine="0" w:firstLineChars="0"/>
        <w:outlineLvl w:val="0"/>
        <w:rPr>
          <w:rFonts w:ascii="宋体" w:eastAsia="宋体"/>
          <w:b/>
          <w:bCs/>
          <w:kern w:val="44"/>
        </w:rPr>
      </w:pPr>
      <w:r>
        <w:rPr>
          <w:rFonts w:hint="eastAsia" w:ascii="宋体" w:eastAsia="宋体"/>
          <w:b/>
          <w:bCs/>
          <w:kern w:val="44"/>
        </w:rPr>
        <w:t>1总则</w:t>
      </w:r>
      <w:bookmarkEnd w:id="0"/>
      <w:bookmarkEnd w:id="1"/>
    </w:p>
    <w:p>
      <w:pPr>
        <w:pStyle w:val="31"/>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1.1本规范书适用于</w:t>
      </w:r>
      <w:r>
        <w:rPr>
          <w:rFonts w:hint="eastAsia" w:cs="Times New Roman" w:asciiTheme="minorEastAsia" w:hAnsiTheme="minorEastAsia" w:eastAsiaTheme="minorEastAsia"/>
          <w:sz w:val="24"/>
        </w:rPr>
        <w:t>便携式应急蓄电池系统</w:t>
      </w:r>
      <w:r>
        <w:rPr>
          <w:rFonts w:hint="eastAsia" w:asciiTheme="minorEastAsia" w:hAnsiTheme="minorEastAsia" w:eastAsiaTheme="minorEastAsia"/>
          <w:sz w:val="24"/>
        </w:rPr>
        <w:t>购置。它提出设备的功能设计、结构、性能、和试验等方面的技术要求。</w:t>
      </w:r>
    </w:p>
    <w:p>
      <w:pPr>
        <w:pStyle w:val="31"/>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1.2 本招标技术文件提出的是最低限度的技术要求, 并未对一切技术细节作出规定, 也未充分引述有关标准和规范的条文，凡本招标技术文件中未规定，但在相关设备的行业标准、国家标准或IEC标准中有规定的规范条文，投标方应按相应标准的条文进行设备设计、制造、试验和安装。</w:t>
      </w:r>
    </w:p>
    <w:p>
      <w:pPr>
        <w:pStyle w:val="31"/>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1.3 如果投标方没有以书面形式对本招标技术文件的条文提出异议, 则意味着投标方提供的设备(或系统)完全符合本招标技术文件的要求。如有异议, 不管是多么微小，都应在报价书中以“对招标技术文件的意见和同招标技术文件的差异”为标题的专门章节中加以详细描述。</w:t>
      </w:r>
    </w:p>
    <w:p>
      <w:pPr>
        <w:pStyle w:val="31"/>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1.4 本招标技术文件所使用的标准如遇与投标方所执行的标准不一致时, 按较高标准执行。</w:t>
      </w:r>
    </w:p>
    <w:p>
      <w:pPr>
        <w:pStyle w:val="31"/>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1.5 本招标技术文件经买、卖双方确认后作为订货合同的技术附件，与合同正文具有同等法律效力。</w:t>
      </w:r>
    </w:p>
    <w:p>
      <w:pPr>
        <w:pStyle w:val="31"/>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1.6 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31"/>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1.7 投标方应在应标技术部分按本招标技术文件的要求如实详细的填写应标设备的标准配置表，并在应标商务部分按此标准配置进行报价，如发现二者有矛盾之处，将对评标工作有不同程度的影响。</w:t>
      </w:r>
    </w:p>
    <w:p>
      <w:pPr>
        <w:pStyle w:val="31"/>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1.8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31"/>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1.9 本招标技术文件未尽事宜, 由买卖双方协商确定。</w:t>
      </w:r>
    </w:p>
    <w:p>
      <w:pPr>
        <w:pStyle w:val="31"/>
        <w:spacing w:line="360" w:lineRule="auto"/>
        <w:ind w:firstLine="0" w:firstLineChars="0"/>
        <w:rPr>
          <w:rFonts w:asciiTheme="minorEastAsia" w:hAnsiTheme="minorEastAsia" w:eastAsiaTheme="minorEastAsia"/>
          <w:sz w:val="24"/>
        </w:rPr>
      </w:pPr>
    </w:p>
    <w:p>
      <w:pPr>
        <w:pStyle w:val="31"/>
        <w:spacing w:line="360" w:lineRule="auto"/>
        <w:ind w:firstLine="0" w:firstLineChars="0"/>
        <w:rPr>
          <w:rFonts w:asciiTheme="minorEastAsia" w:hAnsiTheme="minorEastAsia" w:eastAsiaTheme="minorEastAsia"/>
          <w:sz w:val="24"/>
        </w:rPr>
      </w:pPr>
    </w:p>
    <w:p>
      <w:pPr>
        <w:pStyle w:val="31"/>
        <w:spacing w:line="360" w:lineRule="auto"/>
        <w:ind w:firstLine="0" w:firstLineChars="0"/>
        <w:rPr>
          <w:rFonts w:asciiTheme="minorEastAsia" w:hAnsiTheme="minorEastAsia" w:eastAsiaTheme="minorEastAsia"/>
          <w:sz w:val="24"/>
        </w:rPr>
      </w:pPr>
    </w:p>
    <w:p>
      <w:pPr>
        <w:widowControl w:val="0"/>
        <w:snapToGrid w:val="0"/>
        <w:spacing w:line="324" w:lineRule="auto"/>
        <w:ind w:firstLine="0" w:firstLineChars="0"/>
        <w:outlineLvl w:val="0"/>
        <w:rPr>
          <w:rFonts w:hint="eastAsia" w:ascii="宋体" w:eastAsia="宋体"/>
          <w:b/>
          <w:bCs/>
          <w:kern w:val="44"/>
        </w:rPr>
      </w:pPr>
      <w:bookmarkStart w:id="2" w:name="_Toc86671995"/>
    </w:p>
    <w:p>
      <w:pPr>
        <w:widowControl w:val="0"/>
        <w:snapToGrid w:val="0"/>
        <w:spacing w:line="324" w:lineRule="auto"/>
        <w:ind w:firstLine="0" w:firstLineChars="0"/>
        <w:outlineLvl w:val="0"/>
        <w:rPr>
          <w:rFonts w:ascii="宋体" w:eastAsia="宋体"/>
          <w:b/>
          <w:bCs/>
          <w:kern w:val="44"/>
        </w:rPr>
      </w:pPr>
      <w:r>
        <w:rPr>
          <w:rFonts w:hint="eastAsia" w:ascii="宋体" w:eastAsia="宋体"/>
          <w:b/>
          <w:bCs/>
          <w:kern w:val="44"/>
        </w:rPr>
        <w:t>2规范性引用文件</w:t>
      </w:r>
      <w:bookmarkEnd w:id="2"/>
    </w:p>
    <w:p>
      <w:pPr>
        <w:pStyle w:val="31"/>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投标方须执行现行国家标准和行业标准等。应遵循的主要现行标准如下。下列标准所包含的条文，通过在本技术规范中引用而构成为本技术规范的条文。本技术规范出版时，所示版本均为有效。所有标准都会被修订，招标方、投标方双方应探讨使用下列标准最新版本的可能性。如与最新的国家或行业标准有偏差时，按高标准执行。</w:t>
      </w:r>
    </w:p>
    <w:p>
      <w:pPr>
        <w:pStyle w:val="31"/>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DL/T 781-20</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1      电力用高频开关整流模块</w:t>
      </w:r>
    </w:p>
    <w:p>
      <w:pPr>
        <w:pStyle w:val="31"/>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DL/T 5044-20</w:t>
      </w:r>
      <w:r>
        <w:rPr>
          <w:rFonts w:hint="eastAsia" w:asciiTheme="minorEastAsia" w:hAnsiTheme="minorEastAsia" w:eastAsiaTheme="minorEastAsia"/>
          <w:sz w:val="24"/>
          <w:lang w:val="en-US" w:eastAsia="zh-CN"/>
        </w:rPr>
        <w:t>1</w:t>
      </w:r>
      <w:r>
        <w:rPr>
          <w:rFonts w:hint="eastAsia" w:asciiTheme="minorEastAsia" w:hAnsiTheme="minorEastAsia" w:eastAsiaTheme="minorEastAsia"/>
          <w:sz w:val="24"/>
        </w:rPr>
        <w:t>4     电力工程直流系统设计技术规程</w:t>
      </w:r>
    </w:p>
    <w:p>
      <w:pPr>
        <w:pStyle w:val="31"/>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DL/T 724-20</w:t>
      </w:r>
      <w:r>
        <w:rPr>
          <w:rFonts w:hint="eastAsia" w:asciiTheme="minorEastAsia" w:hAnsiTheme="minorEastAsia" w:eastAsiaTheme="minorEastAsia"/>
          <w:sz w:val="24"/>
          <w:lang w:val="en-US" w:eastAsia="zh-CN"/>
        </w:rPr>
        <w:t>21</w:t>
      </w:r>
      <w:r>
        <w:rPr>
          <w:rFonts w:hint="eastAsia" w:asciiTheme="minorEastAsia" w:hAnsiTheme="minorEastAsia" w:eastAsiaTheme="minorEastAsia"/>
          <w:sz w:val="24"/>
        </w:rPr>
        <w:t xml:space="preserve">      电力系统用蓄电池直流电源装置运行与维护技术规程</w:t>
      </w:r>
    </w:p>
    <w:p>
      <w:pPr>
        <w:pStyle w:val="31"/>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YD/T 1051-201</w:t>
      </w:r>
      <w:r>
        <w:rPr>
          <w:rFonts w:hint="eastAsia" w:asciiTheme="minorEastAsia" w:hAnsiTheme="minorEastAsia" w:eastAsiaTheme="minorEastAsia"/>
          <w:sz w:val="24"/>
          <w:lang w:val="en-US" w:eastAsia="zh-CN"/>
        </w:rPr>
        <w:t>8</w:t>
      </w:r>
      <w:r>
        <w:rPr>
          <w:rFonts w:hint="eastAsia" w:asciiTheme="minorEastAsia" w:hAnsiTheme="minorEastAsia" w:eastAsiaTheme="minorEastAsia"/>
          <w:sz w:val="24"/>
        </w:rPr>
        <w:t xml:space="preserve">     通信局（站）电源系统总技术要求</w:t>
      </w:r>
    </w:p>
    <w:p>
      <w:pPr>
        <w:pStyle w:val="31"/>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YD/T 1058-20</w:t>
      </w:r>
      <w:r>
        <w:rPr>
          <w:rFonts w:hint="eastAsia" w:asciiTheme="minorEastAsia" w:hAnsiTheme="minorEastAsia" w:eastAsiaTheme="minorEastAsia"/>
          <w:sz w:val="24"/>
          <w:lang w:val="en-US" w:eastAsia="zh-CN"/>
        </w:rPr>
        <w:t>15</w:t>
      </w:r>
      <w:r>
        <w:rPr>
          <w:rFonts w:hint="eastAsia" w:asciiTheme="minorEastAsia" w:hAnsiTheme="minorEastAsia" w:eastAsiaTheme="minorEastAsia"/>
          <w:sz w:val="24"/>
        </w:rPr>
        <w:t xml:space="preserve">     通信用高频开关电源系统</w:t>
      </w:r>
    </w:p>
    <w:p>
      <w:pPr>
        <w:pStyle w:val="31"/>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YD/T 585－2010     通信用配电设备</w:t>
      </w:r>
    </w:p>
    <w:p>
      <w:pPr>
        <w:pStyle w:val="31"/>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YD/T 731-2008      通信用高频开关整流器</w:t>
      </w:r>
    </w:p>
    <w:p>
      <w:pPr>
        <w:pStyle w:val="31"/>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YD/T 944－2007     通信电源设备的防雷技术要求和测试方法</w:t>
      </w:r>
    </w:p>
    <w:p>
      <w:pPr>
        <w:pStyle w:val="31"/>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Q/CSG120</w:t>
      </w:r>
      <w:r>
        <w:rPr>
          <w:rFonts w:hint="eastAsia" w:asciiTheme="minorEastAsia" w:hAnsiTheme="minorEastAsia" w:eastAsiaTheme="minorEastAsia"/>
          <w:sz w:val="24"/>
          <w:lang w:val="en-US" w:eastAsia="zh-CN"/>
        </w:rPr>
        <w:t>4</w:t>
      </w:r>
      <w:r>
        <w:rPr>
          <w:rFonts w:hint="eastAsia" w:asciiTheme="minorEastAsia" w:hAnsiTheme="minorEastAsia" w:eastAsiaTheme="minorEastAsia"/>
          <w:sz w:val="24"/>
        </w:rPr>
        <w:t>0</w:t>
      </w:r>
      <w:r>
        <w:rPr>
          <w:rFonts w:hint="eastAsia" w:asciiTheme="minorEastAsia" w:hAnsiTheme="minorEastAsia" w:eastAsiaTheme="minorEastAsia"/>
          <w:sz w:val="24"/>
          <w:lang w:val="en-US" w:eastAsia="zh-CN"/>
        </w:rPr>
        <w:t>8</w:t>
      </w:r>
      <w:r>
        <w:rPr>
          <w:rFonts w:hint="eastAsia" w:asciiTheme="minorEastAsia" w:hAnsiTheme="minorEastAsia" w:eastAsiaTheme="minorEastAsia"/>
          <w:sz w:val="24"/>
        </w:rPr>
        <w:t>1</w:t>
      </w:r>
      <w:r>
        <w:rPr>
          <w:rFonts w:hint="eastAsia" w:asciiTheme="minorEastAsia" w:hAnsiTheme="minorEastAsia" w:eastAsiaTheme="minorEastAsia"/>
          <w:sz w:val="24"/>
          <w:lang w:val="en-US" w:eastAsia="zh-CN"/>
        </w:rPr>
        <w:t>-</w:t>
      </w:r>
      <w:r>
        <w:rPr>
          <w:rFonts w:hint="eastAsia" w:asciiTheme="minorEastAsia" w:hAnsiTheme="minorEastAsia" w:eastAsiaTheme="minorEastAsia"/>
          <w:sz w:val="24"/>
        </w:rPr>
        <w:t>20</w:t>
      </w:r>
      <w:r>
        <w:rPr>
          <w:rFonts w:hint="eastAsia" w:asciiTheme="minorEastAsia" w:hAnsiTheme="minorEastAsia" w:eastAsiaTheme="minorEastAsia"/>
          <w:sz w:val="24"/>
          <w:lang w:val="en-US" w:eastAsia="zh-CN"/>
        </w:rPr>
        <w:t>20</w:t>
      </w:r>
      <w:r>
        <w:rPr>
          <w:rFonts w:hint="eastAsia" w:asciiTheme="minorEastAsia" w:hAnsiTheme="minorEastAsia" w:eastAsiaTheme="minorEastAsia"/>
          <w:sz w:val="24"/>
        </w:rPr>
        <w:t xml:space="preserve"> </w:t>
      </w:r>
      <w:r>
        <w:rPr>
          <w:rFonts w:hint="eastAsia" w:asciiTheme="minorEastAsia" w:hAnsiTheme="minorEastAsia" w:eastAsiaTheme="minorEastAsia"/>
          <w:sz w:val="24"/>
          <w:lang w:val="en-US" w:eastAsia="zh-CN"/>
        </w:rPr>
        <w:t xml:space="preserve"> </w:t>
      </w:r>
      <w:r>
        <w:rPr>
          <w:rFonts w:hint="eastAsia" w:asciiTheme="minorEastAsia" w:hAnsiTheme="minorEastAsia" w:eastAsiaTheme="minorEastAsia"/>
          <w:sz w:val="24"/>
        </w:rPr>
        <w:t>南方电网通信电源技术规范</w:t>
      </w:r>
    </w:p>
    <w:p>
      <w:pPr>
        <w:pStyle w:val="31"/>
        <w:spacing w:line="360" w:lineRule="auto"/>
        <w:ind w:firstLine="480"/>
        <w:rPr>
          <w:rFonts w:asciiTheme="minorEastAsia" w:hAnsiTheme="minorEastAsia" w:eastAsiaTheme="minorEastAsia"/>
          <w:sz w:val="24"/>
        </w:rPr>
      </w:pPr>
    </w:p>
    <w:p>
      <w:pPr>
        <w:widowControl w:val="0"/>
        <w:snapToGrid w:val="0"/>
        <w:spacing w:line="324" w:lineRule="auto"/>
        <w:ind w:firstLine="0" w:firstLineChars="0"/>
        <w:outlineLvl w:val="0"/>
        <w:rPr>
          <w:rFonts w:ascii="宋体" w:eastAsia="宋体"/>
          <w:b/>
          <w:bCs/>
          <w:kern w:val="44"/>
        </w:rPr>
      </w:pPr>
      <w:bookmarkStart w:id="3" w:name="_Toc86671996"/>
      <w:r>
        <w:rPr>
          <w:rFonts w:hint="eastAsia" w:ascii="宋体" w:eastAsia="宋体"/>
          <w:b/>
          <w:bCs/>
          <w:kern w:val="44"/>
        </w:rPr>
        <w:t>3</w:t>
      </w:r>
      <w:r>
        <w:rPr>
          <w:rFonts w:ascii="宋体" w:eastAsia="宋体"/>
          <w:b/>
          <w:bCs/>
          <w:kern w:val="44"/>
        </w:rPr>
        <w:t xml:space="preserve"> 供货范围</w:t>
      </w:r>
      <w:bookmarkEnd w:id="3"/>
    </w:p>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.1.投标方应按本标书的要求提供全新的、合格的设备及其附属设备、备品备件、专用工具和仪器。投标方所提供的组件或附件如需向第三方外购时，投标方应对质量向招标方负责，并提供相应出厂和验收证明。</w:t>
      </w:r>
    </w:p>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w:t>
      </w:r>
      <w:r>
        <w:rPr>
          <w:rFonts w:asciiTheme="minorEastAsia" w:hAnsiTheme="minorEastAsia" w:eastAsiaTheme="minorEastAsia"/>
          <w:sz w:val="24"/>
        </w:rPr>
        <w:t>2</w:t>
      </w:r>
      <w:r>
        <w:rPr>
          <w:rFonts w:hint="eastAsia" w:asciiTheme="minorEastAsia" w:hAnsiTheme="minorEastAsia" w:eastAsiaTheme="minorEastAsia"/>
          <w:sz w:val="24"/>
        </w:rPr>
        <w:t xml:space="preserve"> 供货范围一览表</w:t>
      </w:r>
    </w:p>
    <w:p>
      <w:pPr>
        <w:pStyle w:val="39"/>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投标方应确保供货范围完整，对于属于合同设备运行所必需的部件（含备品、专用工具等），即使本供货范围未列出或数目不足，投标方仍须在执行合同时补足。</w:t>
      </w:r>
    </w:p>
    <w:tbl>
      <w:tblPr>
        <w:tblStyle w:val="1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126"/>
        <w:gridCol w:w="3402"/>
        <w:gridCol w:w="992"/>
        <w:gridCol w:w="1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pPr>
              <w:pStyle w:val="39"/>
              <w:widowControl w:val="0"/>
              <w:spacing w:line="360" w:lineRule="auto"/>
              <w:ind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2126" w:type="dxa"/>
            <w:vAlign w:val="center"/>
          </w:tcPr>
          <w:p>
            <w:pPr>
              <w:pStyle w:val="39"/>
              <w:widowControl w:val="0"/>
              <w:spacing w:line="360" w:lineRule="auto"/>
              <w:ind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名称</w:t>
            </w:r>
          </w:p>
        </w:tc>
        <w:tc>
          <w:tcPr>
            <w:tcW w:w="3402" w:type="dxa"/>
            <w:vAlign w:val="center"/>
          </w:tcPr>
          <w:p>
            <w:pPr>
              <w:pStyle w:val="39"/>
              <w:widowControl w:val="0"/>
              <w:spacing w:line="360" w:lineRule="auto"/>
              <w:ind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规格参数</w:t>
            </w:r>
          </w:p>
        </w:tc>
        <w:tc>
          <w:tcPr>
            <w:tcW w:w="992" w:type="dxa"/>
            <w:vAlign w:val="center"/>
          </w:tcPr>
          <w:p>
            <w:pPr>
              <w:pStyle w:val="39"/>
              <w:widowControl w:val="0"/>
              <w:spacing w:line="360" w:lineRule="auto"/>
              <w:ind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数量</w:t>
            </w:r>
          </w:p>
        </w:tc>
        <w:tc>
          <w:tcPr>
            <w:tcW w:w="1043" w:type="dxa"/>
            <w:vAlign w:val="center"/>
          </w:tcPr>
          <w:p>
            <w:pPr>
              <w:pStyle w:val="39"/>
              <w:widowControl w:val="0"/>
              <w:spacing w:line="360" w:lineRule="auto"/>
              <w:ind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pPr>
              <w:pStyle w:val="39"/>
              <w:widowControl w:val="0"/>
              <w:spacing w:line="360" w:lineRule="auto"/>
              <w:ind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2126" w:type="dxa"/>
            <w:vAlign w:val="center"/>
          </w:tcPr>
          <w:p>
            <w:pPr>
              <w:pStyle w:val="39"/>
              <w:widowControl w:val="0"/>
              <w:spacing w:line="360" w:lineRule="auto"/>
              <w:ind w:firstLine="0" w:firstLineChars="0"/>
              <w:jc w:val="center"/>
              <w:rPr>
                <w:rFonts w:asciiTheme="minorEastAsia" w:hAnsiTheme="minorEastAsia" w:eastAsiaTheme="minorEastAsia"/>
                <w:sz w:val="24"/>
              </w:rPr>
            </w:pPr>
            <w:r>
              <w:rPr>
                <w:rFonts w:hint="eastAsia" w:cs="Times New Roman" w:asciiTheme="minorEastAsia" w:hAnsiTheme="minorEastAsia" w:eastAsiaTheme="minorEastAsia"/>
                <w:sz w:val="24"/>
              </w:rPr>
              <w:t>便携式应急蓄电池系统</w:t>
            </w:r>
          </w:p>
        </w:tc>
        <w:tc>
          <w:tcPr>
            <w:tcW w:w="3402" w:type="dxa"/>
            <w:vAlign w:val="center"/>
          </w:tcPr>
          <w:p>
            <w:pPr>
              <w:pStyle w:val="39"/>
              <w:widowControl w:val="0"/>
              <w:spacing w:line="360" w:lineRule="auto"/>
              <w:ind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4</w:t>
            </w:r>
            <w:r>
              <w:rPr>
                <w:rFonts w:asciiTheme="minorEastAsia" w:hAnsiTheme="minorEastAsia" w:eastAsiaTheme="minorEastAsia"/>
                <w:sz w:val="24"/>
              </w:rPr>
              <w:t>8V/</w:t>
            </w:r>
            <w:r>
              <w:rPr>
                <w:rFonts w:hint="eastAsia" w:asciiTheme="minorEastAsia" w:hAnsiTheme="minorEastAsia" w:eastAsiaTheme="minorEastAsia"/>
                <w:sz w:val="24"/>
                <w:lang w:val="en-US" w:eastAsia="zh-CN"/>
              </w:rPr>
              <w:t>5</w:t>
            </w:r>
            <w:r>
              <w:rPr>
                <w:rFonts w:asciiTheme="minorEastAsia" w:hAnsiTheme="minorEastAsia" w:eastAsiaTheme="minorEastAsia"/>
                <w:sz w:val="24"/>
              </w:rPr>
              <w:t>0Ah</w:t>
            </w:r>
            <w:r>
              <w:rPr>
                <w:rFonts w:hint="eastAsia" w:asciiTheme="minorEastAsia" w:hAnsiTheme="minorEastAsia" w:eastAsiaTheme="minorEastAsia"/>
                <w:sz w:val="24"/>
              </w:rPr>
              <w:t>锂电池，可伸缩拉杆与脚轮，方便携带转移</w:t>
            </w:r>
          </w:p>
        </w:tc>
        <w:tc>
          <w:tcPr>
            <w:tcW w:w="992" w:type="dxa"/>
            <w:vAlign w:val="center"/>
          </w:tcPr>
          <w:p>
            <w:pPr>
              <w:pStyle w:val="39"/>
              <w:widowControl w:val="0"/>
              <w:spacing w:line="360" w:lineRule="auto"/>
              <w:ind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1043" w:type="dxa"/>
            <w:vAlign w:val="center"/>
          </w:tcPr>
          <w:p>
            <w:pPr>
              <w:pStyle w:val="39"/>
              <w:widowControl w:val="0"/>
              <w:spacing w:line="360" w:lineRule="auto"/>
              <w:ind w:firstLine="0" w:firstLineChars="0"/>
              <w:jc w:val="center"/>
              <w:rPr>
                <w:rFonts w:asciiTheme="minorEastAsia" w:hAnsiTheme="minorEastAsia" w:eastAsiaTheme="minorEastAsia"/>
                <w:sz w:val="24"/>
              </w:rPr>
            </w:pPr>
          </w:p>
        </w:tc>
      </w:tr>
    </w:tbl>
    <w:p>
      <w:pPr>
        <w:pStyle w:val="40"/>
        <w:numPr>
          <w:ilvl w:val="2"/>
          <w:numId w:val="0"/>
        </w:numPr>
        <w:bidi w:val="0"/>
        <w:ind w:leftChars="0"/>
        <w:rPr>
          <w:rFonts w:hint="eastAsia"/>
          <w:sz w:val="28"/>
          <w:szCs w:val="28"/>
          <w:lang w:val="en-US" w:eastAsia="zh-CN"/>
        </w:rPr>
      </w:pPr>
      <w:bookmarkStart w:id="8" w:name="_GoBack"/>
      <w:r>
        <w:rPr>
          <w:rFonts w:hint="eastAsia"/>
          <w:sz w:val="28"/>
          <w:szCs w:val="28"/>
          <w:lang w:val="en-US" w:eastAsia="zh-CN"/>
        </w:rPr>
        <w:t xml:space="preserve">交货地址：广西崇左市江南路崇左供电局江南生产区 </w:t>
      </w:r>
    </w:p>
    <w:p>
      <w:pPr>
        <w:pStyle w:val="29"/>
        <w:tabs>
          <w:tab w:val="center" w:pos="4201"/>
          <w:tab w:val="right" w:leader="dot" w:pos="9298"/>
        </w:tabs>
        <w:ind w:left="0" w:leftChars="0" w:firstLine="0" w:firstLineChars="0"/>
        <w:rPr>
          <w:rFonts w:hint="default"/>
          <w:sz w:val="28"/>
          <w:szCs w:val="28"/>
          <w:lang w:val="en-US" w:eastAsia="zh-CN"/>
        </w:rPr>
      </w:pPr>
      <w:r>
        <w:rPr>
          <w:rFonts w:hint="eastAsia"/>
          <w:sz w:val="28"/>
          <w:szCs w:val="28"/>
          <w:lang w:val="en-US" w:eastAsia="zh-CN"/>
        </w:rPr>
        <w:t>收件人：黄深  15978122743</w:t>
      </w:r>
    </w:p>
    <w:bookmarkEnd w:id="8"/>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w:t>
      </w:r>
      <w:r>
        <w:rPr>
          <w:rFonts w:asciiTheme="minorEastAsia" w:hAnsiTheme="minorEastAsia" w:eastAsiaTheme="minorEastAsia"/>
          <w:sz w:val="24"/>
        </w:rPr>
        <w:t>3</w:t>
      </w:r>
      <w:r>
        <w:rPr>
          <w:rFonts w:hint="eastAsia" w:asciiTheme="minorEastAsia" w:hAnsiTheme="minorEastAsia" w:eastAsiaTheme="minorEastAsia"/>
          <w:sz w:val="24"/>
        </w:rPr>
        <w:t>投标方应根据自身设备的具体情况，提供详细的设备配置清单，包括安装材料、专用工具和备品备件，清单中依次说明型号、数量、产地、生产厂家等内容。</w:t>
      </w:r>
    </w:p>
    <w:p>
      <w:pPr>
        <w:widowControl w:val="0"/>
        <w:snapToGrid w:val="0"/>
        <w:spacing w:line="324" w:lineRule="auto"/>
        <w:ind w:firstLine="0" w:firstLineChars="0"/>
        <w:outlineLvl w:val="0"/>
        <w:rPr>
          <w:rFonts w:ascii="宋体" w:eastAsia="宋体"/>
          <w:b/>
          <w:bCs/>
          <w:kern w:val="44"/>
        </w:rPr>
      </w:pPr>
      <w:bookmarkStart w:id="4" w:name="_Toc86671997"/>
      <w:r>
        <w:rPr>
          <w:rFonts w:ascii="宋体" w:eastAsia="宋体"/>
          <w:b/>
          <w:bCs/>
          <w:kern w:val="44"/>
        </w:rPr>
        <w:t>4</w:t>
      </w:r>
      <w:r>
        <w:rPr>
          <w:rFonts w:hint="eastAsia" w:ascii="宋体" w:eastAsia="宋体"/>
          <w:b/>
          <w:bCs/>
          <w:kern w:val="44"/>
        </w:rPr>
        <w:t xml:space="preserve"> 使用环境条件要求</w:t>
      </w:r>
      <w:bookmarkEnd w:id="4"/>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.1环境温度：</w:t>
      </w:r>
      <w:r>
        <w:rPr>
          <w:rFonts w:asciiTheme="minorEastAsia" w:hAnsiTheme="minorEastAsia" w:eastAsiaTheme="minorEastAsia"/>
          <w:sz w:val="24"/>
        </w:rPr>
        <w:t>-</w:t>
      </w:r>
      <w:r>
        <w:rPr>
          <w:rFonts w:hint="eastAsia" w:asciiTheme="minorEastAsia" w:hAnsiTheme="minorEastAsia" w:eastAsiaTheme="minorEastAsia"/>
          <w:sz w:val="24"/>
        </w:rPr>
        <w:t>15℃～＋50℃</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.2环境相对湿度: 0～90%(20℃)，≤90%RH，无结露</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.3海拔：≤3000m</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.4设备使用年限：大于5年</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.5环境适应能力：仪器在用户所在地区及环境条件条件下，能够可靠稳定运行，且监测结果不受影响</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.6使用地点：户内/户外</w:t>
      </w:r>
    </w:p>
    <w:p>
      <w:pPr>
        <w:pStyle w:val="31"/>
        <w:spacing w:line="360" w:lineRule="auto"/>
        <w:ind w:firstLine="0" w:firstLineChars="0"/>
        <w:rPr>
          <w:rFonts w:asciiTheme="minorEastAsia" w:hAnsiTheme="minorEastAsia" w:eastAsiaTheme="minorEastAsia"/>
          <w:sz w:val="24"/>
        </w:rPr>
      </w:pPr>
    </w:p>
    <w:p>
      <w:pPr>
        <w:widowControl w:val="0"/>
        <w:snapToGrid w:val="0"/>
        <w:spacing w:line="324" w:lineRule="auto"/>
        <w:ind w:firstLine="0" w:firstLineChars="0"/>
        <w:outlineLvl w:val="0"/>
        <w:rPr>
          <w:rFonts w:ascii="宋体" w:eastAsia="宋体"/>
          <w:b/>
          <w:bCs/>
          <w:kern w:val="44"/>
        </w:rPr>
      </w:pPr>
      <w:bookmarkStart w:id="5" w:name="_Toc86671998"/>
      <w:r>
        <w:rPr>
          <w:rFonts w:hint="eastAsia" w:ascii="宋体" w:eastAsia="宋体"/>
          <w:b/>
          <w:bCs/>
          <w:kern w:val="44"/>
        </w:rPr>
        <w:t>5</w:t>
      </w:r>
      <w:r>
        <w:rPr>
          <w:rFonts w:ascii="宋体" w:eastAsia="宋体"/>
          <w:b/>
          <w:bCs/>
          <w:kern w:val="44"/>
        </w:rPr>
        <w:t xml:space="preserve"> 技术要求</w:t>
      </w:r>
      <w:bookmarkEnd w:id="5"/>
    </w:p>
    <w:p>
      <w:pPr>
        <w:spacing w:line="360" w:lineRule="auto"/>
        <w:ind w:firstLine="0" w:firstLineChars="0"/>
        <w:rPr>
          <w:rFonts w:asciiTheme="minorEastAsia" w:hAnsiTheme="minorEastAsia" w:eastAsiaTheme="minorEastAsia"/>
          <w:b/>
          <w:sz w:val="24"/>
          <w:szCs w:val="24"/>
        </w:rPr>
      </w:pPr>
      <w:r>
        <w:rPr>
          <w:rFonts w:hint="eastAsia" w:asciiTheme="minorEastAsia" w:hAnsiTheme="minorEastAsia" w:eastAsiaTheme="minorEastAsia"/>
          <w:b/>
          <w:sz w:val="24"/>
          <w:szCs w:val="24"/>
        </w:rPr>
        <w:t>5</w:t>
      </w:r>
      <w:r>
        <w:rPr>
          <w:rFonts w:asciiTheme="minorEastAsia" w:hAnsiTheme="minorEastAsia" w:eastAsiaTheme="minorEastAsia"/>
          <w:b/>
          <w:sz w:val="24"/>
          <w:szCs w:val="24"/>
        </w:rPr>
        <w:t>.1</w:t>
      </w:r>
      <w:r>
        <w:rPr>
          <w:rFonts w:hint="eastAsia" w:asciiTheme="minorEastAsia" w:hAnsiTheme="minorEastAsia" w:eastAsiaTheme="minorEastAsia"/>
          <w:b/>
          <w:sz w:val="24"/>
          <w:szCs w:val="24"/>
        </w:rPr>
        <w:t>技术参数</w:t>
      </w:r>
    </w:p>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5.1.1</w:t>
      </w:r>
      <w:r>
        <w:rPr>
          <w:rFonts w:hint="eastAsia" w:asciiTheme="minorEastAsia" w:hAnsiTheme="minorEastAsia" w:eastAsiaTheme="minorEastAsia"/>
          <w:sz w:val="24"/>
        </w:rPr>
        <w:t>电压显示：准确度不应低于±0.5%。</w:t>
      </w:r>
    </w:p>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5.1.2</w:t>
      </w:r>
      <w:r>
        <w:rPr>
          <w:rFonts w:hint="eastAsia" w:asciiTheme="minorEastAsia" w:hAnsiTheme="minorEastAsia" w:eastAsiaTheme="minorEastAsia"/>
          <w:sz w:val="24"/>
        </w:rPr>
        <w:t xml:space="preserve"> 交流输入：</w:t>
      </w:r>
      <w:r>
        <w:rPr>
          <w:rFonts w:asciiTheme="minorEastAsia" w:hAnsiTheme="minorEastAsia" w:eastAsiaTheme="minorEastAsia"/>
          <w:sz w:val="24"/>
        </w:rPr>
        <w:t>AC220V±10%</w:t>
      </w:r>
      <w:r>
        <w:rPr>
          <w:rFonts w:hint="eastAsia" w:asciiTheme="minorEastAsia" w:hAnsiTheme="minorEastAsia" w:eastAsiaTheme="minorEastAsia"/>
          <w:sz w:val="24"/>
        </w:rPr>
        <w:t>。</w:t>
      </w:r>
    </w:p>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5.1.3</w:t>
      </w:r>
      <w:r>
        <w:rPr>
          <w:rFonts w:hint="eastAsia" w:asciiTheme="minorEastAsia" w:hAnsiTheme="minorEastAsia" w:eastAsiaTheme="minorEastAsia"/>
          <w:sz w:val="24"/>
        </w:rPr>
        <w:t>*直流输出电压：40～60V,调节精度0.1%。</w:t>
      </w:r>
    </w:p>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5.1.4</w:t>
      </w:r>
      <w:r>
        <w:rPr>
          <w:rFonts w:hint="eastAsia" w:asciiTheme="minorEastAsia" w:hAnsiTheme="minorEastAsia" w:eastAsiaTheme="minorEastAsia"/>
          <w:sz w:val="24"/>
        </w:rPr>
        <w:t>*直流输出电流：0～50A，调节精度0.5%。</w:t>
      </w:r>
    </w:p>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5.1.5</w:t>
      </w:r>
      <w:r>
        <w:rPr>
          <w:rFonts w:hint="eastAsia" w:asciiTheme="minorEastAsia" w:hAnsiTheme="minorEastAsia" w:eastAsiaTheme="minorEastAsia"/>
          <w:sz w:val="24"/>
        </w:rPr>
        <w:t xml:space="preserve"> *锂电池包容量与输出</w:t>
      </w:r>
    </w:p>
    <w:p>
      <w:pPr>
        <w:pStyle w:val="39"/>
        <w:numPr>
          <w:ilvl w:val="0"/>
          <w:numId w:val="2"/>
        </w:numPr>
        <w:spacing w:line="360" w:lineRule="auto"/>
        <w:ind w:firstLine="480"/>
        <w:jc w:val="left"/>
        <w:rPr>
          <w:rFonts w:asciiTheme="minorEastAsia" w:hAnsiTheme="minorEastAsia" w:eastAsiaTheme="minorEastAsia"/>
          <w:sz w:val="24"/>
        </w:rPr>
      </w:pPr>
      <w:r>
        <w:rPr>
          <w:rFonts w:hint="eastAsia" w:asciiTheme="minorEastAsia" w:hAnsiTheme="minorEastAsia" w:eastAsiaTheme="minorEastAsia"/>
          <w:sz w:val="24"/>
        </w:rPr>
        <w:t>额定容量</w:t>
      </w:r>
      <w:r>
        <w:rPr>
          <w:rFonts w:hint="eastAsia" w:asciiTheme="minorEastAsia" w:hAnsiTheme="minorEastAsia" w:eastAsiaTheme="minorEastAsia"/>
          <w:sz w:val="24"/>
          <w:lang w:val="en-US" w:eastAsia="zh-CN"/>
        </w:rPr>
        <w:t>5</w:t>
      </w:r>
      <w:r>
        <w:rPr>
          <w:rFonts w:hint="eastAsia" w:asciiTheme="minorEastAsia" w:hAnsiTheme="minorEastAsia" w:eastAsiaTheme="minorEastAsia"/>
          <w:sz w:val="24"/>
        </w:rPr>
        <w:t>0Ah，4</w:t>
      </w:r>
      <w:r>
        <w:rPr>
          <w:rFonts w:asciiTheme="minorEastAsia" w:hAnsiTheme="minorEastAsia" w:eastAsiaTheme="minorEastAsia"/>
          <w:sz w:val="24"/>
        </w:rPr>
        <w:t>8V</w:t>
      </w:r>
      <w:r>
        <w:rPr>
          <w:rFonts w:hint="eastAsia" w:asciiTheme="minorEastAsia" w:hAnsiTheme="minorEastAsia" w:eastAsiaTheme="minorEastAsia"/>
          <w:sz w:val="24"/>
        </w:rPr>
        <w:t>。</w:t>
      </w:r>
    </w:p>
    <w:p>
      <w:pPr>
        <w:pStyle w:val="39"/>
        <w:numPr>
          <w:ilvl w:val="0"/>
          <w:numId w:val="2"/>
        </w:numPr>
        <w:spacing w:line="360" w:lineRule="auto"/>
        <w:ind w:firstLine="480"/>
        <w:jc w:val="left"/>
        <w:rPr>
          <w:rFonts w:asciiTheme="minorEastAsia" w:hAnsiTheme="minorEastAsia" w:eastAsiaTheme="minorEastAsia"/>
          <w:sz w:val="24"/>
        </w:rPr>
      </w:pPr>
      <w:r>
        <w:rPr>
          <w:rFonts w:hint="eastAsia" w:asciiTheme="minorEastAsia" w:hAnsiTheme="minorEastAsia" w:eastAsiaTheme="minorEastAsia"/>
          <w:sz w:val="24"/>
        </w:rPr>
        <w:t>有效输出容量不低于额定容量</w:t>
      </w:r>
      <w:r>
        <w:rPr>
          <w:rFonts w:asciiTheme="minorEastAsia" w:hAnsiTheme="minorEastAsia" w:eastAsiaTheme="minorEastAsia"/>
          <w:sz w:val="24"/>
        </w:rPr>
        <w:t>85</w:t>
      </w:r>
      <w:r>
        <w:rPr>
          <w:rFonts w:hint="eastAsia" w:asciiTheme="minorEastAsia" w:hAnsiTheme="minorEastAsia" w:eastAsiaTheme="minorEastAsia"/>
          <w:sz w:val="24"/>
        </w:rPr>
        <w:t>%。</w:t>
      </w:r>
    </w:p>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5.1.6</w:t>
      </w:r>
      <w:r>
        <w:rPr>
          <w:rFonts w:hint="eastAsia" w:asciiTheme="minorEastAsia" w:hAnsiTheme="minorEastAsia" w:eastAsiaTheme="minorEastAsia"/>
          <w:sz w:val="24"/>
        </w:rPr>
        <w:t xml:space="preserve"> 输入、输出接口</w:t>
      </w:r>
    </w:p>
    <w:p>
      <w:pPr>
        <w:pStyle w:val="39"/>
        <w:numPr>
          <w:ilvl w:val="0"/>
          <w:numId w:val="3"/>
        </w:numPr>
        <w:spacing w:line="360" w:lineRule="auto"/>
        <w:ind w:firstLine="480"/>
        <w:jc w:val="left"/>
        <w:rPr>
          <w:rFonts w:asciiTheme="minorEastAsia" w:hAnsiTheme="minorEastAsia" w:eastAsiaTheme="minorEastAsia"/>
          <w:sz w:val="24"/>
        </w:rPr>
      </w:pPr>
      <w:r>
        <w:rPr>
          <w:rFonts w:hint="eastAsia" w:asciiTheme="minorEastAsia" w:hAnsiTheme="minorEastAsia" w:eastAsiaTheme="minorEastAsia"/>
          <w:sz w:val="24"/>
        </w:rPr>
        <w:t>输入接口：国标要求的220V交流电及插头。</w:t>
      </w:r>
    </w:p>
    <w:p>
      <w:pPr>
        <w:pStyle w:val="39"/>
        <w:numPr>
          <w:ilvl w:val="0"/>
          <w:numId w:val="3"/>
        </w:numPr>
        <w:spacing w:line="360" w:lineRule="auto"/>
        <w:ind w:firstLine="480"/>
        <w:jc w:val="left"/>
        <w:rPr>
          <w:rFonts w:asciiTheme="minorEastAsia" w:hAnsiTheme="minorEastAsia" w:eastAsiaTheme="minorEastAsia"/>
          <w:sz w:val="24"/>
        </w:rPr>
      </w:pPr>
      <w:r>
        <w:rPr>
          <w:rFonts w:hint="eastAsia" w:asciiTheme="minorEastAsia" w:hAnsiTheme="minorEastAsia" w:eastAsiaTheme="minorEastAsia"/>
          <w:sz w:val="24"/>
        </w:rPr>
        <w:t>直流输出接口:快速连接接头。</w:t>
      </w:r>
    </w:p>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5.1.7</w:t>
      </w:r>
      <w:r>
        <w:rPr>
          <w:rFonts w:hint="eastAsia" w:asciiTheme="minorEastAsia" w:hAnsiTheme="minorEastAsia" w:eastAsiaTheme="minorEastAsia"/>
          <w:sz w:val="24"/>
        </w:rPr>
        <w:t>*自动监测匹配外部电压输出，限流值为最大值。</w:t>
      </w:r>
    </w:p>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5.1.8</w:t>
      </w:r>
      <w:r>
        <w:rPr>
          <w:rFonts w:hint="eastAsia" w:asciiTheme="minorEastAsia" w:hAnsiTheme="minorEastAsia" w:eastAsiaTheme="minorEastAsia"/>
          <w:sz w:val="24"/>
        </w:rPr>
        <w:t>安全保护功能</w:t>
      </w:r>
    </w:p>
    <w:p>
      <w:pPr>
        <w:pStyle w:val="39"/>
        <w:spacing w:line="360" w:lineRule="auto"/>
        <w:ind w:firstLine="480"/>
        <w:rPr>
          <w:rFonts w:asciiTheme="minorEastAsia" w:hAnsiTheme="minorEastAsia" w:eastAsiaTheme="minorEastAsia"/>
          <w:sz w:val="24"/>
        </w:rPr>
      </w:pPr>
      <w:r>
        <w:rPr>
          <w:rFonts w:hint="eastAsia" w:cs="Times New Roman" w:asciiTheme="minorEastAsia" w:hAnsiTheme="minorEastAsia" w:eastAsiaTheme="minorEastAsia"/>
          <w:sz w:val="24"/>
        </w:rPr>
        <w:t>便携式应急蓄电池系统</w:t>
      </w:r>
      <w:r>
        <w:rPr>
          <w:rFonts w:hint="eastAsia" w:asciiTheme="minorEastAsia" w:hAnsiTheme="minorEastAsia" w:eastAsiaTheme="minorEastAsia"/>
          <w:sz w:val="24"/>
        </w:rPr>
        <w:t>在过充电、过放电、短路、过载、误操作情况下自启动保护，不爆炸、不泄气、不起火、不漏液。</w:t>
      </w:r>
    </w:p>
    <w:p>
      <w:pPr>
        <w:spacing w:line="360" w:lineRule="auto"/>
        <w:ind w:firstLine="0" w:firstLineChars="0"/>
        <w:rPr>
          <w:rFonts w:asciiTheme="minorEastAsia" w:hAnsiTheme="minorEastAsia" w:eastAsiaTheme="minorEastAsia"/>
          <w:b/>
          <w:sz w:val="24"/>
          <w:szCs w:val="24"/>
        </w:rPr>
      </w:pPr>
      <w:r>
        <w:rPr>
          <w:rFonts w:hint="eastAsia" w:asciiTheme="minorEastAsia" w:hAnsiTheme="minorEastAsia" w:eastAsiaTheme="minorEastAsia"/>
          <w:b/>
          <w:sz w:val="24"/>
          <w:szCs w:val="24"/>
        </w:rPr>
        <w:t>5</w:t>
      </w:r>
      <w:r>
        <w:rPr>
          <w:rFonts w:asciiTheme="minorEastAsia" w:hAnsiTheme="minorEastAsia" w:eastAsiaTheme="minorEastAsia"/>
          <w:b/>
          <w:sz w:val="24"/>
          <w:szCs w:val="24"/>
        </w:rPr>
        <w:t>.2</w:t>
      </w:r>
      <w:r>
        <w:rPr>
          <w:rFonts w:hint="eastAsia" w:asciiTheme="minorEastAsia" w:hAnsiTheme="minorEastAsia" w:eastAsiaTheme="minorEastAsia"/>
          <w:b/>
          <w:sz w:val="24"/>
          <w:szCs w:val="24"/>
        </w:rPr>
        <w:t>主要功能要求</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5.2.1</w:t>
      </w:r>
      <w:r>
        <w:rPr>
          <w:rFonts w:hint="eastAsia" w:asciiTheme="minorEastAsia" w:hAnsiTheme="minorEastAsia" w:eastAsiaTheme="minorEastAsia"/>
          <w:sz w:val="24"/>
        </w:rPr>
        <w:t>自带7寸液晶显示屏，可显示输出电压类型、输出电压大小及剩余电量。</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5.2.2</w:t>
      </w:r>
      <w:r>
        <w:rPr>
          <w:rFonts w:hint="eastAsia" w:asciiTheme="minorEastAsia" w:hAnsiTheme="minorEastAsia" w:eastAsiaTheme="minorEastAsia"/>
          <w:sz w:val="24"/>
        </w:rPr>
        <w:t>操作方式：触摸屏操作。</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5.2.3</w:t>
      </w:r>
      <w:r>
        <w:rPr>
          <w:rFonts w:hint="eastAsia" w:asciiTheme="minorEastAsia" w:hAnsiTheme="minorEastAsia" w:eastAsiaTheme="minorEastAsia"/>
          <w:sz w:val="24"/>
        </w:rPr>
        <w:t>输出电压、电流在量程范围内连续可调。</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5.2.4</w:t>
      </w:r>
      <w:r>
        <w:rPr>
          <w:rFonts w:hint="eastAsia" w:asciiTheme="minorEastAsia" w:hAnsiTheme="minorEastAsia" w:eastAsiaTheme="minorEastAsia"/>
          <w:sz w:val="24"/>
        </w:rPr>
        <w:t>可自适应匹配外电压输出：可直接并接在外部直流系统（蓄电池组），监测外部直流电压，自动匹配输出对应电压值，避免压差回灌。</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5.2.5</w:t>
      </w:r>
      <w:r>
        <w:rPr>
          <w:rFonts w:hint="eastAsia" w:asciiTheme="minorEastAsia" w:hAnsiTheme="minorEastAsia" w:eastAsiaTheme="minorEastAsia"/>
          <w:sz w:val="24"/>
        </w:rPr>
        <w:t>具备均衡功能，自动均衡模式工作。</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5.2.6</w:t>
      </w:r>
      <w:r>
        <w:rPr>
          <w:rFonts w:hint="eastAsia" w:asciiTheme="minorEastAsia" w:hAnsiTheme="minorEastAsia" w:eastAsiaTheme="minorEastAsia"/>
          <w:sz w:val="24"/>
        </w:rPr>
        <w:t>能反复充电使用，充电过程中可以同时输出直流。</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5.2.7</w:t>
      </w:r>
      <w:r>
        <w:rPr>
          <w:rFonts w:hint="eastAsia" w:asciiTheme="minorEastAsia" w:hAnsiTheme="minorEastAsia" w:eastAsiaTheme="minorEastAsia"/>
          <w:sz w:val="24"/>
        </w:rPr>
        <w:t>具有声光报警功能，电芯电压下限、剩余容量、放电温度、充电温度等告警门限可设置。</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5.2.8</w:t>
      </w:r>
      <w:r>
        <w:rPr>
          <w:rFonts w:hint="eastAsia" w:asciiTheme="minorEastAsia" w:hAnsiTheme="minorEastAsia" w:eastAsiaTheme="minorEastAsia"/>
          <w:sz w:val="24"/>
        </w:rPr>
        <w:t>带有安全保护功能，在过充电、过放电、过载、短路等情况下能启动自保护功能。</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5.2.9</w:t>
      </w:r>
      <w:r>
        <w:rPr>
          <w:rFonts w:hint="eastAsia" w:asciiTheme="minorEastAsia" w:hAnsiTheme="minorEastAsia" w:eastAsiaTheme="minorEastAsia"/>
          <w:sz w:val="24"/>
        </w:rPr>
        <w:t>配置可伸缩拉杆与脚轮，方便携带转移。</w:t>
      </w:r>
    </w:p>
    <w:p>
      <w:pPr>
        <w:pStyle w:val="31"/>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5.2.10</w:t>
      </w:r>
      <w:r>
        <w:rPr>
          <w:rFonts w:hint="eastAsia" w:cs="Times New Roman" w:asciiTheme="minorEastAsia" w:hAnsiTheme="minorEastAsia" w:eastAsiaTheme="minorEastAsia"/>
          <w:sz w:val="24"/>
        </w:rPr>
        <w:t>便携式应急蓄电池系统</w:t>
      </w:r>
      <w:r>
        <w:rPr>
          <w:rFonts w:hint="eastAsia" w:asciiTheme="minorEastAsia" w:hAnsiTheme="minorEastAsia" w:eastAsiaTheme="minorEastAsia"/>
          <w:sz w:val="24"/>
        </w:rPr>
        <w:t>具有使用说明书及接线图操作说明功能。</w:t>
      </w:r>
    </w:p>
    <w:p>
      <w:pPr>
        <w:pStyle w:val="31"/>
        <w:spacing w:line="360" w:lineRule="auto"/>
        <w:ind w:firstLine="0" w:firstLineChars="0"/>
        <w:rPr>
          <w:rFonts w:asciiTheme="minorEastAsia" w:hAnsiTheme="minorEastAsia" w:eastAsiaTheme="minorEastAsia"/>
          <w:sz w:val="24"/>
        </w:rPr>
      </w:pPr>
      <w:bookmarkStart w:id="6" w:name="_Toc472363018"/>
    </w:p>
    <w:bookmarkEnd w:id="6"/>
    <w:p>
      <w:pPr>
        <w:widowControl w:val="0"/>
        <w:snapToGrid w:val="0"/>
        <w:spacing w:line="324" w:lineRule="auto"/>
        <w:ind w:firstLine="0" w:firstLineChars="0"/>
        <w:outlineLvl w:val="0"/>
        <w:rPr>
          <w:rFonts w:ascii="宋体" w:eastAsia="宋体"/>
          <w:b/>
          <w:bCs/>
          <w:kern w:val="44"/>
        </w:rPr>
      </w:pPr>
      <w:bookmarkStart w:id="7" w:name="_Toc86671999"/>
      <w:r>
        <w:rPr>
          <w:rFonts w:hint="eastAsia" w:ascii="宋体" w:eastAsia="宋体"/>
          <w:b/>
          <w:bCs/>
          <w:kern w:val="44"/>
        </w:rPr>
        <w:t>6 调试及验收</w:t>
      </w:r>
      <w:bookmarkEnd w:id="7"/>
    </w:p>
    <w:p>
      <w:pPr>
        <w:spacing w:line="360" w:lineRule="auto"/>
        <w:ind w:firstLine="0" w:firstLineChars="0"/>
        <w:rPr>
          <w:rFonts w:asciiTheme="minorEastAsia" w:hAnsiTheme="minorEastAsia" w:eastAsiaTheme="minorEastAsia"/>
          <w:b/>
          <w:sz w:val="24"/>
          <w:szCs w:val="24"/>
        </w:rPr>
      </w:pPr>
      <w:r>
        <w:rPr>
          <w:rFonts w:hint="eastAsia" w:asciiTheme="minorEastAsia" w:hAnsiTheme="minorEastAsia" w:eastAsiaTheme="minorEastAsia"/>
          <w:b/>
          <w:sz w:val="24"/>
          <w:szCs w:val="24"/>
        </w:rPr>
        <w:t>6</w:t>
      </w:r>
      <w:r>
        <w:rPr>
          <w:rFonts w:asciiTheme="minorEastAsia" w:hAnsiTheme="minorEastAsia" w:eastAsiaTheme="minorEastAsia"/>
          <w:b/>
          <w:sz w:val="24"/>
          <w:szCs w:val="24"/>
        </w:rPr>
        <w:t>.1</w:t>
      </w:r>
      <w:r>
        <w:rPr>
          <w:rFonts w:hint="eastAsia" w:asciiTheme="minorEastAsia" w:hAnsiTheme="minorEastAsia" w:eastAsiaTheme="minorEastAsia"/>
          <w:b/>
          <w:sz w:val="24"/>
          <w:szCs w:val="24"/>
        </w:rPr>
        <w:t>现场调试</w:t>
      </w:r>
    </w:p>
    <w:p>
      <w:pPr>
        <w:pStyle w:val="39"/>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.1.1</w:t>
      </w:r>
      <w:r>
        <w:rPr>
          <w:rFonts w:hint="eastAsia" w:asciiTheme="minorEastAsia" w:hAnsiTheme="minorEastAsia" w:eastAsiaTheme="minorEastAsia"/>
          <w:sz w:val="24"/>
        </w:rPr>
        <w:t>设备运到现场安装完毕，招标方应通知投标方人员到场参加设备调试。投标方应派出有经验的专家提供技术服务。</w:t>
      </w:r>
    </w:p>
    <w:p>
      <w:pPr>
        <w:pStyle w:val="39"/>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.1.2</w:t>
      </w:r>
      <w:r>
        <w:rPr>
          <w:rFonts w:hint="eastAsia" w:asciiTheme="minorEastAsia" w:hAnsiTheme="minorEastAsia" w:eastAsiaTheme="minorEastAsia"/>
          <w:sz w:val="24"/>
        </w:rPr>
        <w:t>在调试过程中，若发现设备存在元器件损坏或不正常工作情况，投标方应负责更换。</w:t>
      </w:r>
    </w:p>
    <w:p>
      <w:pPr>
        <w:spacing w:line="360" w:lineRule="auto"/>
        <w:ind w:firstLine="0" w:firstLineChars="0"/>
        <w:rPr>
          <w:rFonts w:asciiTheme="minorEastAsia" w:hAnsiTheme="minorEastAsia" w:eastAsiaTheme="minorEastAsia"/>
          <w:b/>
          <w:sz w:val="24"/>
          <w:szCs w:val="24"/>
        </w:rPr>
      </w:pPr>
      <w:r>
        <w:rPr>
          <w:rFonts w:hint="eastAsia" w:asciiTheme="minorEastAsia" w:hAnsiTheme="minorEastAsia" w:eastAsiaTheme="minorEastAsia"/>
          <w:b/>
          <w:sz w:val="24"/>
          <w:szCs w:val="24"/>
        </w:rPr>
        <w:t>6</w:t>
      </w:r>
      <w:r>
        <w:rPr>
          <w:rFonts w:asciiTheme="minorEastAsia" w:hAnsiTheme="minorEastAsia" w:eastAsiaTheme="minorEastAsia"/>
          <w:b/>
          <w:sz w:val="24"/>
          <w:szCs w:val="24"/>
        </w:rPr>
        <w:t>.2</w:t>
      </w:r>
      <w:r>
        <w:rPr>
          <w:rFonts w:hint="eastAsia" w:asciiTheme="minorEastAsia" w:hAnsiTheme="minorEastAsia" w:eastAsiaTheme="minorEastAsia"/>
          <w:b/>
          <w:sz w:val="24"/>
          <w:szCs w:val="24"/>
        </w:rPr>
        <w:t>现场验收</w:t>
      </w:r>
    </w:p>
    <w:p>
      <w:pPr>
        <w:pStyle w:val="39"/>
        <w:spacing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.2.1</w:t>
      </w:r>
      <w:r>
        <w:rPr>
          <w:rFonts w:hint="eastAsia" w:asciiTheme="minorEastAsia" w:hAnsiTheme="minorEastAsia" w:eastAsiaTheme="minorEastAsia"/>
          <w:sz w:val="24"/>
        </w:rPr>
        <w:t>现场验收应在所有设备安装调试完毕，且设备准备投入试运行时进行</w:t>
      </w:r>
      <w:r>
        <w:rPr>
          <w:rFonts w:asciiTheme="minorEastAsia" w:hAnsiTheme="minorEastAsia" w:eastAsiaTheme="minorEastAsia"/>
          <w:sz w:val="24"/>
        </w:rPr>
        <w:t>,</w:t>
      </w:r>
      <w:r>
        <w:rPr>
          <w:rFonts w:hint="eastAsia" w:asciiTheme="minorEastAsia" w:hAnsiTheme="minorEastAsia" w:eastAsiaTheme="minorEastAsia"/>
          <w:sz w:val="24"/>
        </w:rPr>
        <w:t>并出具书面测试报告。</w:t>
      </w:r>
    </w:p>
    <w:p>
      <w:pPr>
        <w:pStyle w:val="39"/>
        <w:spacing w:line="360" w:lineRule="auto"/>
        <w:ind w:firstLine="0" w:firstLineChars="0"/>
        <w:rPr>
          <w:rFonts w:asciiTheme="minorEastAsia" w:hAnsiTheme="minorEastAsia" w:eastAsiaTheme="minorEastAsia"/>
          <w:sz w:val="24"/>
        </w:rPr>
      </w:pPr>
      <w:r>
        <w:rPr>
          <w:rFonts w:asciiTheme="minorEastAsia" w:hAnsiTheme="minorEastAsia" w:eastAsiaTheme="minorEastAsia"/>
          <w:sz w:val="24"/>
        </w:rPr>
        <w:t>6.2.2</w:t>
      </w:r>
      <w:r>
        <w:rPr>
          <w:rFonts w:hint="eastAsia" w:asciiTheme="minorEastAsia" w:hAnsiTheme="minorEastAsia" w:eastAsiaTheme="minorEastAsia"/>
          <w:sz w:val="24"/>
        </w:rPr>
        <w:t>备品备件、文档资料均作为验收的一部分。</w:t>
      </w:r>
    </w:p>
    <w:p/>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宋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17879050"/>
    </w:sdtPr>
    <w:sdtContent>
      <w:p>
        <w:pPr>
          <w:pStyle w:val="10"/>
          <w:ind w:firstLine="360"/>
          <w:jc w:val="center"/>
        </w:pPr>
        <w:r>
          <w:fldChar w:fldCharType="begin"/>
        </w:r>
        <w:r>
          <w:instrText xml:space="preserve">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48" w:lineRule="auto"/>
        <w:ind w:firstLine="560"/>
      </w:pPr>
      <w:r>
        <w:separator/>
      </w:r>
    </w:p>
  </w:footnote>
  <w:footnote w:type="continuationSeparator" w:id="1">
    <w:p>
      <w:pPr>
        <w:spacing w:line="348"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ind w:firstLine="0" w:firstLineChars="0"/>
      <w:rPr>
        <w:rFonts w:ascii="宋体" w:hAnsi="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DAF925"/>
    <w:multiLevelType w:val="singleLevel"/>
    <w:tmpl w:val="E8DAF925"/>
    <w:lvl w:ilvl="0" w:tentative="0">
      <w:start w:val="1"/>
      <w:numFmt w:val="decimal"/>
      <w:suff w:val="nothing"/>
      <w:lvlText w:val="%1）"/>
      <w:lvlJc w:val="left"/>
    </w:lvl>
  </w:abstractNum>
  <w:abstractNum w:abstractNumId="1">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41"/>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40"/>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0" w:firstLine="0"/>
      </w:pPr>
      <w:rPr>
        <w:rFonts w:hint="eastAsia"/>
      </w:rPr>
    </w:lvl>
    <w:lvl w:ilvl="8" w:tentative="0">
      <w:start w:val="1"/>
      <w:numFmt w:val="decimal"/>
      <w:lvlText w:val="%1.%2.%3.%4.%5.%6.%7.%8.%9"/>
      <w:lvlJc w:val="left"/>
      <w:pPr>
        <w:tabs>
          <w:tab w:val="left" w:pos="4777"/>
        </w:tabs>
        <w:ind w:left="0" w:firstLine="0"/>
      </w:pPr>
      <w:rPr>
        <w:rFonts w:hint="eastAsia"/>
      </w:rPr>
    </w:lvl>
  </w:abstractNum>
  <w:abstractNum w:abstractNumId="2">
    <w:nsid w:val="5487DC2A"/>
    <w:multiLevelType w:val="singleLevel"/>
    <w:tmpl w:val="5487DC2A"/>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172A27"/>
    <w:rsid w:val="00006BEC"/>
    <w:rsid w:val="00021ABB"/>
    <w:rsid w:val="00047375"/>
    <w:rsid w:val="0005327F"/>
    <w:rsid w:val="00062F8E"/>
    <w:rsid w:val="00065983"/>
    <w:rsid w:val="000724FC"/>
    <w:rsid w:val="000848B0"/>
    <w:rsid w:val="00085B3F"/>
    <w:rsid w:val="000864A7"/>
    <w:rsid w:val="000919EC"/>
    <w:rsid w:val="000A0CD1"/>
    <w:rsid w:val="000A2836"/>
    <w:rsid w:val="000A7FEA"/>
    <w:rsid w:val="000B0B76"/>
    <w:rsid w:val="000C1B49"/>
    <w:rsid w:val="000D3BD9"/>
    <w:rsid w:val="000E20DB"/>
    <w:rsid w:val="001018B7"/>
    <w:rsid w:val="0010197C"/>
    <w:rsid w:val="00111D09"/>
    <w:rsid w:val="00112603"/>
    <w:rsid w:val="001151B3"/>
    <w:rsid w:val="0012265F"/>
    <w:rsid w:val="001315B2"/>
    <w:rsid w:val="00141115"/>
    <w:rsid w:val="001419A8"/>
    <w:rsid w:val="00157BB9"/>
    <w:rsid w:val="00172A27"/>
    <w:rsid w:val="00174880"/>
    <w:rsid w:val="0018042C"/>
    <w:rsid w:val="00181F2C"/>
    <w:rsid w:val="00182188"/>
    <w:rsid w:val="00182489"/>
    <w:rsid w:val="00190C30"/>
    <w:rsid w:val="0019482C"/>
    <w:rsid w:val="001949C4"/>
    <w:rsid w:val="00194CDA"/>
    <w:rsid w:val="001B07D0"/>
    <w:rsid w:val="001B3039"/>
    <w:rsid w:val="001C6809"/>
    <w:rsid w:val="001D417A"/>
    <w:rsid w:val="001E0995"/>
    <w:rsid w:val="001E7FBC"/>
    <w:rsid w:val="00207435"/>
    <w:rsid w:val="002302C6"/>
    <w:rsid w:val="00230C5C"/>
    <w:rsid w:val="00232E94"/>
    <w:rsid w:val="002339EF"/>
    <w:rsid w:val="00250CFC"/>
    <w:rsid w:val="00276C4B"/>
    <w:rsid w:val="00281A78"/>
    <w:rsid w:val="002825E3"/>
    <w:rsid w:val="00283DDA"/>
    <w:rsid w:val="00286FD1"/>
    <w:rsid w:val="00296EB5"/>
    <w:rsid w:val="002A1B1F"/>
    <w:rsid w:val="002B3640"/>
    <w:rsid w:val="002B72A0"/>
    <w:rsid w:val="002C0C3A"/>
    <w:rsid w:val="002D08AF"/>
    <w:rsid w:val="002D1A5A"/>
    <w:rsid w:val="002D7131"/>
    <w:rsid w:val="002E6D23"/>
    <w:rsid w:val="002E7C16"/>
    <w:rsid w:val="003236C3"/>
    <w:rsid w:val="0032776F"/>
    <w:rsid w:val="00333B30"/>
    <w:rsid w:val="003530E6"/>
    <w:rsid w:val="0037035D"/>
    <w:rsid w:val="00373D14"/>
    <w:rsid w:val="00375455"/>
    <w:rsid w:val="00387082"/>
    <w:rsid w:val="003A137E"/>
    <w:rsid w:val="003A353D"/>
    <w:rsid w:val="003A7066"/>
    <w:rsid w:val="003B1F91"/>
    <w:rsid w:val="003B3FEA"/>
    <w:rsid w:val="003C0FE7"/>
    <w:rsid w:val="003C325E"/>
    <w:rsid w:val="003D0E18"/>
    <w:rsid w:val="003D189D"/>
    <w:rsid w:val="003D6961"/>
    <w:rsid w:val="003E51F8"/>
    <w:rsid w:val="003E6BB3"/>
    <w:rsid w:val="0040703A"/>
    <w:rsid w:val="004209D9"/>
    <w:rsid w:val="00425582"/>
    <w:rsid w:val="00440E33"/>
    <w:rsid w:val="00451C7F"/>
    <w:rsid w:val="0045358E"/>
    <w:rsid w:val="00454109"/>
    <w:rsid w:val="004678AF"/>
    <w:rsid w:val="004716A1"/>
    <w:rsid w:val="00473917"/>
    <w:rsid w:val="00485087"/>
    <w:rsid w:val="0048797A"/>
    <w:rsid w:val="00492FE0"/>
    <w:rsid w:val="004B2EFD"/>
    <w:rsid w:val="004D609F"/>
    <w:rsid w:val="00506E65"/>
    <w:rsid w:val="00507F44"/>
    <w:rsid w:val="00525BB1"/>
    <w:rsid w:val="00551085"/>
    <w:rsid w:val="00562237"/>
    <w:rsid w:val="00563D36"/>
    <w:rsid w:val="0056675C"/>
    <w:rsid w:val="005718A7"/>
    <w:rsid w:val="00574137"/>
    <w:rsid w:val="00581695"/>
    <w:rsid w:val="00584666"/>
    <w:rsid w:val="005C01E3"/>
    <w:rsid w:val="005C4FEA"/>
    <w:rsid w:val="005D5FBA"/>
    <w:rsid w:val="005E322C"/>
    <w:rsid w:val="005E332E"/>
    <w:rsid w:val="005E344A"/>
    <w:rsid w:val="005E79AC"/>
    <w:rsid w:val="005F4F19"/>
    <w:rsid w:val="005F79B9"/>
    <w:rsid w:val="00602370"/>
    <w:rsid w:val="006129FD"/>
    <w:rsid w:val="00622534"/>
    <w:rsid w:val="00622DF8"/>
    <w:rsid w:val="006238AB"/>
    <w:rsid w:val="006300E0"/>
    <w:rsid w:val="00630374"/>
    <w:rsid w:val="006321A0"/>
    <w:rsid w:val="00632D1C"/>
    <w:rsid w:val="006362C7"/>
    <w:rsid w:val="006735A7"/>
    <w:rsid w:val="0068298A"/>
    <w:rsid w:val="00683868"/>
    <w:rsid w:val="00686166"/>
    <w:rsid w:val="006937E3"/>
    <w:rsid w:val="00694289"/>
    <w:rsid w:val="006A5A27"/>
    <w:rsid w:val="006B3DDF"/>
    <w:rsid w:val="006B3E75"/>
    <w:rsid w:val="006E14CC"/>
    <w:rsid w:val="006E465A"/>
    <w:rsid w:val="00707D0A"/>
    <w:rsid w:val="00715049"/>
    <w:rsid w:val="00723405"/>
    <w:rsid w:val="00724577"/>
    <w:rsid w:val="00726FF8"/>
    <w:rsid w:val="007538AC"/>
    <w:rsid w:val="00761222"/>
    <w:rsid w:val="00763E98"/>
    <w:rsid w:val="00764698"/>
    <w:rsid w:val="007709BC"/>
    <w:rsid w:val="00773F8F"/>
    <w:rsid w:val="00777549"/>
    <w:rsid w:val="0078232D"/>
    <w:rsid w:val="007871B7"/>
    <w:rsid w:val="007A3AAA"/>
    <w:rsid w:val="007A5F94"/>
    <w:rsid w:val="007A7177"/>
    <w:rsid w:val="007A7AF6"/>
    <w:rsid w:val="007B2032"/>
    <w:rsid w:val="007B79A0"/>
    <w:rsid w:val="007C1E5D"/>
    <w:rsid w:val="007C50AA"/>
    <w:rsid w:val="007C7E1C"/>
    <w:rsid w:val="007D3E5D"/>
    <w:rsid w:val="007F5EF6"/>
    <w:rsid w:val="00811E26"/>
    <w:rsid w:val="00816F32"/>
    <w:rsid w:val="00816FF6"/>
    <w:rsid w:val="008474C9"/>
    <w:rsid w:val="00871907"/>
    <w:rsid w:val="00877FD5"/>
    <w:rsid w:val="00892ADD"/>
    <w:rsid w:val="008A3A1D"/>
    <w:rsid w:val="008A5317"/>
    <w:rsid w:val="008B0B48"/>
    <w:rsid w:val="008B23D2"/>
    <w:rsid w:val="008C0712"/>
    <w:rsid w:val="008C40F7"/>
    <w:rsid w:val="008C776A"/>
    <w:rsid w:val="008C7871"/>
    <w:rsid w:val="008D0DAE"/>
    <w:rsid w:val="008F3C07"/>
    <w:rsid w:val="00906D64"/>
    <w:rsid w:val="00916D38"/>
    <w:rsid w:val="00921F03"/>
    <w:rsid w:val="0092316F"/>
    <w:rsid w:val="0094135C"/>
    <w:rsid w:val="00963DA5"/>
    <w:rsid w:val="00971D28"/>
    <w:rsid w:val="00974A41"/>
    <w:rsid w:val="00974BA7"/>
    <w:rsid w:val="00975622"/>
    <w:rsid w:val="009804B5"/>
    <w:rsid w:val="00980E62"/>
    <w:rsid w:val="00982A83"/>
    <w:rsid w:val="009911C2"/>
    <w:rsid w:val="009A7C84"/>
    <w:rsid w:val="009B433F"/>
    <w:rsid w:val="009D1AB9"/>
    <w:rsid w:val="009F3270"/>
    <w:rsid w:val="00A208AB"/>
    <w:rsid w:val="00A24900"/>
    <w:rsid w:val="00A2606D"/>
    <w:rsid w:val="00A31F77"/>
    <w:rsid w:val="00A35877"/>
    <w:rsid w:val="00A71774"/>
    <w:rsid w:val="00A75B30"/>
    <w:rsid w:val="00A761A8"/>
    <w:rsid w:val="00A96C0E"/>
    <w:rsid w:val="00AA6998"/>
    <w:rsid w:val="00AB5FC5"/>
    <w:rsid w:val="00AE18F4"/>
    <w:rsid w:val="00AE3A53"/>
    <w:rsid w:val="00B13A37"/>
    <w:rsid w:val="00B14E4A"/>
    <w:rsid w:val="00B161FE"/>
    <w:rsid w:val="00B1755B"/>
    <w:rsid w:val="00B25CED"/>
    <w:rsid w:val="00B36DAC"/>
    <w:rsid w:val="00B4520A"/>
    <w:rsid w:val="00B4761B"/>
    <w:rsid w:val="00B56168"/>
    <w:rsid w:val="00B65CB3"/>
    <w:rsid w:val="00B7286B"/>
    <w:rsid w:val="00B74AE3"/>
    <w:rsid w:val="00B775BE"/>
    <w:rsid w:val="00B948AA"/>
    <w:rsid w:val="00BA20D0"/>
    <w:rsid w:val="00BA386A"/>
    <w:rsid w:val="00BB04D9"/>
    <w:rsid w:val="00BC4F9A"/>
    <w:rsid w:val="00BC584B"/>
    <w:rsid w:val="00BC6154"/>
    <w:rsid w:val="00BD0E41"/>
    <w:rsid w:val="00BD5BB2"/>
    <w:rsid w:val="00BD70B8"/>
    <w:rsid w:val="00BD7DDE"/>
    <w:rsid w:val="00BE0759"/>
    <w:rsid w:val="00BE5746"/>
    <w:rsid w:val="00C02A73"/>
    <w:rsid w:val="00C02E70"/>
    <w:rsid w:val="00C07E53"/>
    <w:rsid w:val="00C1455F"/>
    <w:rsid w:val="00C3756A"/>
    <w:rsid w:val="00C45BC2"/>
    <w:rsid w:val="00C46D1B"/>
    <w:rsid w:val="00C50026"/>
    <w:rsid w:val="00C623DB"/>
    <w:rsid w:val="00C944BA"/>
    <w:rsid w:val="00C95264"/>
    <w:rsid w:val="00CA604F"/>
    <w:rsid w:val="00CD0844"/>
    <w:rsid w:val="00CD09E6"/>
    <w:rsid w:val="00CD3BD2"/>
    <w:rsid w:val="00CD4462"/>
    <w:rsid w:val="00CE39B3"/>
    <w:rsid w:val="00CE554F"/>
    <w:rsid w:val="00CE6705"/>
    <w:rsid w:val="00CE6DE1"/>
    <w:rsid w:val="00D34B2A"/>
    <w:rsid w:val="00D4065E"/>
    <w:rsid w:val="00D4081B"/>
    <w:rsid w:val="00D41E25"/>
    <w:rsid w:val="00D44E38"/>
    <w:rsid w:val="00DA4A7C"/>
    <w:rsid w:val="00DA765A"/>
    <w:rsid w:val="00DB2D22"/>
    <w:rsid w:val="00DB7D81"/>
    <w:rsid w:val="00DC3F38"/>
    <w:rsid w:val="00DC7C8C"/>
    <w:rsid w:val="00DD54B7"/>
    <w:rsid w:val="00DD593C"/>
    <w:rsid w:val="00DD5A21"/>
    <w:rsid w:val="00DD6055"/>
    <w:rsid w:val="00DE07D4"/>
    <w:rsid w:val="00DE22A3"/>
    <w:rsid w:val="00DE23C4"/>
    <w:rsid w:val="00DE3690"/>
    <w:rsid w:val="00E116F8"/>
    <w:rsid w:val="00E274B3"/>
    <w:rsid w:val="00E32F29"/>
    <w:rsid w:val="00E34C1F"/>
    <w:rsid w:val="00E7024B"/>
    <w:rsid w:val="00E73C00"/>
    <w:rsid w:val="00E86AA8"/>
    <w:rsid w:val="00EA1DA7"/>
    <w:rsid w:val="00EA31F1"/>
    <w:rsid w:val="00EA5D39"/>
    <w:rsid w:val="00ED4604"/>
    <w:rsid w:val="00ED7594"/>
    <w:rsid w:val="00EE25D7"/>
    <w:rsid w:val="00EE56F9"/>
    <w:rsid w:val="00EF5EDA"/>
    <w:rsid w:val="00F01DD1"/>
    <w:rsid w:val="00F07F65"/>
    <w:rsid w:val="00F10BE9"/>
    <w:rsid w:val="00F15F27"/>
    <w:rsid w:val="00F21FB2"/>
    <w:rsid w:val="00F24A62"/>
    <w:rsid w:val="00F4080F"/>
    <w:rsid w:val="00F40AAE"/>
    <w:rsid w:val="00F44BB7"/>
    <w:rsid w:val="00F5724F"/>
    <w:rsid w:val="00F80FFD"/>
    <w:rsid w:val="00FD2738"/>
    <w:rsid w:val="00FD58AD"/>
    <w:rsid w:val="00FF0745"/>
    <w:rsid w:val="00FF7848"/>
    <w:rsid w:val="010C67CE"/>
    <w:rsid w:val="01316AE3"/>
    <w:rsid w:val="0166391C"/>
    <w:rsid w:val="026B0E05"/>
    <w:rsid w:val="02EC2452"/>
    <w:rsid w:val="02F3188F"/>
    <w:rsid w:val="03191663"/>
    <w:rsid w:val="03524A1C"/>
    <w:rsid w:val="08021D84"/>
    <w:rsid w:val="0A356C01"/>
    <w:rsid w:val="0AC71348"/>
    <w:rsid w:val="0B4A7615"/>
    <w:rsid w:val="0C524F12"/>
    <w:rsid w:val="0CB35096"/>
    <w:rsid w:val="0CBA5E8D"/>
    <w:rsid w:val="0CF05604"/>
    <w:rsid w:val="0D790B1C"/>
    <w:rsid w:val="0DD9744C"/>
    <w:rsid w:val="0E6C40DF"/>
    <w:rsid w:val="0F073692"/>
    <w:rsid w:val="0F506349"/>
    <w:rsid w:val="0FF20AC6"/>
    <w:rsid w:val="108F6102"/>
    <w:rsid w:val="11AF0A31"/>
    <w:rsid w:val="135C3BBD"/>
    <w:rsid w:val="15DA7FC0"/>
    <w:rsid w:val="18B82E33"/>
    <w:rsid w:val="19117227"/>
    <w:rsid w:val="19516B9C"/>
    <w:rsid w:val="1A8C4972"/>
    <w:rsid w:val="1B406718"/>
    <w:rsid w:val="1B9F4DE1"/>
    <w:rsid w:val="1BFA4AA1"/>
    <w:rsid w:val="1C5D34FF"/>
    <w:rsid w:val="1E5C09A8"/>
    <w:rsid w:val="1F621EC0"/>
    <w:rsid w:val="20012627"/>
    <w:rsid w:val="20863E8C"/>
    <w:rsid w:val="214E2934"/>
    <w:rsid w:val="21C36B8B"/>
    <w:rsid w:val="22184B86"/>
    <w:rsid w:val="23550113"/>
    <w:rsid w:val="24997356"/>
    <w:rsid w:val="24CD2D49"/>
    <w:rsid w:val="26F71A1E"/>
    <w:rsid w:val="277B1871"/>
    <w:rsid w:val="29634607"/>
    <w:rsid w:val="29951BF2"/>
    <w:rsid w:val="2AB737A5"/>
    <w:rsid w:val="2AB92649"/>
    <w:rsid w:val="2B2E75F5"/>
    <w:rsid w:val="2B636650"/>
    <w:rsid w:val="2BEE4489"/>
    <w:rsid w:val="2C0D4B93"/>
    <w:rsid w:val="2C502974"/>
    <w:rsid w:val="2C806BB3"/>
    <w:rsid w:val="2CA27215"/>
    <w:rsid w:val="2EC26029"/>
    <w:rsid w:val="2EEF3B14"/>
    <w:rsid w:val="2F0976E6"/>
    <w:rsid w:val="30EC7BF7"/>
    <w:rsid w:val="317A4CB1"/>
    <w:rsid w:val="31E40DCB"/>
    <w:rsid w:val="31FE12E3"/>
    <w:rsid w:val="325419C4"/>
    <w:rsid w:val="32F15986"/>
    <w:rsid w:val="33920757"/>
    <w:rsid w:val="344A6225"/>
    <w:rsid w:val="34B065FD"/>
    <w:rsid w:val="377C29AC"/>
    <w:rsid w:val="37EB4FCE"/>
    <w:rsid w:val="39407945"/>
    <w:rsid w:val="39580FD1"/>
    <w:rsid w:val="3A985428"/>
    <w:rsid w:val="3B1F0277"/>
    <w:rsid w:val="3B215BC9"/>
    <w:rsid w:val="3B484628"/>
    <w:rsid w:val="3C20357F"/>
    <w:rsid w:val="3C706413"/>
    <w:rsid w:val="3DC56D68"/>
    <w:rsid w:val="3E0F4F15"/>
    <w:rsid w:val="3E256C09"/>
    <w:rsid w:val="3EE51EC2"/>
    <w:rsid w:val="3F8568E8"/>
    <w:rsid w:val="414B4FCD"/>
    <w:rsid w:val="42BE25E7"/>
    <w:rsid w:val="439B5C85"/>
    <w:rsid w:val="44120ED7"/>
    <w:rsid w:val="447A7EE6"/>
    <w:rsid w:val="450E01BA"/>
    <w:rsid w:val="45D467B7"/>
    <w:rsid w:val="47255842"/>
    <w:rsid w:val="476F6B22"/>
    <w:rsid w:val="47E80DFF"/>
    <w:rsid w:val="49D64C21"/>
    <w:rsid w:val="4A5B0F37"/>
    <w:rsid w:val="4BAE644C"/>
    <w:rsid w:val="4BC1446D"/>
    <w:rsid w:val="4C9E0630"/>
    <w:rsid w:val="4CE31486"/>
    <w:rsid w:val="4CE41AF3"/>
    <w:rsid w:val="4E141FD2"/>
    <w:rsid w:val="51427A2B"/>
    <w:rsid w:val="52095DB2"/>
    <w:rsid w:val="52836F66"/>
    <w:rsid w:val="54871EDE"/>
    <w:rsid w:val="548E0CB7"/>
    <w:rsid w:val="553039FC"/>
    <w:rsid w:val="56632FC8"/>
    <w:rsid w:val="57F32E60"/>
    <w:rsid w:val="57FC091A"/>
    <w:rsid w:val="583E3827"/>
    <w:rsid w:val="58B97EFB"/>
    <w:rsid w:val="593442BD"/>
    <w:rsid w:val="59EF5B50"/>
    <w:rsid w:val="5ACD0B20"/>
    <w:rsid w:val="5B8F3FA5"/>
    <w:rsid w:val="5C2F0838"/>
    <w:rsid w:val="5CBC7E5B"/>
    <w:rsid w:val="5D620340"/>
    <w:rsid w:val="5DF64826"/>
    <w:rsid w:val="5E4A2C9B"/>
    <w:rsid w:val="5EA60CA4"/>
    <w:rsid w:val="5F0309BA"/>
    <w:rsid w:val="5F375C1C"/>
    <w:rsid w:val="5F582C2A"/>
    <w:rsid w:val="5FC609D0"/>
    <w:rsid w:val="5FC9601D"/>
    <w:rsid w:val="613A27EF"/>
    <w:rsid w:val="618F6244"/>
    <w:rsid w:val="62053E68"/>
    <w:rsid w:val="62E75A60"/>
    <w:rsid w:val="62E94159"/>
    <w:rsid w:val="630130CF"/>
    <w:rsid w:val="635D04FE"/>
    <w:rsid w:val="63650663"/>
    <w:rsid w:val="661C39CB"/>
    <w:rsid w:val="663774FC"/>
    <w:rsid w:val="66415C91"/>
    <w:rsid w:val="664945F5"/>
    <w:rsid w:val="665B0279"/>
    <w:rsid w:val="66E20890"/>
    <w:rsid w:val="674C1E25"/>
    <w:rsid w:val="69212E07"/>
    <w:rsid w:val="69D028E6"/>
    <w:rsid w:val="69F91246"/>
    <w:rsid w:val="69FE5760"/>
    <w:rsid w:val="6A6B26F1"/>
    <w:rsid w:val="6AEC04BC"/>
    <w:rsid w:val="6C3A076B"/>
    <w:rsid w:val="6C5A2D27"/>
    <w:rsid w:val="6C8975D9"/>
    <w:rsid w:val="6D775483"/>
    <w:rsid w:val="6DF6287E"/>
    <w:rsid w:val="6E28656E"/>
    <w:rsid w:val="6E8E061E"/>
    <w:rsid w:val="6FB617BC"/>
    <w:rsid w:val="7052102F"/>
    <w:rsid w:val="70E71D12"/>
    <w:rsid w:val="71346894"/>
    <w:rsid w:val="72DA17C3"/>
    <w:rsid w:val="73851740"/>
    <w:rsid w:val="74374B11"/>
    <w:rsid w:val="75F0060E"/>
    <w:rsid w:val="766A341C"/>
    <w:rsid w:val="76DC2789"/>
    <w:rsid w:val="785273BE"/>
    <w:rsid w:val="78764D50"/>
    <w:rsid w:val="78FE623B"/>
    <w:rsid w:val="790D577F"/>
    <w:rsid w:val="7C9570F1"/>
    <w:rsid w:val="7D4D2ABC"/>
    <w:rsid w:val="7D4F49D1"/>
    <w:rsid w:val="7F2A4E2A"/>
    <w:rsid w:val="7F432D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48" w:lineRule="auto"/>
      <w:ind w:firstLine="560" w:firstLineChars="200"/>
      <w:jc w:val="both"/>
    </w:pPr>
    <w:rPr>
      <w:rFonts w:ascii="仿宋_GB2312" w:hAnsi="Times New Roman" w:eastAsia="仿宋_GB2312" w:cs="Times New Roman"/>
      <w:kern w:val="2"/>
      <w:sz w:val="28"/>
      <w:szCs w:val="28"/>
      <w:lang w:val="en-US" w:eastAsia="zh-CN" w:bidi="ar-SA"/>
    </w:rPr>
  </w:style>
  <w:style w:type="paragraph" w:styleId="3">
    <w:name w:val="heading 1"/>
    <w:basedOn w:val="1"/>
    <w:next w:val="1"/>
    <w:qFormat/>
    <w:uiPriority w:val="0"/>
    <w:pPr>
      <w:keepNext/>
      <w:keepLines/>
      <w:spacing w:before="340" w:after="330" w:line="576" w:lineRule="auto"/>
      <w:outlineLvl w:val="0"/>
    </w:pPr>
    <w:rPr>
      <w:rFonts w:ascii="Calibri" w:hAnsi="Calibri" w:eastAsia="黑体"/>
      <w:b/>
      <w:kern w:val="44"/>
      <w:sz w:val="30"/>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pacing w:line="360" w:lineRule="auto"/>
      <w:ind w:left="600"/>
    </w:pPr>
  </w:style>
  <w:style w:type="paragraph" w:styleId="5">
    <w:name w:val="annotation text"/>
    <w:basedOn w:val="1"/>
    <w:link w:val="28"/>
    <w:qFormat/>
    <w:uiPriority w:val="0"/>
    <w:pPr>
      <w:jc w:val="left"/>
    </w:pPr>
  </w:style>
  <w:style w:type="paragraph" w:styleId="6">
    <w:name w:val="Body Text"/>
    <w:basedOn w:val="1"/>
    <w:link w:val="27"/>
    <w:qFormat/>
    <w:uiPriority w:val="0"/>
    <w:pPr>
      <w:spacing w:after="120"/>
    </w:pPr>
    <w:rPr>
      <w:rFonts w:ascii="Calibri" w:eastAsia="宋体"/>
      <w:sz w:val="21"/>
      <w:szCs w:val="22"/>
    </w:rPr>
  </w:style>
  <w:style w:type="paragraph" w:styleId="7">
    <w:name w:val="Plain Text"/>
    <w:basedOn w:val="1"/>
    <w:qFormat/>
    <w:uiPriority w:val="0"/>
    <w:pPr>
      <w:widowControl w:val="0"/>
      <w:spacing w:line="240" w:lineRule="auto"/>
      <w:ind w:firstLine="0" w:firstLineChars="0"/>
    </w:pPr>
    <w:rPr>
      <w:rFonts w:ascii="宋体" w:hAnsi="Courier New" w:eastAsia="宋体"/>
      <w:sz w:val="21"/>
      <w:szCs w:val="20"/>
    </w:rPr>
  </w:style>
  <w:style w:type="paragraph" w:styleId="8">
    <w:name w:val="Date"/>
    <w:basedOn w:val="1"/>
    <w:next w:val="1"/>
    <w:link w:val="21"/>
    <w:qFormat/>
    <w:uiPriority w:val="0"/>
    <w:pPr>
      <w:ind w:left="100" w:leftChars="2500"/>
    </w:pPr>
  </w:style>
  <w:style w:type="paragraph" w:styleId="9">
    <w:name w:val="Balloon Text"/>
    <w:basedOn w:val="1"/>
    <w:link w:val="26"/>
    <w:qFormat/>
    <w:uiPriority w:val="0"/>
    <w:rPr>
      <w:rFonts w:ascii="Calibri" w:eastAsia="宋体"/>
      <w:kern w:val="0"/>
      <w:sz w:val="18"/>
      <w:szCs w:val="18"/>
    </w:rPr>
  </w:style>
  <w:style w:type="paragraph" w:styleId="10">
    <w:name w:val="footer"/>
    <w:basedOn w:val="1"/>
    <w:link w:val="25"/>
    <w:qFormat/>
    <w:uiPriority w:val="99"/>
    <w:pPr>
      <w:tabs>
        <w:tab w:val="center" w:pos="4153"/>
        <w:tab w:val="right" w:pos="8306"/>
      </w:tabs>
      <w:snapToGrid w:val="0"/>
      <w:jc w:val="left"/>
    </w:pPr>
    <w:rPr>
      <w:rFonts w:ascii="Calibri" w:eastAsia="宋体"/>
      <w:kern w:val="0"/>
      <w:sz w:val="18"/>
      <w:szCs w:val="18"/>
    </w:rPr>
  </w:style>
  <w:style w:type="paragraph" w:styleId="11">
    <w:name w:val="header"/>
    <w:basedOn w:val="1"/>
    <w:link w:val="24"/>
    <w:qFormat/>
    <w:uiPriority w:val="0"/>
    <w:pPr>
      <w:pBdr>
        <w:bottom w:val="single" w:color="auto" w:sz="6" w:space="1"/>
      </w:pBdr>
      <w:tabs>
        <w:tab w:val="center" w:pos="4153"/>
        <w:tab w:val="right" w:pos="8306"/>
      </w:tabs>
      <w:snapToGrid w:val="0"/>
      <w:jc w:val="center"/>
    </w:pPr>
    <w:rPr>
      <w:rFonts w:ascii="Calibri" w:eastAsia="宋体"/>
      <w:kern w:val="0"/>
      <w:sz w:val="18"/>
      <w:szCs w:val="18"/>
    </w:rPr>
  </w:style>
  <w:style w:type="paragraph" w:styleId="12">
    <w:name w:val="toc 1"/>
    <w:basedOn w:val="1"/>
    <w:next w:val="1"/>
    <w:qFormat/>
    <w:uiPriority w:val="39"/>
    <w:pPr>
      <w:widowControl w:val="0"/>
      <w:tabs>
        <w:tab w:val="left" w:pos="150"/>
        <w:tab w:val="right" w:leader="dot" w:pos="9118"/>
      </w:tabs>
      <w:spacing w:line="240" w:lineRule="auto"/>
      <w:ind w:firstLine="0" w:firstLineChars="0"/>
    </w:pPr>
    <w:rPr>
      <w:rFonts w:ascii="Times New Roman" w:eastAsia="宋体"/>
      <w:sz w:val="21"/>
      <w:szCs w:val="24"/>
    </w:rPr>
  </w:style>
  <w:style w:type="paragraph" w:styleId="13">
    <w:name w:val="annotation subject"/>
    <w:basedOn w:val="5"/>
    <w:next w:val="5"/>
    <w:link w:val="23"/>
    <w:qFormat/>
    <w:uiPriority w:val="0"/>
    <w:rPr>
      <w:b/>
      <w:bCs/>
    </w:rPr>
  </w:style>
  <w:style w:type="paragraph" w:styleId="14">
    <w:name w:val="Body Text First Indent"/>
    <w:basedOn w:val="6"/>
    <w:link w:val="22"/>
    <w:qFormat/>
    <w:uiPriority w:val="0"/>
    <w:pPr>
      <w:spacing w:before="60"/>
      <w:ind w:firstLine="482"/>
    </w:pPr>
    <w:rPr>
      <w:rFonts w:ascii="宋体" w:hAnsi="Arial"/>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page number"/>
    <w:basedOn w:val="17"/>
    <w:qFormat/>
    <w:uiPriority w:val="0"/>
  </w:style>
  <w:style w:type="character" w:styleId="19">
    <w:name w:val="Hyperlink"/>
    <w:qFormat/>
    <w:uiPriority w:val="99"/>
    <w:rPr>
      <w:color w:val="0000FF"/>
      <w:u w:val="single"/>
    </w:rPr>
  </w:style>
  <w:style w:type="character" w:styleId="20">
    <w:name w:val="annotation reference"/>
    <w:qFormat/>
    <w:uiPriority w:val="0"/>
    <w:rPr>
      <w:sz w:val="21"/>
      <w:szCs w:val="21"/>
    </w:rPr>
  </w:style>
  <w:style w:type="character" w:customStyle="1" w:styleId="21">
    <w:name w:val="日期 Char"/>
    <w:basedOn w:val="17"/>
    <w:link w:val="8"/>
    <w:qFormat/>
    <w:uiPriority w:val="0"/>
  </w:style>
  <w:style w:type="character" w:customStyle="1" w:styleId="22">
    <w:name w:val="正文首行缩进 Char"/>
    <w:link w:val="14"/>
    <w:qFormat/>
    <w:uiPriority w:val="0"/>
    <w:rPr>
      <w:rFonts w:ascii="宋体" w:hAnsi="Arial"/>
      <w:kern w:val="2"/>
      <w:sz w:val="24"/>
      <w:szCs w:val="22"/>
    </w:rPr>
  </w:style>
  <w:style w:type="character" w:customStyle="1" w:styleId="23">
    <w:name w:val="批注主题 Char"/>
    <w:link w:val="13"/>
    <w:qFormat/>
    <w:uiPriority w:val="0"/>
    <w:rPr>
      <w:rFonts w:ascii="仿宋_GB2312" w:eastAsia="仿宋_GB2312"/>
      <w:b/>
      <w:bCs/>
      <w:kern w:val="2"/>
      <w:sz w:val="28"/>
      <w:szCs w:val="28"/>
    </w:rPr>
  </w:style>
  <w:style w:type="character" w:customStyle="1" w:styleId="24">
    <w:name w:val="页眉 Char"/>
    <w:link w:val="11"/>
    <w:qFormat/>
    <w:uiPriority w:val="0"/>
    <w:rPr>
      <w:sz w:val="18"/>
      <w:szCs w:val="18"/>
    </w:rPr>
  </w:style>
  <w:style w:type="character" w:customStyle="1" w:styleId="25">
    <w:name w:val="页脚 Char"/>
    <w:link w:val="10"/>
    <w:qFormat/>
    <w:uiPriority w:val="99"/>
    <w:rPr>
      <w:sz w:val="18"/>
      <w:szCs w:val="18"/>
    </w:rPr>
  </w:style>
  <w:style w:type="character" w:customStyle="1" w:styleId="26">
    <w:name w:val="批注框文本 Char"/>
    <w:link w:val="9"/>
    <w:qFormat/>
    <w:uiPriority w:val="0"/>
    <w:rPr>
      <w:sz w:val="18"/>
      <w:szCs w:val="18"/>
    </w:rPr>
  </w:style>
  <w:style w:type="character" w:customStyle="1" w:styleId="27">
    <w:name w:val="正文文本 Char"/>
    <w:link w:val="6"/>
    <w:qFormat/>
    <w:uiPriority w:val="0"/>
    <w:rPr>
      <w:kern w:val="2"/>
      <w:sz w:val="21"/>
      <w:szCs w:val="22"/>
    </w:rPr>
  </w:style>
  <w:style w:type="character" w:customStyle="1" w:styleId="28">
    <w:name w:val="批注文字 Char"/>
    <w:link w:val="5"/>
    <w:qFormat/>
    <w:uiPriority w:val="0"/>
    <w:rPr>
      <w:rFonts w:ascii="仿宋_GB2312" w:eastAsia="仿宋_GB2312"/>
      <w:kern w:val="2"/>
      <w:sz w:val="28"/>
      <w:szCs w:val="28"/>
    </w:rPr>
  </w:style>
  <w:style w:type="paragraph" w:customStyle="1" w:styleId="29">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30">
    <w:name w:val="Default"/>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31">
    <w:name w:val="Char"/>
    <w:basedOn w:val="1"/>
    <w:qFormat/>
    <w:uiPriority w:val="0"/>
    <w:rPr>
      <w:rFonts w:ascii="Times New Roman"/>
      <w:szCs w:val="24"/>
    </w:rPr>
  </w:style>
  <w:style w:type="paragraph" w:customStyle="1" w:styleId="32">
    <w:name w:val="Char Char6 Char Char Char Char Char Char"/>
    <w:basedOn w:val="1"/>
    <w:qFormat/>
    <w:uiPriority w:val="0"/>
    <w:pPr>
      <w:adjustRightInd w:val="0"/>
      <w:spacing w:line="360" w:lineRule="auto"/>
    </w:pPr>
  </w:style>
  <w:style w:type="paragraph" w:styleId="33">
    <w:name w:val="List Paragraph"/>
    <w:basedOn w:val="1"/>
    <w:qFormat/>
    <w:uiPriority w:val="0"/>
    <w:pPr>
      <w:ind w:firstLine="420"/>
    </w:pPr>
  </w:style>
  <w:style w:type="paragraph" w:customStyle="1" w:styleId="34">
    <w:name w:val="_Style 16"/>
    <w:basedOn w:val="1"/>
    <w:qFormat/>
    <w:uiPriority w:val="0"/>
    <w:pPr>
      <w:adjustRightInd w:val="0"/>
      <w:spacing w:line="360" w:lineRule="auto"/>
    </w:pPr>
  </w:style>
  <w:style w:type="paragraph" w:styleId="35">
    <w:name w:val="No Spacing"/>
    <w:qFormat/>
    <w:uiPriority w:val="0"/>
    <w:pPr>
      <w:jc w:val="both"/>
    </w:pPr>
    <w:rPr>
      <w:rFonts w:ascii="仿宋_GB2312" w:hAnsi="Times New Roman" w:eastAsia="仿宋_GB2312" w:cs="Times New Roman"/>
      <w:kern w:val="2"/>
      <w:sz w:val="28"/>
      <w:szCs w:val="28"/>
      <w:lang w:val="en-US" w:eastAsia="zh-CN" w:bidi="ar-SA"/>
    </w:rPr>
  </w:style>
  <w:style w:type="paragraph" w:customStyle="1" w:styleId="36">
    <w:name w:val="p0"/>
    <w:basedOn w:val="1"/>
    <w:qFormat/>
    <w:uiPriority w:val="0"/>
    <w:rPr>
      <w:rFonts w:ascii="Times New Roman" w:eastAsia="宋体"/>
      <w:kern w:val="0"/>
      <w:szCs w:val="21"/>
    </w:rPr>
  </w:style>
  <w:style w:type="paragraph" w:customStyle="1" w:styleId="37">
    <w:name w:val="Char1"/>
    <w:basedOn w:val="1"/>
    <w:qFormat/>
    <w:uiPriority w:val="0"/>
    <w:rPr>
      <w:rFonts w:ascii="Times New Roman"/>
    </w:rPr>
  </w:style>
  <w:style w:type="paragraph" w:customStyle="1" w:styleId="38">
    <w:name w:val="表格标题"/>
    <w:basedOn w:val="1"/>
    <w:qFormat/>
    <w:uiPriority w:val="0"/>
    <w:pPr>
      <w:widowControl w:val="0"/>
      <w:spacing w:line="240" w:lineRule="auto"/>
      <w:ind w:firstLine="0" w:firstLineChars="0"/>
      <w:jc w:val="center"/>
    </w:pPr>
    <w:rPr>
      <w:rFonts w:ascii="Times New Roman" w:cs="宋体"/>
      <w:sz w:val="24"/>
      <w:szCs w:val="20"/>
    </w:rPr>
  </w:style>
  <w:style w:type="paragraph" w:customStyle="1" w:styleId="39">
    <w:name w:val="Char2"/>
    <w:basedOn w:val="1"/>
    <w:qFormat/>
    <w:uiPriority w:val="0"/>
    <w:rPr>
      <w:rFonts w:ascii="Times New Roman"/>
      <w:szCs w:val="24"/>
    </w:rPr>
  </w:style>
  <w:style w:type="paragraph" w:customStyle="1" w:styleId="40">
    <w:name w:val="二级条标题"/>
    <w:basedOn w:val="41"/>
    <w:next w:val="29"/>
    <w:qFormat/>
    <w:uiPriority w:val="0"/>
    <w:pPr>
      <w:numPr>
        <w:ilvl w:val="2"/>
      </w:numPr>
      <w:spacing w:before="50" w:after="50"/>
      <w:outlineLvl w:val="3"/>
    </w:pPr>
  </w:style>
  <w:style w:type="paragraph" w:customStyle="1" w:styleId="41">
    <w:name w:val="一级条标题"/>
    <w:next w:val="29"/>
    <w:qFormat/>
    <w:uiPriority w:val="0"/>
    <w:pPr>
      <w:numPr>
        <w:ilvl w:val="1"/>
        <w:numId w:val="1"/>
      </w:numPr>
      <w:spacing w:beforeLines="50" w:afterLines="50"/>
      <w:outlineLvl w:val="2"/>
    </w:pPr>
    <w:rPr>
      <w:rFonts w:ascii="黑体" w:hAnsi="Times New Roman" w:eastAsia="黑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56E8058-4469-41A8-B7F2-66C3678602A5}">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Pages>
  <Words>389</Words>
  <Characters>2222</Characters>
  <Lines>18</Lines>
  <Paragraphs>5</Paragraphs>
  <TotalTime>0</TotalTime>
  <ScaleCrop>false</ScaleCrop>
  <LinksUpToDate>false</LinksUpToDate>
  <CharactersWithSpaces>2606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2021-10-21T01:07:00Z</dcterms:created>
  <dc:creator>王海军</dc:creator>
  <cp:lastModifiedBy>3E9CFF9A527441F2B60EAD16F66D3F23</cp:lastModifiedBy>
  <cp:lastPrinted>2009-11-05T06:26:00Z</cp:lastPrinted>
  <dcterms:modified xsi:type="dcterms:W3CDTF">2024-07-17T08:08:39Z</dcterms:modified>
  <dc:title>桂林站直流融冰兼SVC装置项目实施方案</dc:title>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4F91105BB59741289DA43E2AECA2116F</vt:lpwstr>
  </property>
</Properties>
</file>