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outlineLvl w:val="0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  <w:lang w:val="en-US" w:eastAsia="zh-CN"/>
        </w:rPr>
        <w:t>南方电网储能股份</w:t>
      </w:r>
      <w:r>
        <w:rPr>
          <w:rFonts w:hint="eastAsia" w:ascii="黑体" w:hAnsi="黑体" w:eastAsia="黑体" w:cs="黑体"/>
          <w:lang w:eastAsia="zh-CN"/>
        </w:rPr>
        <w:t>有限公司</w:t>
      </w:r>
      <w:r>
        <w:rPr>
          <w:rFonts w:hint="eastAsia" w:ascii="黑体" w:hAnsi="黑体" w:eastAsia="黑体" w:cs="黑体"/>
          <w:lang w:val="en-US" w:eastAsia="zh-CN"/>
        </w:rPr>
        <w:t>广州分公司</w:t>
      </w:r>
      <w:r>
        <w:rPr>
          <w:rFonts w:hint="eastAsia" w:ascii="黑体" w:hAnsi="黑体" w:eastAsia="黑体" w:cs="黑体"/>
          <w:lang w:eastAsia="zh-CN"/>
        </w:rPr>
        <w:t>物流服务中心</w:t>
      </w:r>
      <w:r>
        <w:rPr>
          <w:rFonts w:hint="eastAsia" w:ascii="黑体" w:hAnsi="黑体" w:eastAsia="黑体" w:cs="黑体"/>
        </w:rPr>
        <w:t>零星采购询</w:t>
      </w:r>
      <w:r>
        <w:rPr>
          <w:rFonts w:hint="eastAsia" w:ascii="黑体" w:hAnsi="黑体" w:eastAsia="黑体" w:cs="黑体"/>
          <w:lang w:val="en-US" w:eastAsia="zh-CN"/>
        </w:rPr>
        <w:t>价/报</w:t>
      </w:r>
      <w:r>
        <w:rPr>
          <w:rFonts w:hint="eastAsia" w:ascii="黑体" w:hAnsi="黑体" w:eastAsia="黑体" w:cs="黑体"/>
        </w:rPr>
        <w:t>价函</w:t>
      </w:r>
    </w:p>
    <w:p>
      <w:pPr>
        <w:jc w:val="center"/>
        <w:outlineLvl w:val="0"/>
        <w:rPr>
          <w:rFonts w:hint="eastAsia" w:ascii="黑体" w:hAnsi="黑体" w:eastAsia="黑体" w:cs="黑体"/>
        </w:rPr>
      </w:pPr>
    </w:p>
    <w:p>
      <w:pPr>
        <w:ind w:firstLine="211" w:firstLineChars="100"/>
        <w:rPr>
          <w:rFonts w:hint="default" w:ascii="宋体" w:hAnsi="宋体" w:eastAsia="宋体"/>
          <w:b/>
          <w:szCs w:val="21"/>
          <w:lang w:val="en-US" w:eastAsia="zh-CN"/>
        </w:rPr>
      </w:pPr>
      <w:r>
        <w:rPr>
          <w:rFonts w:hint="eastAsia" w:ascii="宋体" w:hAnsi="宋体"/>
          <w:b/>
          <w:szCs w:val="21"/>
        </w:rPr>
        <w:t>项目名称：</w:t>
      </w:r>
      <w:r>
        <w:rPr>
          <w:rFonts w:hint="eastAsia" w:ascii="宋体" w:hAnsi="宋体"/>
          <w:b/>
          <w:szCs w:val="21"/>
          <w:lang w:val="en-US" w:eastAsia="zh-CN"/>
        </w:rPr>
        <w:t>惠蓄</w:t>
      </w:r>
      <w:r>
        <w:rPr>
          <w:rFonts w:hint="eastAsia" w:ascii="宋体" w:hAnsi="宋体"/>
          <w:b/>
          <w:szCs w:val="21"/>
        </w:rPr>
        <w:t xml:space="preserve">  恵蓄周转仓地磅更换接线板                                  </w:t>
      </w:r>
      <w:r>
        <w:rPr>
          <w:rFonts w:hint="eastAsia" w:ascii="宋体" w:hAnsi="宋体"/>
          <w:b/>
          <w:szCs w:val="21"/>
          <w:lang w:val="en-US" w:eastAsia="zh-CN"/>
        </w:rPr>
        <w:t xml:space="preserve">                           </w:t>
      </w:r>
      <w:r>
        <w:rPr>
          <w:rFonts w:hint="eastAsia" w:ascii="宋体" w:hAnsi="宋体"/>
          <w:b/>
          <w:szCs w:val="21"/>
        </w:rPr>
        <w:t>最迟报价时间：</w:t>
      </w:r>
      <w:r>
        <w:rPr>
          <w:rFonts w:hint="eastAsia" w:ascii="宋体" w:hAnsi="宋体"/>
          <w:b/>
          <w:szCs w:val="21"/>
          <w:lang w:val="en-US" w:eastAsia="zh-CN"/>
        </w:rPr>
        <w:t>公告发出后1天内</w:t>
      </w:r>
    </w:p>
    <w:tbl>
      <w:tblPr>
        <w:tblStyle w:val="3"/>
        <w:tblW w:w="13860" w:type="dxa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92"/>
        <w:gridCol w:w="1005"/>
        <w:gridCol w:w="2340"/>
        <w:gridCol w:w="952"/>
        <w:gridCol w:w="990"/>
        <w:gridCol w:w="750"/>
        <w:gridCol w:w="1140"/>
        <w:gridCol w:w="1125"/>
        <w:gridCol w:w="630"/>
        <w:gridCol w:w="780"/>
        <w:gridCol w:w="1155"/>
        <w:gridCol w:w="810"/>
        <w:gridCol w:w="945"/>
        <w:gridCol w:w="746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4" w:hRule="atLeast"/>
        </w:trPr>
        <w:tc>
          <w:tcPr>
            <w:tcW w:w="1497" w:type="dxa"/>
            <w:gridSpan w:val="2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top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采购单位</w:t>
            </w:r>
          </w:p>
        </w:tc>
        <w:tc>
          <w:tcPr>
            <w:tcW w:w="6172" w:type="dxa"/>
            <w:gridSpan w:val="5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top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南方电网储能股份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eastAsia="zh-CN" w:bidi="ar"/>
              </w:rPr>
              <w:t>有限公司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广州分公司物流服务中心</w:t>
            </w:r>
          </w:p>
        </w:tc>
        <w:tc>
          <w:tcPr>
            <w:tcW w:w="2535" w:type="dxa"/>
            <w:gridSpan w:val="3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top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询价时间</w:t>
            </w:r>
          </w:p>
        </w:tc>
        <w:tc>
          <w:tcPr>
            <w:tcW w:w="3656" w:type="dxa"/>
            <w:gridSpan w:val="4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top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20</w:t>
            </w: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24</w:t>
            </w:r>
            <w:r>
              <w:rPr>
                <w:rFonts w:hint="eastAsia" w:ascii="宋体" w:hAnsi="宋体"/>
                <w:sz w:val="18"/>
                <w:szCs w:val="18"/>
              </w:rPr>
              <w:t>年</w:t>
            </w: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8</w:t>
            </w:r>
            <w:r>
              <w:rPr>
                <w:rFonts w:hint="eastAsia" w:ascii="宋体" w:hAnsi="宋体"/>
                <w:sz w:val="18"/>
                <w:szCs w:val="18"/>
              </w:rPr>
              <w:t>月</w:t>
            </w: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19</w:t>
            </w:r>
            <w:r>
              <w:rPr>
                <w:rFonts w:hint="eastAsia" w:ascii="宋体" w:hAnsi="宋体"/>
                <w:sz w:val="18"/>
                <w:szCs w:val="18"/>
              </w:rPr>
              <w:t>日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4" w:hRule="atLeast"/>
        </w:trPr>
        <w:tc>
          <w:tcPr>
            <w:tcW w:w="1497" w:type="dxa"/>
            <w:gridSpan w:val="2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top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报价单位</w:t>
            </w:r>
          </w:p>
        </w:tc>
        <w:tc>
          <w:tcPr>
            <w:tcW w:w="3292" w:type="dxa"/>
            <w:gridSpan w:val="2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top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top"/>
          </w:tcPr>
          <w:p>
            <w:pPr>
              <w:widowControl/>
              <w:jc w:val="center"/>
              <w:textAlignment w:val="top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报价时间</w:t>
            </w:r>
          </w:p>
        </w:tc>
        <w:tc>
          <w:tcPr>
            <w:tcW w:w="1890" w:type="dxa"/>
            <w:gridSpan w:val="2"/>
            <w:tcBorders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top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top"/>
          </w:tcPr>
          <w:p>
            <w:pPr>
              <w:widowControl/>
              <w:jc w:val="center"/>
              <w:textAlignment w:val="top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报价联系人</w:t>
            </w:r>
          </w:p>
        </w:tc>
        <w:tc>
          <w:tcPr>
            <w:tcW w:w="1410" w:type="dxa"/>
            <w:gridSpan w:val="2"/>
            <w:tcBorders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top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top"/>
          </w:tcPr>
          <w:p>
            <w:pPr>
              <w:widowControl/>
              <w:jc w:val="center"/>
              <w:textAlignment w:val="top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联系方式</w:t>
            </w:r>
          </w:p>
        </w:tc>
        <w:tc>
          <w:tcPr>
            <w:tcW w:w="2501" w:type="dxa"/>
            <w:gridSpan w:val="3"/>
            <w:tcBorders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top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3" w:hRule="atLeast"/>
        </w:trPr>
        <w:tc>
          <w:tcPr>
            <w:tcW w:w="492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  <w:t>序号</w:t>
            </w:r>
          </w:p>
        </w:tc>
        <w:tc>
          <w:tcPr>
            <w:tcW w:w="100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  <w:t>名称</w:t>
            </w:r>
          </w:p>
        </w:tc>
        <w:tc>
          <w:tcPr>
            <w:tcW w:w="234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  <w:t>规格型号/项目特征</w:t>
            </w:r>
          </w:p>
        </w:tc>
        <w:tc>
          <w:tcPr>
            <w:tcW w:w="952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  <w:t>供货期/工期要求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  <w:t>送货地点/施工地点</w:t>
            </w:r>
          </w:p>
        </w:tc>
        <w:tc>
          <w:tcPr>
            <w:tcW w:w="75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  <w:t>单价（元）</w:t>
            </w:r>
          </w:p>
        </w:tc>
        <w:tc>
          <w:tcPr>
            <w:tcW w:w="114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  <w:t>单位税额（元）</w:t>
            </w:r>
          </w:p>
        </w:tc>
        <w:tc>
          <w:tcPr>
            <w:tcW w:w="112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  <w:t>含税单价（元）</w:t>
            </w:r>
          </w:p>
        </w:tc>
        <w:tc>
          <w:tcPr>
            <w:tcW w:w="630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  <w:t>数量</w:t>
            </w:r>
          </w:p>
        </w:tc>
        <w:tc>
          <w:tcPr>
            <w:tcW w:w="780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  <w:t>单位</w:t>
            </w:r>
          </w:p>
        </w:tc>
        <w:tc>
          <w:tcPr>
            <w:tcW w:w="1155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  <w:t>金额（元）</w:t>
            </w:r>
          </w:p>
        </w:tc>
        <w:tc>
          <w:tcPr>
            <w:tcW w:w="810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  <w:t>税额（元）</w:t>
            </w:r>
          </w:p>
        </w:tc>
        <w:tc>
          <w:tcPr>
            <w:tcW w:w="945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  <w:t>价税合计（元）</w:t>
            </w:r>
          </w:p>
        </w:tc>
        <w:tc>
          <w:tcPr>
            <w:tcW w:w="746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  <w:t>税率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4" w:hRule="atLeast"/>
        </w:trPr>
        <w:tc>
          <w:tcPr>
            <w:tcW w:w="492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100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  <w:lang w:val="en-US" w:eastAsia="zh-CN"/>
              </w:rPr>
              <w:t>更换定制接线板含服务费</w:t>
            </w:r>
          </w:p>
        </w:tc>
        <w:tc>
          <w:tcPr>
            <w:tcW w:w="234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default" w:ascii="Calibri" w:hAnsi="Calibri" w:eastAsia="宋体" w:cs="Calibri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地磅量程30T，须与现有地磅完全匹配，地磅型号：SCS-100 Max：100t/d：50Kg。</w:t>
            </w:r>
          </w:p>
        </w:tc>
        <w:tc>
          <w:tcPr>
            <w:tcW w:w="952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top"/>
          </w:tcPr>
          <w:p>
            <w:pPr>
              <w:jc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发布成交通知后15天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cs="宋体"/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惠州博罗县罗阳镇惠州蓄能水电厂</w:t>
            </w:r>
          </w:p>
        </w:tc>
        <w:tc>
          <w:tcPr>
            <w:tcW w:w="75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63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cs="宋体"/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78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个</w:t>
            </w:r>
          </w:p>
        </w:tc>
        <w:tc>
          <w:tcPr>
            <w:tcW w:w="115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81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4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4" w:hRule="atLeast"/>
        </w:trPr>
        <w:tc>
          <w:tcPr>
            <w:tcW w:w="492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</w:p>
        </w:tc>
        <w:tc>
          <w:tcPr>
            <w:tcW w:w="100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234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/>
                <w:sz w:val="18"/>
                <w:szCs w:val="18"/>
                <w:lang w:val="en-US" w:eastAsia="zh-CN"/>
              </w:rPr>
            </w:pPr>
          </w:p>
        </w:tc>
        <w:tc>
          <w:tcPr>
            <w:tcW w:w="952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top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  <w:lang w:val="en-US" w:eastAsia="zh-CN"/>
              </w:rPr>
            </w:pP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  <w:lang w:val="en-US" w:eastAsia="zh-CN"/>
              </w:rPr>
            </w:pPr>
          </w:p>
        </w:tc>
        <w:tc>
          <w:tcPr>
            <w:tcW w:w="75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63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  <w:lang w:val="en-US" w:eastAsia="zh-CN"/>
              </w:rPr>
            </w:pPr>
          </w:p>
        </w:tc>
        <w:tc>
          <w:tcPr>
            <w:tcW w:w="78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  <w:lang w:val="en-US" w:eastAsia="zh-CN"/>
              </w:rPr>
            </w:pPr>
          </w:p>
        </w:tc>
        <w:tc>
          <w:tcPr>
            <w:tcW w:w="115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81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4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0" w:hRule="atLeast"/>
        </w:trPr>
        <w:tc>
          <w:tcPr>
            <w:tcW w:w="13860" w:type="dxa"/>
            <w:gridSpan w:val="14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总金额：       元，总税额：     元，总价税合计：      元</w:t>
            </w:r>
          </w:p>
        </w:tc>
      </w:tr>
    </w:tbl>
    <w:p>
      <w:pPr>
        <w:rPr>
          <w:rFonts w:hint="eastAsia" w:ascii="宋体" w:hAnsi="宋体"/>
          <w:b/>
          <w:szCs w:val="21"/>
        </w:rPr>
      </w:pPr>
    </w:p>
    <w:p>
      <w:pPr>
        <w:ind w:left="567" w:leftChars="270" w:right="223" w:rightChars="106"/>
        <w:jc w:val="left"/>
        <w:rPr>
          <w:rFonts w:ascii="宋体" w:hAnsi="宋体"/>
          <w:sz w:val="18"/>
          <w:szCs w:val="18"/>
        </w:rPr>
      </w:pPr>
      <w:r>
        <w:rPr>
          <w:rFonts w:hint="eastAsia" w:ascii="宋体" w:hAnsi="宋体"/>
          <w:sz w:val="18"/>
          <w:szCs w:val="18"/>
        </w:rPr>
        <w:t>备注：1、最迟报价时间之后收到的报价，视为无效；</w:t>
      </w:r>
    </w:p>
    <w:p>
      <w:pPr>
        <w:ind w:left="567" w:leftChars="270" w:right="223" w:rightChars="106" w:firstLine="540" w:firstLineChars="300"/>
        <w:jc w:val="left"/>
        <w:rPr>
          <w:rFonts w:ascii="宋体" w:hAnsi="宋体"/>
          <w:sz w:val="18"/>
          <w:szCs w:val="18"/>
        </w:rPr>
      </w:pPr>
      <w:r>
        <w:rPr>
          <w:rFonts w:hint="eastAsia" w:ascii="宋体" w:hAnsi="宋体"/>
          <w:sz w:val="18"/>
          <w:szCs w:val="18"/>
        </w:rPr>
        <w:t>2、报价单位应盖章报价，并</w:t>
      </w:r>
      <w:r>
        <w:rPr>
          <w:rFonts w:hint="eastAsia" w:ascii="宋体" w:hAnsi="宋体"/>
          <w:sz w:val="18"/>
          <w:szCs w:val="18"/>
          <w:lang w:val="en-US" w:eastAsia="zh-CN"/>
        </w:rPr>
        <w:t>上传中国南方电网供应链统一服务平台，线下提供</w:t>
      </w:r>
      <w:r>
        <w:rPr>
          <w:rFonts w:hint="eastAsia" w:ascii="宋体" w:hAnsi="宋体"/>
          <w:sz w:val="18"/>
          <w:szCs w:val="18"/>
        </w:rPr>
        <w:t>视为无效。</w:t>
      </w:r>
    </w:p>
    <w:p>
      <w:pPr>
        <w:ind w:left="567" w:leftChars="270" w:right="223" w:rightChars="106"/>
        <w:jc w:val="left"/>
        <w:rPr>
          <w:rFonts w:ascii="宋体" w:hAnsi="宋体"/>
          <w:sz w:val="18"/>
          <w:szCs w:val="18"/>
        </w:rPr>
      </w:pPr>
      <w:r>
        <w:rPr>
          <w:rFonts w:hint="eastAsia" w:ascii="宋体" w:hAnsi="宋体"/>
          <w:sz w:val="18"/>
          <w:szCs w:val="18"/>
        </w:rPr>
        <w:t xml:space="preserve">      3、报价单位应直接在本询价函样式内报价；</w:t>
      </w:r>
    </w:p>
    <w:p>
      <w:pPr>
        <w:ind w:left="567" w:leftChars="270" w:right="223" w:rightChars="106"/>
        <w:jc w:val="left"/>
        <w:rPr>
          <w:rFonts w:ascii="宋体" w:hAnsi="宋体"/>
          <w:sz w:val="18"/>
          <w:szCs w:val="18"/>
        </w:rPr>
      </w:pPr>
      <w:r>
        <w:rPr>
          <w:rFonts w:hint="eastAsia" w:ascii="宋体" w:hAnsi="宋体"/>
          <w:sz w:val="18"/>
          <w:szCs w:val="18"/>
        </w:rPr>
        <w:t xml:space="preserve">      4、灰色底纹部分为报价单位填写部分。</w:t>
      </w:r>
    </w:p>
    <w:p>
      <w:pPr>
        <w:ind w:left="567" w:leftChars="270" w:right="223" w:rightChars="106"/>
        <w:jc w:val="left"/>
        <w:rPr>
          <w:rFonts w:ascii="宋体" w:hAnsi="宋体"/>
          <w:sz w:val="18"/>
          <w:szCs w:val="18"/>
        </w:rPr>
      </w:pPr>
      <w:r>
        <w:rPr>
          <w:rFonts w:hint="eastAsia" w:ascii="宋体" w:hAnsi="宋体"/>
          <w:sz w:val="18"/>
          <w:szCs w:val="18"/>
        </w:rPr>
        <w:t xml:space="preserve">      5、报价应</w:t>
      </w:r>
      <w:r>
        <w:rPr>
          <w:rFonts w:hint="eastAsia" w:ascii="宋体" w:hAnsi="宋体"/>
          <w:sz w:val="18"/>
          <w:szCs w:val="18"/>
          <w:lang w:val="en-US" w:eastAsia="zh-CN"/>
        </w:rPr>
        <w:t>为</w:t>
      </w:r>
      <w:r>
        <w:rPr>
          <w:rFonts w:hint="eastAsia" w:ascii="宋体" w:hAnsi="宋体"/>
          <w:sz w:val="18"/>
          <w:szCs w:val="18"/>
        </w:rPr>
        <w:t>含运输费、</w:t>
      </w:r>
      <w:r>
        <w:rPr>
          <w:rFonts w:hint="eastAsia" w:ascii="宋体" w:hAnsi="宋体"/>
          <w:sz w:val="18"/>
          <w:szCs w:val="18"/>
          <w:lang w:val="en-US" w:eastAsia="zh-CN"/>
        </w:rPr>
        <w:t>交通费、</w:t>
      </w:r>
      <w:r>
        <w:rPr>
          <w:rFonts w:hint="eastAsia" w:ascii="宋体" w:hAnsi="宋体"/>
          <w:sz w:val="18"/>
          <w:szCs w:val="18"/>
        </w:rPr>
        <w:t>保险费及其他杂费</w:t>
      </w:r>
      <w:r>
        <w:rPr>
          <w:rFonts w:hint="eastAsia" w:ascii="宋体" w:hAnsi="宋体"/>
          <w:sz w:val="18"/>
          <w:szCs w:val="18"/>
          <w:lang w:val="en-US" w:eastAsia="zh-CN"/>
        </w:rPr>
        <w:t>的所有费用</w:t>
      </w:r>
      <w:r>
        <w:rPr>
          <w:rFonts w:hint="eastAsia" w:ascii="宋体" w:hAnsi="宋体"/>
          <w:sz w:val="18"/>
          <w:szCs w:val="18"/>
        </w:rPr>
        <w:t>，不再单独列支。</w:t>
      </w:r>
    </w:p>
    <w:p>
      <w:pPr>
        <w:ind w:firstLine="1080" w:firstLineChars="600"/>
        <w:rPr>
          <w:rFonts w:hint="eastAsia" w:ascii="宋体" w:hAnsi="宋体"/>
          <w:sz w:val="18"/>
          <w:szCs w:val="18"/>
        </w:rPr>
      </w:pPr>
      <w:r>
        <w:rPr>
          <w:rFonts w:hint="eastAsia" w:ascii="宋体" w:hAnsi="宋体"/>
          <w:sz w:val="18"/>
          <w:szCs w:val="18"/>
        </w:rPr>
        <w:t>6、</w:t>
      </w:r>
      <w:r>
        <w:rPr>
          <w:rFonts w:hint="eastAsia" w:ascii="宋体" w:hAnsi="宋体"/>
          <w:sz w:val="18"/>
          <w:szCs w:val="18"/>
          <w:lang w:val="en-US" w:eastAsia="zh-CN"/>
        </w:rPr>
        <w:t>须按</w:t>
      </w:r>
      <w:r>
        <w:rPr>
          <w:rFonts w:hint="eastAsia" w:ascii="宋体" w:hAnsi="宋体"/>
          <w:sz w:val="18"/>
          <w:szCs w:val="18"/>
        </w:rPr>
        <w:t>增值税</w:t>
      </w:r>
      <w:r>
        <w:rPr>
          <w:rFonts w:hint="eastAsia" w:ascii="宋体" w:hAnsi="宋体"/>
          <w:sz w:val="18"/>
          <w:szCs w:val="18"/>
          <w:lang w:val="en-US" w:eastAsia="zh-CN"/>
        </w:rPr>
        <w:t>专用发票金额填报税率，完工后提供增值税专用发票</w:t>
      </w:r>
      <w:r>
        <w:rPr>
          <w:rFonts w:hint="eastAsia" w:ascii="宋体" w:hAnsi="宋体"/>
          <w:sz w:val="18"/>
          <w:szCs w:val="18"/>
        </w:rPr>
        <w:t>。</w:t>
      </w:r>
    </w:p>
    <w:p>
      <w:pPr>
        <w:ind w:firstLine="1080" w:firstLineChars="600"/>
        <w:rPr>
          <w:rFonts w:hint="eastAsia" w:ascii="宋体" w:hAnsi="宋体"/>
          <w:sz w:val="18"/>
          <w:szCs w:val="18"/>
        </w:rPr>
      </w:pPr>
    </w:p>
    <w:p>
      <w:pPr>
        <w:ind w:firstLine="1080" w:firstLineChars="600"/>
        <w:rPr>
          <w:rFonts w:hint="eastAsia" w:ascii="宋体" w:hAnsi="宋体"/>
          <w:sz w:val="18"/>
          <w:szCs w:val="18"/>
        </w:rPr>
      </w:pPr>
    </w:p>
    <w:p>
      <w:pPr>
        <w:ind w:firstLine="1080" w:firstLineChars="600"/>
        <w:rPr>
          <w:rFonts w:hint="eastAsia" w:ascii="宋体" w:hAnsi="宋体"/>
          <w:sz w:val="18"/>
          <w:szCs w:val="18"/>
        </w:rPr>
      </w:pPr>
    </w:p>
    <w:p>
      <w:pPr>
        <w:ind w:firstLine="1080" w:firstLineChars="600"/>
        <w:rPr>
          <w:rFonts w:hint="eastAsia" w:ascii="宋体" w:hAnsi="宋体"/>
          <w:sz w:val="18"/>
          <w:szCs w:val="18"/>
        </w:rPr>
      </w:pPr>
    </w:p>
    <w:p>
      <w:pPr>
        <w:ind w:firstLine="1080" w:firstLineChars="600"/>
        <w:rPr>
          <w:rFonts w:hint="eastAsia" w:ascii="宋体" w:hAnsi="宋体"/>
          <w:sz w:val="18"/>
          <w:szCs w:val="18"/>
        </w:rPr>
      </w:pPr>
    </w:p>
    <w:p>
      <w:pPr>
        <w:ind w:firstLine="1080" w:firstLineChars="600"/>
        <w:rPr>
          <w:rFonts w:hint="eastAsia" w:ascii="宋体" w:hAnsi="宋体"/>
          <w:sz w:val="18"/>
          <w:szCs w:val="18"/>
        </w:rPr>
      </w:pPr>
    </w:p>
    <w:p>
      <w:pPr>
        <w:ind w:firstLine="1080" w:firstLineChars="600"/>
        <w:rPr>
          <w:rFonts w:hint="eastAsia" w:ascii="宋体" w:hAnsi="宋体"/>
          <w:sz w:val="18"/>
          <w:szCs w:val="18"/>
        </w:rPr>
      </w:pPr>
    </w:p>
    <w:p>
      <w:pPr>
        <w:ind w:firstLine="1084" w:firstLineChars="600"/>
        <w:rPr>
          <w:rFonts w:hint="eastAsia" w:ascii="宋体" w:hAnsi="宋体"/>
          <w:b/>
          <w:bCs/>
          <w:sz w:val="18"/>
          <w:szCs w:val="18"/>
          <w:lang w:val="en-US" w:eastAsia="zh-CN"/>
        </w:rPr>
      </w:pPr>
      <w:r>
        <w:rPr>
          <w:rFonts w:hint="eastAsia" w:ascii="宋体" w:hAnsi="宋体"/>
          <w:b/>
          <w:bCs/>
          <w:sz w:val="18"/>
          <w:szCs w:val="18"/>
          <w:lang w:val="en-US" w:eastAsia="zh-CN"/>
        </w:rPr>
        <w:t>损坏的接线板见附图，本次整体更换（含接线盒）</w:t>
      </w:r>
      <w:bookmarkStart w:id="0" w:name="_GoBack"/>
      <w:bookmarkEnd w:id="0"/>
    </w:p>
    <w:p>
      <w:pPr>
        <w:ind w:firstLine="1084" w:firstLineChars="600"/>
        <w:rPr>
          <w:rFonts w:hint="default" w:ascii="宋体" w:hAnsi="宋体"/>
          <w:b/>
          <w:bCs/>
          <w:sz w:val="18"/>
          <w:szCs w:val="18"/>
          <w:lang w:val="en-US" w:eastAsia="zh-CN"/>
        </w:rPr>
      </w:pPr>
    </w:p>
    <w:p>
      <w:pPr>
        <w:ind w:firstLine="1080" w:firstLineChars="600"/>
        <w:rPr>
          <w:rFonts w:hint="eastAsia" w:ascii="宋体" w:hAnsi="宋体" w:eastAsia="宋体"/>
          <w:sz w:val="18"/>
          <w:szCs w:val="18"/>
          <w:lang w:val="en-US" w:eastAsia="zh-CN"/>
        </w:rPr>
      </w:pPr>
      <w:r>
        <w:rPr>
          <w:rFonts w:hint="eastAsia" w:ascii="宋体" w:hAnsi="宋体" w:eastAsia="宋体"/>
          <w:sz w:val="18"/>
          <w:szCs w:val="18"/>
          <w:lang w:val="en-US" w:eastAsia="zh-CN"/>
        </w:rPr>
        <w:drawing>
          <wp:inline distT="0" distB="0" distL="114300" distR="114300">
            <wp:extent cx="3066415" cy="4088130"/>
            <wp:effectExtent l="0" t="0" r="635" b="7620"/>
            <wp:docPr id="1" name="图片 1" descr="损坏的接线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损坏的接线板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66415" cy="4088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6838" w:h="11906" w:orient="landscape"/>
      <w:pgMar w:top="138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0555C0"/>
    <w:rsid w:val="08A1220C"/>
    <w:rsid w:val="0B883BE8"/>
    <w:rsid w:val="0BA2369B"/>
    <w:rsid w:val="0F0A1DDF"/>
    <w:rsid w:val="11E626C8"/>
    <w:rsid w:val="12A32B37"/>
    <w:rsid w:val="13135B0F"/>
    <w:rsid w:val="13517165"/>
    <w:rsid w:val="1E340552"/>
    <w:rsid w:val="2322526D"/>
    <w:rsid w:val="250555C0"/>
    <w:rsid w:val="27A9435A"/>
    <w:rsid w:val="2B3E4C84"/>
    <w:rsid w:val="2F9E23BE"/>
    <w:rsid w:val="2FAB32F9"/>
    <w:rsid w:val="39250A3E"/>
    <w:rsid w:val="3A2A3A95"/>
    <w:rsid w:val="3F656267"/>
    <w:rsid w:val="41880276"/>
    <w:rsid w:val="42B517D3"/>
    <w:rsid w:val="46C621F4"/>
    <w:rsid w:val="47904112"/>
    <w:rsid w:val="49BD7C8C"/>
    <w:rsid w:val="4CE074D9"/>
    <w:rsid w:val="54566229"/>
    <w:rsid w:val="668E2595"/>
    <w:rsid w:val="6E6605E7"/>
    <w:rsid w:val="7A2F7DB5"/>
    <w:rsid w:val="7FB15170"/>
    <w:rsid w:val="7FD83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unhideWhenUsed/>
    <w:qFormat/>
    <w:uiPriority w:val="0"/>
    <w:pPr>
      <w:outlineLvl w:val="3"/>
    </w:p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font41"/>
    <w:basedOn w:val="4"/>
    <w:qFormat/>
    <w:uiPriority w:val="0"/>
    <w:rPr>
      <w:rFonts w:hint="default" w:ascii="Times New Roman" w:hAnsi="Times New Roman" w:cs="Times New Roman"/>
      <w:color w:val="000000"/>
      <w:sz w:val="16"/>
      <w:szCs w:val="16"/>
      <w:u w:val="none"/>
    </w:rPr>
  </w:style>
  <w:style w:type="character" w:customStyle="1" w:styleId="6">
    <w:name w:val="font01"/>
    <w:basedOn w:val="4"/>
    <w:qFormat/>
    <w:uiPriority w:val="0"/>
    <w:rPr>
      <w:rFonts w:hint="eastAsia" w:ascii="宋体" w:hAnsi="宋体" w:eastAsia="宋体" w:cs="宋体"/>
      <w:color w:val="000000"/>
      <w:sz w:val="16"/>
      <w:szCs w:val="16"/>
      <w:u w:val="none"/>
    </w:rPr>
  </w:style>
  <w:style w:type="character" w:customStyle="1" w:styleId="7">
    <w:name w:val="font81"/>
    <w:basedOn w:val="4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8">
    <w:name w:val="font21"/>
    <w:basedOn w:val="4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9">
    <w:name w:val="font51"/>
    <w:basedOn w:val="4"/>
    <w:qFormat/>
    <w:uiPriority w:val="0"/>
    <w:rPr>
      <w:rFonts w:hint="eastAsia" w:ascii="宋体" w:hAnsi="宋体" w:eastAsia="宋体" w:cs="宋体"/>
      <w:color w:val="000000"/>
      <w:sz w:val="12"/>
      <w:szCs w:val="12"/>
      <w:u w:val="none"/>
    </w:rPr>
  </w:style>
  <w:style w:type="character" w:customStyle="1" w:styleId="10">
    <w:name w:val="font61"/>
    <w:basedOn w:val="4"/>
    <w:qFormat/>
    <w:uiPriority w:val="0"/>
    <w:rPr>
      <w:rFonts w:hint="default" w:ascii="Times New Roman" w:hAnsi="Times New Roman" w:cs="Times New Roman"/>
      <w:color w:val="000000"/>
      <w:sz w:val="12"/>
      <w:szCs w:val="12"/>
      <w:u w:val="none"/>
    </w:rPr>
  </w:style>
  <w:style w:type="character" w:customStyle="1" w:styleId="11">
    <w:name w:val="font11"/>
    <w:basedOn w:val="4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2019-06-10T00:32:00Z</dcterms:created>
  <dc:creator>生产技术部文书</dc:creator>
  <cp:lastModifiedBy>于晓光</cp:lastModifiedBy>
  <dcterms:modified xsi:type="dcterms:W3CDTF">2024-08-21T08:33:33Z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421A3D34F7E44D07A689D01ACF05A15E</vt:lpwstr>
  </property>
</Properties>
</file>