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1572"/>
      <w:bookmarkStart w:id="1" w:name="_Toc6059"/>
    </w:p>
    <w:p>
      <w:pPr>
        <w:pStyle w:val="8"/>
        <w:jc w:val="center"/>
        <w:rPr>
          <w:rFonts w:ascii="隶书" w:eastAsia="隶书"/>
          <w:sz w:val="56"/>
          <w:szCs w:val="56"/>
        </w:rPr>
      </w:pPr>
    </w:p>
    <w:p>
      <w:pPr>
        <w:pStyle w:val="8"/>
        <w:spacing w:line="360" w:lineRule="auto"/>
        <w:jc w:val="center"/>
        <w:rPr>
          <w:rFonts w:ascii="隶书" w:eastAsia="隶书"/>
          <w:sz w:val="48"/>
          <w:szCs w:val="48"/>
        </w:rPr>
      </w:pPr>
      <w:r>
        <w:rPr>
          <w:rFonts w:hint="eastAsia" w:ascii="黑体" w:hAnsi="黑体" w:eastAsia="黑体" w:cs="黑体"/>
          <w:sz w:val="48"/>
          <w:szCs w:val="48"/>
        </w:rPr>
        <w:t>10kV配网馈线终端免登杆便捷运维装置</w:t>
      </w:r>
    </w:p>
    <w:p>
      <w:pPr>
        <w:pStyle w:val="8"/>
        <w:spacing w:line="360" w:lineRule="auto"/>
        <w:jc w:val="center"/>
        <w:rPr>
          <w:rFonts w:hint="eastAsia"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hint="eastAsia" w:ascii="楷体_GB2312" w:hAnsi="宋体" w:eastAsia="楷体_GB2312"/>
          <w:sz w:val="32"/>
          <w:szCs w:val="32"/>
        </w:rPr>
      </w:pPr>
    </w:p>
    <w:p>
      <w:pPr>
        <w:spacing w:before="156" w:beforeLines="50"/>
        <w:jc w:val="center"/>
        <w:rPr>
          <w:rFonts w:hint="eastAsia" w:ascii="楷体_GB2312" w:hAnsi="宋体" w:eastAsia="楷体_GB2312"/>
          <w:sz w:val="32"/>
          <w:szCs w:val="32"/>
        </w:rPr>
      </w:pPr>
    </w:p>
    <w:p>
      <w:pPr>
        <w:spacing w:before="156" w:beforeLines="50"/>
        <w:rPr>
          <w:rFonts w:hint="eastAsia" w:ascii="楷体_GB2312" w:hAnsi="宋体" w:eastAsia="楷体_GB2312"/>
          <w:sz w:val="32"/>
          <w:szCs w:val="32"/>
        </w:rPr>
      </w:pPr>
    </w:p>
    <w:p>
      <w:pPr>
        <w:pStyle w:val="21"/>
        <w:rPr>
          <w:rStyle w:val="23"/>
          <w:rFonts w:hint="eastAsia" w:ascii="黑体" w:hAnsi="黑体" w:eastAsia="黑体" w:cs="黑体"/>
        </w:rPr>
      </w:pPr>
    </w:p>
    <w:p>
      <w:pPr>
        <w:pStyle w:val="21"/>
        <w:rPr>
          <w:rStyle w:val="23"/>
          <w:rFonts w:hint="eastAsia" w:ascii="黑体" w:hAnsi="黑体" w:eastAsia="黑体" w:cs="黑体"/>
        </w:rPr>
      </w:pPr>
    </w:p>
    <w:p>
      <w:pPr>
        <w:pStyle w:val="21"/>
        <w:rPr>
          <w:rFonts w:hint="eastAsia" w:ascii="黑体" w:hAnsi="黑体" w:eastAsia="黑体" w:cs="黑体"/>
        </w:rPr>
        <w:sectPr>
          <w:pgSz w:w="11906" w:h="16838"/>
          <w:pgMar w:top="1440" w:right="1800" w:bottom="1440" w:left="1800" w:header="851" w:footer="992" w:gutter="0"/>
          <w:cols w:space="425" w:num="1"/>
          <w:docGrid w:type="lines" w:linePitch="312" w:charSpace="0"/>
        </w:sectPr>
      </w:pPr>
      <w:r>
        <w:rPr>
          <w:rStyle w:val="23"/>
          <w:rFonts w:hint="eastAsia" w:ascii="黑体" w:hAnsi="黑体" w:eastAsia="黑体" w:cs="黑体"/>
        </w:rPr>
        <w:t>2024年08月</w:t>
      </w:r>
    </w:p>
    <w:p>
      <w:pPr>
        <w:snapToGrid w:val="0"/>
        <w:spacing w:line="360" w:lineRule="auto"/>
        <w:jc w:val="center"/>
        <w:rPr>
          <w:rFonts w:hint="eastAsia"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spacing w:line="560" w:lineRule="exact"/>
        <w:rPr>
          <w:rFonts w:hint="eastAsia"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成果交付与验收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napToGrid w:val="0"/>
        <w:spacing w:line="560" w:lineRule="exact"/>
        <w:rPr>
          <w:rFonts w:hint="eastAsia" w:ascii="黑体" w:hAnsi="黑体" w:eastAsia="黑体" w:cs="黑体"/>
          <w:b/>
          <w:sz w:val="24"/>
        </w:rPr>
      </w:pPr>
      <w:r>
        <w:rPr>
          <w:rFonts w:hint="eastAsia" w:ascii="黑体" w:hAnsi="黑体" w:eastAsia="黑体" w:cs="黑体"/>
          <w:sz w:val="24"/>
        </w:rPr>
        <w:fldChar w:fldCharType="end"/>
      </w:r>
    </w:p>
    <w:p>
      <w:pPr>
        <w:rPr>
          <w:rFonts w:hint="eastAsia" w:ascii="宋体" w:hAnsi="宋体"/>
          <w:b/>
          <w:sz w:val="30"/>
        </w:rPr>
      </w:pPr>
      <w:r>
        <w:rPr>
          <w:rFonts w:ascii="宋体" w:hAnsi="宋体"/>
          <w:b/>
          <w:sz w:val="30"/>
        </w:rPr>
        <w:br w:type="page"/>
      </w:r>
    </w:p>
    <w:p>
      <w:pPr>
        <w:spacing w:line="480" w:lineRule="auto"/>
        <w:jc w:val="center"/>
        <w:outlineLvl w:val="0"/>
        <w:rPr>
          <w:rFonts w:hint="eastAsia" w:ascii="宋体" w:hAnsi="宋体"/>
          <w:b/>
          <w:sz w:val="32"/>
        </w:rPr>
      </w:pPr>
      <w:bookmarkStart w:id="3" w:name="_Toc13824"/>
      <w:bookmarkStart w:id="4" w:name="_Toc161832193"/>
      <w:bookmarkStart w:id="5" w:name="_Toc19589"/>
      <w:bookmarkStart w:id="6" w:name="_Toc266713645"/>
      <w:bookmarkStart w:id="7" w:name="_Toc17586"/>
      <w:bookmarkStart w:id="8" w:name="_Toc32374"/>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hint="eastAsia"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hint="eastAsia"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本技术要求书制定目标的</w:t>
      </w:r>
      <w:r>
        <w:rPr>
          <w:rFonts w:hint="eastAsia" w:ascii="宋体" w:hAnsi="宋体"/>
          <w:bCs/>
          <w:sz w:val="24"/>
          <w:szCs w:val="22"/>
          <w:lang w:val="en-US" w:eastAsia="zh-CN"/>
        </w:rPr>
        <w:t>加工测试服务</w:t>
      </w:r>
      <w:r>
        <w:rPr>
          <w:rFonts w:hint="eastAsia" w:ascii="宋体" w:hAnsi="宋体"/>
          <w:bCs/>
          <w:sz w:val="24"/>
          <w:szCs w:val="22"/>
        </w:rPr>
        <w:t>，以及在项目进行中为达成既定目标提</w:t>
      </w:r>
      <w:r>
        <w:rPr>
          <w:rFonts w:hint="eastAsia"/>
          <w:sz w:val="24"/>
        </w:rPr>
        <w:t>出的其他</w:t>
      </w:r>
      <w:bookmarkStart w:id="9" w:name="_Hlk173933519"/>
      <w:r>
        <w:rPr>
          <w:rFonts w:hint="eastAsia"/>
          <w:sz w:val="24"/>
        </w:rPr>
        <w:t>优化</w:t>
      </w:r>
      <w:bookmarkStart w:id="20" w:name="_GoBack"/>
      <w:bookmarkEnd w:id="20"/>
      <w:r>
        <w:rPr>
          <w:rFonts w:hint="eastAsia"/>
          <w:sz w:val="24"/>
        </w:rPr>
        <w:t>调整</w:t>
      </w:r>
      <w:bookmarkEnd w:id="9"/>
      <w:r>
        <w:rPr>
          <w:rFonts w:hint="eastAsia"/>
          <w:sz w:val="24"/>
        </w:rPr>
        <w:t>需求。</w:t>
      </w:r>
    </w:p>
    <w:p>
      <w:pPr>
        <w:numPr>
          <w:ilvl w:val="0"/>
          <w:numId w:val="2"/>
        </w:numPr>
        <w:spacing w:line="360" w:lineRule="auto"/>
        <w:rPr>
          <w:rFonts w:hint="eastAsia" w:ascii="宋体" w:hAnsi="宋体"/>
          <w:bCs/>
          <w:sz w:val="24"/>
          <w:szCs w:val="22"/>
        </w:rPr>
      </w:pPr>
      <w:r>
        <w:rPr>
          <w:rFonts w:hint="eastAsia" w:ascii="宋体" w:hAnsi="宋体"/>
          <w:bCs/>
          <w:sz w:val="24"/>
          <w:szCs w:val="22"/>
        </w:rPr>
        <w:t>本技术要求书未尽事宜，由双方协商确定。</w:t>
      </w:r>
    </w:p>
    <w:p>
      <w:pPr>
        <w:pStyle w:val="24"/>
        <w:spacing w:before="312"/>
        <w:rPr>
          <w:rFonts w:hint="eastAsia"/>
          <w:szCs w:val="22"/>
        </w:rPr>
      </w:pPr>
      <w:r>
        <w:rPr>
          <w:rFonts w:hint="eastAsia"/>
          <w:szCs w:val="22"/>
        </w:rPr>
        <w:br w:type="page"/>
      </w:r>
    </w:p>
    <w:p>
      <w:pPr>
        <w:pStyle w:val="24"/>
        <w:spacing w:before="312"/>
        <w:outlineLvl w:val="0"/>
        <w:rPr>
          <w:rFonts w:hint="eastAsia" w:asciiTheme="minorEastAsia" w:hAnsiTheme="minorEastAsia" w:eastAsiaTheme="minorEastAsia" w:cstheme="minorEastAsia"/>
          <w:bCs/>
          <w:color w:val="C00000"/>
        </w:rPr>
      </w:pPr>
      <w:bookmarkStart w:id="10" w:name="_Toc161832194"/>
      <w:bookmarkStart w:id="11" w:name="_Toc4772"/>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10"/>
      <w:bookmarkEnd w:id="11"/>
    </w:p>
    <w:p>
      <w:pPr>
        <w:spacing w:line="480" w:lineRule="exact"/>
        <w:ind w:firstLine="480" w:firstLineChars="200"/>
        <w:rPr>
          <w:rFonts w:hint="eastAsia" w:ascii="宋体" w:hAnsi="宋体"/>
          <w:sz w:val="24"/>
        </w:rPr>
      </w:pPr>
      <w:r>
        <w:rPr>
          <w:rFonts w:hint="eastAsia" w:ascii="宋体" w:hAnsi="宋体"/>
          <w:sz w:val="24"/>
        </w:rPr>
        <w:t>据统计，目前用户停电95%以上是由配电系统原因引起的，电网有一半的损耗发生在配电网，经过近年来配电自动化的发展和技术演进，东莞局配网已实现了95%以上的自动化系统覆盖，配网自动化系统已成为保证系统运行，提高经济效益和管理效能的重要手段之一。但另一方面，大量的配电自动化终端设备也给电力运维部门带来了大量的维护压力，由于配网供电范围点多面广，网架较为复杂，配电网的智能化程度以及自愈和优化运行精度要求更高，而由于历史及管理原因，部署于现场的厂家自动化终端设备类型也五花八门，对设备维护的方式也存在差异，大部分设备不支持远程维护能力，需要依赖运维人员抵达现场进行登杆、开箱、接线、读数等一系列劳作工作量，频繁登杆作业效率低，安全隐患高。</w:t>
      </w:r>
    </w:p>
    <w:p>
      <w:pPr>
        <w:spacing w:line="480" w:lineRule="exact"/>
        <w:rPr>
          <w:rFonts w:hint="eastAsia" w:ascii="宋体" w:hAnsi="宋体"/>
          <w:sz w:val="24"/>
        </w:rPr>
      </w:pPr>
      <w:r>
        <w:rPr>
          <w:rFonts w:hint="eastAsia" w:ascii="宋体" w:hAnsi="宋体" w:cs="宋体"/>
          <w:kern w:val="0"/>
          <w:sz w:val="24"/>
        </w:rPr>
        <w:t>针对以上困境，本项目拟结合现有配网架空线路馈线终端（FTU）运维操作需求，开发一种针对现场登杆、开箱、接线、读数操作需要的</w:t>
      </w:r>
      <w:r>
        <w:rPr>
          <w:rFonts w:hint="eastAsia" w:ascii="宋体" w:hAnsi="宋体"/>
          <w:sz w:val="24"/>
        </w:rPr>
        <w:t>便捷运维装置，降低一线运维人员作业压力，可于架空线路塔下完成设备维护工作，无需登杆，提升作业效率及安全劳作水平。</w:t>
      </w:r>
    </w:p>
    <w:p>
      <w:pPr>
        <w:spacing w:line="360" w:lineRule="auto"/>
        <w:ind w:firstLine="480" w:firstLineChars="200"/>
        <w:rPr>
          <w:rFonts w:hint="eastAsia" w:ascii="黑体" w:hAnsi="黑体" w:eastAsia="黑体" w:cs="黑体"/>
          <w:bCs/>
          <w:sz w:val="24"/>
        </w:rPr>
      </w:pPr>
      <w:r>
        <w:rPr>
          <w:rFonts w:hint="eastAsia"/>
          <w:sz w:val="24"/>
        </w:rPr>
        <w:t>服务方需要提供满足主要技术指标要求的材料供应，以及在项目进行中为达成既定目标提出的其他优化调整需求。</w:t>
      </w:r>
    </w:p>
    <w:p>
      <w:pPr>
        <w:pStyle w:val="24"/>
        <w:spacing w:before="312"/>
        <w:outlineLvl w:val="0"/>
        <w:rPr>
          <w:rFonts w:hint="eastAsia" w:asciiTheme="minorEastAsia" w:hAnsiTheme="minorEastAsia" w:eastAsiaTheme="minorEastAsia" w:cstheme="minorEastAsia"/>
          <w:bCs/>
          <w:color w:val="C00000"/>
        </w:rPr>
      </w:pPr>
      <w:bookmarkStart w:id="12" w:name="_Toc2001"/>
      <w:bookmarkStart w:id="13" w:name="_Toc161832195"/>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2"/>
      <w:bookmarkEnd w:id="13"/>
    </w:p>
    <w:p>
      <w:pPr>
        <w:spacing w:line="460" w:lineRule="exact"/>
        <w:ind w:firstLine="480" w:firstLineChars="200"/>
        <w:rPr>
          <w:sz w:val="24"/>
        </w:rPr>
      </w:pPr>
      <w:bookmarkStart w:id="14" w:name="_Toc266713650"/>
      <w:bookmarkStart w:id="15" w:name="_Toc161832196"/>
      <w:bookmarkStart w:id="16" w:name="_Toc30385"/>
      <w:r>
        <w:rPr>
          <w:rFonts w:hint="eastAsia"/>
          <w:sz w:val="24"/>
        </w:rPr>
        <w:t>本项目所研制的工具具体要求如下：</w:t>
      </w:r>
    </w:p>
    <w:p>
      <w:pPr>
        <w:spacing w:line="480" w:lineRule="exact"/>
        <w:ind w:firstLine="480" w:firstLineChars="200"/>
        <w:rPr>
          <w:rFonts w:hint="eastAsia" w:ascii="宋体" w:hAnsi="宋体"/>
          <w:sz w:val="24"/>
        </w:rPr>
      </w:pPr>
      <w:r>
        <w:rPr>
          <w:rFonts w:hint="eastAsia" w:ascii="宋体" w:hAnsi="宋体"/>
          <w:sz w:val="24"/>
        </w:rPr>
        <w:t>（1）调研分析东南供电局配电自动化终端FTU的设备形态、安装高度、开箱方式、箱体空间结构、网口类型等特征，研究考虑免登杆的FTU运检方案，能满足户外FTU高空作业场景应用需要。</w:t>
      </w:r>
    </w:p>
    <w:p>
      <w:pPr>
        <w:spacing w:line="480" w:lineRule="exact"/>
        <w:ind w:firstLine="480" w:firstLineChars="200"/>
        <w:rPr>
          <w:rFonts w:hint="eastAsia" w:ascii="宋体" w:hAnsi="宋体"/>
          <w:sz w:val="24"/>
        </w:rPr>
      </w:pPr>
      <w:r>
        <w:rPr>
          <w:rFonts w:hint="eastAsia" w:ascii="宋体" w:hAnsi="宋体"/>
          <w:sz w:val="24"/>
        </w:rPr>
        <w:t>（2）研究高空FTU电箱柜门智能电子锁及电动开闭结构模块，实现塔下远距离控制柜门自动开闭作业，支撑作业人员免登杆即可完成FTU终端柜体开柜作业接入需要。</w:t>
      </w:r>
    </w:p>
    <w:p>
      <w:pPr>
        <w:spacing w:line="360" w:lineRule="auto"/>
        <w:ind w:firstLine="480" w:firstLineChars="200"/>
        <w:rPr>
          <w:rFonts w:hint="eastAsia" w:ascii="宋体" w:hAnsi="宋体"/>
          <w:sz w:val="24"/>
        </w:rPr>
      </w:pPr>
      <w:r>
        <w:rPr>
          <w:rFonts w:hint="eastAsia" w:ascii="宋体" w:hAnsi="宋体"/>
          <w:sz w:val="24"/>
        </w:rPr>
        <w:t>（3）研究基于塔下短距离协同控制的FTU网口网线收放技术，设计合理的网线收放线挂接模块，运维人员只需一键控制，箱体内网线自动下放下来，快速完成数据调试等运维作业需要。</w:t>
      </w:r>
    </w:p>
    <w:p>
      <w:pPr>
        <w:spacing w:line="360" w:lineRule="auto"/>
        <w:ind w:firstLine="480" w:firstLineChars="200"/>
        <w:rPr>
          <w:rFonts w:hint="eastAsia" w:ascii="宋体" w:hAnsi="宋体"/>
          <w:sz w:val="24"/>
        </w:rPr>
      </w:pPr>
      <w:r>
        <w:rPr>
          <w:rFonts w:hint="eastAsia" w:ascii="宋体" w:hAnsi="宋体"/>
          <w:sz w:val="24"/>
        </w:rPr>
        <w:t>（4）开展10kV配网馈线终端免登杆便捷运维装置的集成并应用。</w:t>
      </w:r>
    </w:p>
    <w:p>
      <w:pPr>
        <w:widowControl w:val="0"/>
        <w:spacing w:line="360" w:lineRule="auto"/>
        <w:ind w:firstLine="480" w:firstLineChars="20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通过调研分析东南供电局配电自动化终端FTU的设备形态、安装高度、开箱方式、箱体空间结构、网口类型等特征，开发高空FTU电箱柜门智能电子锁结构模块，采用电信号作为开关量信号，实现锁芯开闭动作；开发高空FTU电箱柜门智能电动开闭模块，采用无刷电机作为驱动，驱动力臂完成柜门开关动作；开发高空FTU网线电动收放线模块，采用无刷电机的旋转力作为卷放线动力来源，实现网线的下放和收束；根据现场作业布置需要，设置电流动作时间及程序流程，包括开锁指令电流输出时间，开箱电机电流输出时间，网线放线电机电流输出时间，收线电机电流输出时间，及关箱电机、上锁等联动动作时间。根据以上程序时间，拟采用</w:t>
      </w:r>
      <w:r>
        <w:rPr>
          <w:rFonts w:ascii="宋体" w:hAnsi="宋体" w:eastAsia="宋体" w:cs="宋体"/>
          <w:kern w:val="0"/>
          <w:sz w:val="24"/>
          <w:szCs w:val="24"/>
          <w:lang w:val="en-US" w:eastAsia="zh-CN" w:bidi="ar-SA"/>
        </w:rPr>
        <w:t>433</w:t>
      </w:r>
      <w:r>
        <w:rPr>
          <w:rFonts w:hint="eastAsia" w:ascii="宋体" w:hAnsi="宋体" w:eastAsia="宋体" w:cs="宋体"/>
          <w:kern w:val="0"/>
          <w:sz w:val="24"/>
          <w:szCs w:val="24"/>
          <w:lang w:val="en-US" w:eastAsia="zh-CN" w:bidi="ar-SA"/>
        </w:rPr>
        <w:t>M无线射频技术或蓝牙技术作为遥控指令，实现塔下非接触式即可完成对FTU馈线终端柜体的电子锁解锁、</w:t>
      </w:r>
      <w:r>
        <w:rPr>
          <w:rFonts w:hint="eastAsia" w:ascii="宋体" w:hAnsi="宋体" w:eastAsia="宋体" w:cs="Times New Roman"/>
          <w:kern w:val="2"/>
          <w:sz w:val="24"/>
          <w:szCs w:val="24"/>
          <w:lang w:val="en-US" w:eastAsia="zh-CN" w:bidi="ar-SA"/>
        </w:rPr>
        <w:t>网口连接、定值调试、关箱、上锁等工作步骤</w:t>
      </w:r>
      <w:r>
        <w:rPr>
          <w:rFonts w:hint="eastAsia" w:ascii="宋体" w:hAnsi="宋体" w:eastAsia="宋体" w:cs="宋体"/>
          <w:kern w:val="0"/>
          <w:sz w:val="24"/>
          <w:szCs w:val="24"/>
          <w:lang w:val="en-US" w:eastAsia="zh-CN" w:bidi="ar-SA"/>
        </w:rPr>
        <w:t>功能。</w:t>
      </w:r>
    </w:p>
    <w:p>
      <w:pPr>
        <w:pStyle w:val="2"/>
        <w:spacing w:before="0" w:after="0"/>
        <w:jc w:val="center"/>
      </w:pPr>
      <w:r>
        <w:drawing>
          <wp:inline distT="0" distB="0" distL="0" distR="0">
            <wp:extent cx="3990975" cy="3903345"/>
            <wp:effectExtent l="0" t="0" r="9525" b="1905"/>
            <wp:docPr id="18798876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887642"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3994885" cy="3907571"/>
                    </a:xfrm>
                    <a:prstGeom prst="rect">
                      <a:avLst/>
                    </a:prstGeom>
                    <a:noFill/>
                    <a:ln>
                      <a:noFill/>
                    </a:ln>
                  </pic:spPr>
                </pic:pic>
              </a:graphicData>
            </a:graphic>
          </wp:inline>
        </w:drawing>
      </w:r>
    </w:p>
    <w:p>
      <w:pPr>
        <w:pStyle w:val="3"/>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技术原理图</w:t>
      </w:r>
    </w:p>
    <w:p>
      <w:pPr>
        <w:pStyle w:val="24"/>
        <w:spacing w:before="312"/>
        <w:outlineLvl w:val="0"/>
        <w:rPr>
          <w:rFonts w:hint="eastAsia" w:ascii="黑体" w:hAnsi="黑体" w:eastAsia="黑体" w:cs="黑体"/>
          <w:sz w:val="28"/>
          <w:szCs w:val="28"/>
        </w:rPr>
      </w:pPr>
      <w:r>
        <w:rPr>
          <w:rFonts w:ascii="黑体" w:hAnsi="黑体" w:eastAsia="黑体" w:cs="黑体"/>
          <w:sz w:val="28"/>
          <w:szCs w:val="28"/>
        </w:rPr>
        <w:t>3</w:t>
      </w:r>
      <w:r>
        <w:rPr>
          <w:rFonts w:hint="eastAsia" w:ascii="黑体" w:hAnsi="黑体" w:eastAsia="黑体" w:cs="黑体"/>
          <w:sz w:val="28"/>
          <w:szCs w:val="28"/>
        </w:rPr>
        <w:t xml:space="preserve">  </w:t>
      </w:r>
      <w:bookmarkEnd w:id="14"/>
      <w:r>
        <w:rPr>
          <w:rFonts w:hint="eastAsia" w:ascii="黑体" w:hAnsi="黑体" w:eastAsia="黑体" w:cs="黑体"/>
          <w:sz w:val="28"/>
          <w:szCs w:val="28"/>
        </w:rPr>
        <w:t>成果交付与验收</w:t>
      </w:r>
      <w:bookmarkEnd w:id="15"/>
      <w:bookmarkEnd w:id="16"/>
    </w:p>
    <w:p>
      <w:pPr>
        <w:spacing w:line="360" w:lineRule="auto"/>
        <w:ind w:firstLine="480" w:firstLineChars="200"/>
        <w:rPr>
          <w:rFonts w:hint="eastAsia" w:asciiTheme="minorEastAsia" w:hAnsiTheme="minorEastAsia" w:eastAsiaTheme="minorEastAsia" w:cstheme="minorEastAsia"/>
          <w:color w:val="000000"/>
          <w:sz w:val="24"/>
          <w:lang w:eastAsia="zh-CN"/>
        </w:rPr>
      </w:pPr>
      <w:bookmarkStart w:id="17" w:name="_Toc161832197"/>
      <w:r>
        <w:rPr>
          <w:rFonts w:hint="eastAsia" w:asciiTheme="minorEastAsia" w:hAnsiTheme="minorEastAsia" w:eastAsiaTheme="minorEastAsia" w:cstheme="minorEastAsia"/>
          <w:color w:val="000000"/>
          <w:sz w:val="24"/>
          <w:lang w:val="en-US" w:eastAsia="zh-CN"/>
        </w:rPr>
        <w:t>1、</w:t>
      </w:r>
      <w:r>
        <w:rPr>
          <w:rFonts w:hint="eastAsia" w:asciiTheme="minorEastAsia" w:hAnsiTheme="minorEastAsia" w:eastAsiaTheme="minorEastAsia" w:cstheme="minorEastAsia"/>
          <w:color w:val="000000"/>
          <w:sz w:val="24"/>
        </w:rPr>
        <w:t>加工服务：提供</w:t>
      </w:r>
      <w:r>
        <w:rPr>
          <w:rFonts w:hint="eastAsia" w:ascii="宋体" w:hAnsi="宋体"/>
          <w:sz w:val="24"/>
        </w:rPr>
        <w:t>10kV配网馈线终端免登杆便捷运维装置</w:t>
      </w:r>
      <w:r>
        <w:rPr>
          <w:rFonts w:hint="eastAsia" w:asciiTheme="minorEastAsia" w:hAnsiTheme="minorEastAsia" w:eastAsiaTheme="minorEastAsia" w:cstheme="minorEastAsia"/>
          <w:color w:val="000000"/>
          <w:sz w:val="24"/>
        </w:rPr>
        <w:t>研制所需测试加工服务，包括装置的集成加工服务、安装测试服务等。交付</w:t>
      </w:r>
      <w:r>
        <w:rPr>
          <w:rFonts w:hint="eastAsia" w:ascii="宋体" w:hAnsi="宋体"/>
          <w:sz w:val="24"/>
        </w:rPr>
        <w:t>10kV配网馈线终端免登杆便捷运维装置</w:t>
      </w:r>
      <w:r>
        <w:rPr>
          <w:rFonts w:hint="eastAsia" w:asciiTheme="minorEastAsia" w:hAnsiTheme="minorEastAsia" w:eastAsiaTheme="minorEastAsia" w:cstheme="minorEastAsia"/>
          <w:color w:val="000000"/>
          <w:sz w:val="24"/>
        </w:rPr>
        <w:t>1套，第三方测试报告1篇</w:t>
      </w:r>
      <w:r>
        <w:rPr>
          <w:rFonts w:hint="eastAsia" w:asciiTheme="minorEastAsia" w:hAnsiTheme="minorEastAsia" w:eastAsiaTheme="minorEastAsia" w:cstheme="minorEastAsia"/>
          <w:color w:val="000000"/>
          <w:sz w:val="24"/>
          <w:lang w:eastAsia="zh-CN"/>
        </w:rPr>
        <w:t>。</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2</w:t>
      </w:r>
      <w:r>
        <w:rPr>
          <w:rFonts w:hint="eastAsia" w:asciiTheme="minorEastAsia" w:hAnsiTheme="minorEastAsia" w:eastAsiaTheme="minorEastAsia" w:cstheme="minorEastAsia"/>
          <w:color w:val="000000"/>
          <w:sz w:val="24"/>
        </w:rPr>
        <w:t>、乙方需于2024年10月30日前交付符合要求的</w:t>
      </w:r>
      <w:r>
        <w:rPr>
          <w:rFonts w:hint="eastAsia"/>
          <w:sz w:val="24"/>
        </w:rPr>
        <w:t>成果</w:t>
      </w:r>
      <w:r>
        <w:rPr>
          <w:rFonts w:hint="eastAsia" w:asciiTheme="minorEastAsia" w:hAnsiTheme="minorEastAsia" w:eastAsiaTheme="minorEastAsia" w:cstheme="minorEastAsia"/>
          <w:color w:val="000000"/>
          <w:sz w:val="24"/>
        </w:rPr>
        <w:t>，并通过甲方验收，同时需协助甲方完成本项目的相关资料整理，包括协助甲方完成发明专利、论文等知识产权的编写，协助甲方完成项目资料收集、整理，配合甲方通过项目结题验收。</w:t>
      </w:r>
    </w:p>
    <w:p>
      <w:pPr>
        <w:spacing w:line="360" w:lineRule="auto"/>
        <w:ind w:firstLine="480" w:firstLineChars="200"/>
        <w:rPr>
          <w:rFonts w:hint="eastAsia" w:ascii="黑体" w:hAnsi="黑体" w:eastAsia="黑体" w:cs="黑体"/>
          <w:bCs/>
          <w:sz w:val="24"/>
        </w:rPr>
      </w:pPr>
      <w:r>
        <w:rPr>
          <w:rFonts w:hint="eastAsia" w:asciiTheme="minorEastAsia" w:hAnsiTheme="minorEastAsia" w:eastAsiaTheme="minorEastAsia" w:cstheme="minorEastAsia"/>
          <w:color w:val="000000"/>
          <w:sz w:val="24"/>
          <w:lang w:val="en-US" w:eastAsia="zh-CN"/>
        </w:rPr>
        <w:t>3</w:t>
      </w:r>
      <w:r>
        <w:rPr>
          <w:rFonts w:hint="eastAsia" w:asciiTheme="minorEastAsia" w:hAnsiTheme="minorEastAsia" w:eastAsiaTheme="minorEastAsia" w:cstheme="minorEastAsia"/>
          <w:color w:val="000000"/>
          <w:sz w:val="24"/>
        </w:rPr>
        <w:t>、配合甲方申报相关奖项。</w:t>
      </w:r>
    </w:p>
    <w:bookmarkEnd w:id="17"/>
    <w:p>
      <w:pPr>
        <w:pStyle w:val="24"/>
        <w:spacing w:before="312"/>
        <w:outlineLvl w:val="0"/>
        <w:rPr>
          <w:rFonts w:hint="eastAsia" w:ascii="黑体" w:hAnsi="黑体" w:eastAsia="黑体" w:cs="黑体"/>
          <w:sz w:val="28"/>
          <w:szCs w:val="28"/>
        </w:rPr>
      </w:pPr>
      <w:bookmarkStart w:id="18" w:name="_Toc24706"/>
      <w:bookmarkStart w:id="19" w:name="_Toc161832200"/>
      <w:r>
        <w:rPr>
          <w:rFonts w:ascii="黑体" w:hAnsi="黑体" w:eastAsia="黑体" w:cs="黑体"/>
          <w:sz w:val="28"/>
          <w:szCs w:val="28"/>
        </w:rPr>
        <w:t>4</w:t>
      </w:r>
      <w:r>
        <w:rPr>
          <w:rFonts w:hint="eastAsia" w:ascii="黑体" w:hAnsi="黑体" w:eastAsia="黑体" w:cs="黑体"/>
          <w:sz w:val="28"/>
          <w:szCs w:val="28"/>
        </w:rPr>
        <w:t xml:space="preserve">  资格要求</w:t>
      </w:r>
      <w:bookmarkEnd w:id="18"/>
      <w:bookmarkEnd w:id="19"/>
    </w:p>
    <w:tbl>
      <w:tblPr>
        <w:tblStyle w:val="15"/>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w:t>
            </w:r>
          </w:p>
        </w:tc>
      </w:tr>
      <w:tr>
        <w:tblPrEx>
          <w:tblCellMar>
            <w:top w:w="0" w:type="dxa"/>
            <w:left w:w="108" w:type="dxa"/>
            <w:bottom w:w="0" w:type="dxa"/>
            <w:right w:w="108" w:type="dxa"/>
          </w:tblCellMar>
        </w:tblPrEx>
        <w:trPr>
          <w:trHeight w:val="422"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t>能提供类似的研发合同业绩至少1份；</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t>本项目报价下浮率高于10% （不含本身）的需附成本分析报告。成本分析报告需充分说明费用的组成、降低成本的合理措施及在其他项目中应用过的经验等，未提供成本分析报告视为原则性不响应招标文件要求，作否决投标处理。</w:t>
            </w:r>
          </w:p>
        </w:tc>
      </w:tr>
    </w:tbl>
    <w:p>
      <w:pPr>
        <w:spacing w:line="360" w:lineRule="auto"/>
        <w:rPr>
          <w:rFonts w:hint="eastAsia" w:asciiTheme="minorEastAsia" w:hAnsiTheme="minorEastAsia" w:eastAsiaTheme="minorEastAsia" w:cstheme="minorEastAsia"/>
          <w:color w:val="000000"/>
          <w:sz w:val="24"/>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9"/>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wOGRmOGExYzk1YmViOTkzZmNhNDJlZDE5NzRhMzQifQ=="/>
  </w:docVars>
  <w:rsids>
    <w:rsidRoot w:val="56112EA9"/>
    <w:rsid w:val="0000270B"/>
    <w:rsid w:val="00040023"/>
    <w:rsid w:val="00063188"/>
    <w:rsid w:val="000B652E"/>
    <w:rsid w:val="00113C97"/>
    <w:rsid w:val="00156123"/>
    <w:rsid w:val="0018128B"/>
    <w:rsid w:val="001D7134"/>
    <w:rsid w:val="002167BF"/>
    <w:rsid w:val="00265B88"/>
    <w:rsid w:val="002B69BC"/>
    <w:rsid w:val="002D207B"/>
    <w:rsid w:val="003E0E7E"/>
    <w:rsid w:val="003E2B1B"/>
    <w:rsid w:val="0045760C"/>
    <w:rsid w:val="006444FE"/>
    <w:rsid w:val="00695983"/>
    <w:rsid w:val="006D47D2"/>
    <w:rsid w:val="00796FA4"/>
    <w:rsid w:val="007B0D5A"/>
    <w:rsid w:val="007B6A1A"/>
    <w:rsid w:val="008F319A"/>
    <w:rsid w:val="00920102"/>
    <w:rsid w:val="009C2EA5"/>
    <w:rsid w:val="00A20B78"/>
    <w:rsid w:val="00B666BF"/>
    <w:rsid w:val="00B66E81"/>
    <w:rsid w:val="00D65EB0"/>
    <w:rsid w:val="00DA0CC7"/>
    <w:rsid w:val="00E469BB"/>
    <w:rsid w:val="00E82FB1"/>
    <w:rsid w:val="00EF3934"/>
    <w:rsid w:val="00F54233"/>
    <w:rsid w:val="00F664EB"/>
    <w:rsid w:val="00F70D2D"/>
    <w:rsid w:val="00F86AF1"/>
    <w:rsid w:val="027C11FC"/>
    <w:rsid w:val="0295401A"/>
    <w:rsid w:val="0303051E"/>
    <w:rsid w:val="034E11A4"/>
    <w:rsid w:val="047B7BC4"/>
    <w:rsid w:val="04BF0B83"/>
    <w:rsid w:val="04FE4EAD"/>
    <w:rsid w:val="05312146"/>
    <w:rsid w:val="05330E8B"/>
    <w:rsid w:val="056D4E14"/>
    <w:rsid w:val="05D957EC"/>
    <w:rsid w:val="05FD7391"/>
    <w:rsid w:val="07B83A18"/>
    <w:rsid w:val="07DC3C63"/>
    <w:rsid w:val="08115868"/>
    <w:rsid w:val="0900633E"/>
    <w:rsid w:val="0970751E"/>
    <w:rsid w:val="09F078C2"/>
    <w:rsid w:val="0A9773AF"/>
    <w:rsid w:val="0B715FA9"/>
    <w:rsid w:val="0BD1033B"/>
    <w:rsid w:val="0BFD7548"/>
    <w:rsid w:val="0C8C1EEF"/>
    <w:rsid w:val="0D0C14ED"/>
    <w:rsid w:val="0D6039E5"/>
    <w:rsid w:val="0DDB664A"/>
    <w:rsid w:val="0DDE0C6E"/>
    <w:rsid w:val="0DE44AB1"/>
    <w:rsid w:val="0F573D98"/>
    <w:rsid w:val="0FBF064C"/>
    <w:rsid w:val="10011F66"/>
    <w:rsid w:val="10972384"/>
    <w:rsid w:val="110F2EEB"/>
    <w:rsid w:val="11402C86"/>
    <w:rsid w:val="11950633"/>
    <w:rsid w:val="11AD6919"/>
    <w:rsid w:val="133733ED"/>
    <w:rsid w:val="13566E57"/>
    <w:rsid w:val="14421D4B"/>
    <w:rsid w:val="147F0C66"/>
    <w:rsid w:val="14A83346"/>
    <w:rsid w:val="1558413F"/>
    <w:rsid w:val="155E4129"/>
    <w:rsid w:val="15B259A5"/>
    <w:rsid w:val="160351CB"/>
    <w:rsid w:val="16F77748"/>
    <w:rsid w:val="17610576"/>
    <w:rsid w:val="19614B79"/>
    <w:rsid w:val="1A316175"/>
    <w:rsid w:val="1A6070F7"/>
    <w:rsid w:val="1A830B36"/>
    <w:rsid w:val="1ADD4B0E"/>
    <w:rsid w:val="1BF021DF"/>
    <w:rsid w:val="1BFA3C82"/>
    <w:rsid w:val="1C420957"/>
    <w:rsid w:val="1C672B50"/>
    <w:rsid w:val="1CCE54EB"/>
    <w:rsid w:val="1D7B5A38"/>
    <w:rsid w:val="1DA01B05"/>
    <w:rsid w:val="1DFC3E5E"/>
    <w:rsid w:val="1E502385"/>
    <w:rsid w:val="1EA43205"/>
    <w:rsid w:val="1FBD1E67"/>
    <w:rsid w:val="1FD46916"/>
    <w:rsid w:val="20D855DF"/>
    <w:rsid w:val="21783778"/>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D035C7"/>
    <w:rsid w:val="2CE51BB8"/>
    <w:rsid w:val="2D8B5047"/>
    <w:rsid w:val="2D8F39A1"/>
    <w:rsid w:val="2D9774DB"/>
    <w:rsid w:val="2DAC4578"/>
    <w:rsid w:val="2DB36870"/>
    <w:rsid w:val="2DEA6350"/>
    <w:rsid w:val="2E260032"/>
    <w:rsid w:val="2E380045"/>
    <w:rsid w:val="2E743CC0"/>
    <w:rsid w:val="2EFA1D2E"/>
    <w:rsid w:val="2F2E6BFF"/>
    <w:rsid w:val="2FC241F2"/>
    <w:rsid w:val="2FEF2882"/>
    <w:rsid w:val="30045C2F"/>
    <w:rsid w:val="308129DD"/>
    <w:rsid w:val="30DF2B6C"/>
    <w:rsid w:val="313E1E7A"/>
    <w:rsid w:val="330E4E8B"/>
    <w:rsid w:val="33161353"/>
    <w:rsid w:val="334E3954"/>
    <w:rsid w:val="335E270E"/>
    <w:rsid w:val="34255CC8"/>
    <w:rsid w:val="35023A98"/>
    <w:rsid w:val="358A1AD4"/>
    <w:rsid w:val="358B06A1"/>
    <w:rsid w:val="35E41FA9"/>
    <w:rsid w:val="360B40D3"/>
    <w:rsid w:val="365574C6"/>
    <w:rsid w:val="3661221B"/>
    <w:rsid w:val="379963C7"/>
    <w:rsid w:val="37A433E0"/>
    <w:rsid w:val="37AE0477"/>
    <w:rsid w:val="38004B22"/>
    <w:rsid w:val="38BE6922"/>
    <w:rsid w:val="39140E3A"/>
    <w:rsid w:val="398C2739"/>
    <w:rsid w:val="39E974DB"/>
    <w:rsid w:val="3C3045D4"/>
    <w:rsid w:val="3C4C5078"/>
    <w:rsid w:val="3DC862F7"/>
    <w:rsid w:val="3DDE3626"/>
    <w:rsid w:val="3E28408B"/>
    <w:rsid w:val="401C5798"/>
    <w:rsid w:val="40794199"/>
    <w:rsid w:val="408A19B3"/>
    <w:rsid w:val="40CF0453"/>
    <w:rsid w:val="40E16D7E"/>
    <w:rsid w:val="40F0643B"/>
    <w:rsid w:val="41414714"/>
    <w:rsid w:val="419C13AE"/>
    <w:rsid w:val="41A73FEA"/>
    <w:rsid w:val="41B40E40"/>
    <w:rsid w:val="424D6740"/>
    <w:rsid w:val="425C406C"/>
    <w:rsid w:val="42DF02D2"/>
    <w:rsid w:val="43D1165A"/>
    <w:rsid w:val="44C917FC"/>
    <w:rsid w:val="45AD67D6"/>
    <w:rsid w:val="45CF1EF0"/>
    <w:rsid w:val="45E20A8C"/>
    <w:rsid w:val="469E66E7"/>
    <w:rsid w:val="46A71AFC"/>
    <w:rsid w:val="47097B32"/>
    <w:rsid w:val="47382C50"/>
    <w:rsid w:val="473A0E5B"/>
    <w:rsid w:val="476617B8"/>
    <w:rsid w:val="47A74B50"/>
    <w:rsid w:val="48205CF0"/>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4F382032"/>
    <w:rsid w:val="50E83C80"/>
    <w:rsid w:val="50E84976"/>
    <w:rsid w:val="514B0964"/>
    <w:rsid w:val="52400ADE"/>
    <w:rsid w:val="52AB3BAD"/>
    <w:rsid w:val="52D27864"/>
    <w:rsid w:val="536B3F5C"/>
    <w:rsid w:val="53CD308F"/>
    <w:rsid w:val="54C17E31"/>
    <w:rsid w:val="54E75E4E"/>
    <w:rsid w:val="54EC5F00"/>
    <w:rsid w:val="55BB08CE"/>
    <w:rsid w:val="56112EA9"/>
    <w:rsid w:val="56634F6B"/>
    <w:rsid w:val="56794219"/>
    <w:rsid w:val="56FE5647"/>
    <w:rsid w:val="57193130"/>
    <w:rsid w:val="572004CE"/>
    <w:rsid w:val="576E3E36"/>
    <w:rsid w:val="57BC5768"/>
    <w:rsid w:val="57D62605"/>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423E56"/>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07069B"/>
    <w:rsid w:val="68AC152E"/>
    <w:rsid w:val="68C83A2C"/>
    <w:rsid w:val="695323C7"/>
    <w:rsid w:val="69DF4A2B"/>
    <w:rsid w:val="69EA7D86"/>
    <w:rsid w:val="6B023115"/>
    <w:rsid w:val="6D401C96"/>
    <w:rsid w:val="6E06100F"/>
    <w:rsid w:val="6E5B1FD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73D7A07"/>
    <w:rsid w:val="77FD169B"/>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Balloon Text"/>
    <w:basedOn w:val="1"/>
    <w:link w:val="30"/>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paragraph" w:styleId="14">
    <w:name w:val="Normal (Web)"/>
    <w:basedOn w:val="1"/>
    <w:unhideWhenUsed/>
    <w:qFormat/>
    <w:uiPriority w:val="99"/>
    <w:pPr>
      <w:spacing w:beforeAutospacing="1" w:afterAutospacing="1"/>
      <w:jc w:val="left"/>
    </w:pPr>
    <w:rPr>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qFormat/>
    <w:uiPriority w:val="99"/>
  </w:style>
  <w:style w:type="paragraph" w:customStyle="1" w:styleId="19">
    <w:name w:val="标题1"/>
    <w:basedOn w:val="5"/>
    <w:next w:val="1"/>
    <w:qFormat/>
    <w:uiPriority w:val="0"/>
    <w:pPr>
      <w:numPr>
        <w:ilvl w:val="0"/>
        <w:numId w:val="1"/>
      </w:numPr>
    </w:pPr>
    <w:rPr>
      <w:rFonts w:hAnsi="黑体"/>
    </w:rPr>
  </w:style>
  <w:style w:type="paragraph" w:customStyle="1" w:styleId="20">
    <w:name w:val="首页项目名称"/>
    <w:link w:val="22"/>
    <w:qFormat/>
    <w:uiPriority w:val="0"/>
    <w:pPr>
      <w:jc w:val="center"/>
    </w:pPr>
    <w:rPr>
      <w:rFonts w:ascii="Times New Roman" w:hAnsi="Times New Roman" w:eastAsia="隶书" w:cs="Times New Roman"/>
      <w:sz w:val="52"/>
      <w:lang w:val="en-US" w:eastAsia="zh-CN" w:bidi="ar-SA"/>
    </w:rPr>
  </w:style>
  <w:style w:type="paragraph" w:customStyle="1" w:styleId="21">
    <w:name w:val="首页日期"/>
    <w:basedOn w:val="1"/>
    <w:link w:val="23"/>
    <w:qFormat/>
    <w:uiPriority w:val="0"/>
    <w:pPr>
      <w:jc w:val="center"/>
    </w:pPr>
    <w:rPr>
      <w:rFonts w:eastAsia="楷体"/>
      <w:sz w:val="32"/>
    </w:rPr>
  </w:style>
  <w:style w:type="character" w:customStyle="1" w:styleId="22">
    <w:name w:val="首页项目名称 Char"/>
    <w:link w:val="20"/>
    <w:qFormat/>
    <w:uiPriority w:val="0"/>
    <w:rPr>
      <w:rFonts w:ascii="Times New Roman" w:hAnsi="Times New Roman" w:eastAsia="隶书"/>
      <w:sz w:val="52"/>
    </w:rPr>
  </w:style>
  <w:style w:type="character" w:customStyle="1" w:styleId="23">
    <w:name w:val="首页日期 Char"/>
    <w:link w:val="21"/>
    <w:qFormat/>
    <w:uiPriority w:val="0"/>
    <w:rPr>
      <w:rFonts w:ascii="Times New Roman" w:hAnsi="Times New Roman" w:eastAsia="楷体"/>
      <w:sz w:val="32"/>
    </w:rPr>
  </w:style>
  <w:style w:type="paragraph" w:customStyle="1" w:styleId="24">
    <w:name w:val="一标题"/>
    <w:link w:val="25"/>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5">
    <w:name w:val="一标题 Char"/>
    <w:link w:val="24"/>
    <w:qFormat/>
    <w:uiPriority w:val="0"/>
    <w:rPr>
      <w:rFonts w:ascii="宋体" w:hAnsi="宋体" w:eastAsia="宋体" w:cs="Times New Roman"/>
      <w:b/>
      <w:sz w:val="24"/>
    </w:rPr>
  </w:style>
  <w:style w:type="paragraph" w:customStyle="1" w:styleId="26">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7">
    <w:name w:val="font21"/>
    <w:basedOn w:val="17"/>
    <w:qFormat/>
    <w:uiPriority w:val="0"/>
    <w:rPr>
      <w:rFonts w:hint="eastAsia" w:ascii="微软雅黑" w:hAnsi="微软雅黑" w:eastAsia="微软雅黑" w:cs="微软雅黑"/>
      <w:color w:val="000000"/>
      <w:sz w:val="20"/>
      <w:szCs w:val="20"/>
      <w:u w:val="none"/>
    </w:rPr>
  </w:style>
  <w:style w:type="character" w:customStyle="1" w:styleId="28">
    <w:name w:val="font31"/>
    <w:basedOn w:val="17"/>
    <w:qFormat/>
    <w:uiPriority w:val="0"/>
    <w:rPr>
      <w:rFonts w:hint="eastAsia" w:ascii="微软雅黑" w:hAnsi="微软雅黑" w:eastAsia="微软雅黑" w:cs="微软雅黑"/>
      <w:b/>
      <w:bCs/>
      <w:color w:val="FF0000"/>
      <w:sz w:val="20"/>
      <w:szCs w:val="20"/>
      <w:u w:val="none"/>
    </w:rPr>
  </w:style>
  <w:style w:type="character" w:customStyle="1" w:styleId="29">
    <w:name w:val="font41"/>
    <w:basedOn w:val="17"/>
    <w:qFormat/>
    <w:uiPriority w:val="0"/>
    <w:rPr>
      <w:rFonts w:hint="eastAsia" w:ascii="微软雅黑" w:hAnsi="微软雅黑" w:eastAsia="微软雅黑" w:cs="微软雅黑"/>
      <w:b/>
      <w:bCs/>
      <w:color w:val="000000"/>
      <w:sz w:val="20"/>
      <w:szCs w:val="20"/>
      <w:u w:val="none"/>
    </w:rPr>
  </w:style>
  <w:style w:type="character" w:customStyle="1" w:styleId="30">
    <w:name w:val="批注框文本 字符"/>
    <w:basedOn w:val="17"/>
    <w:link w:val="9"/>
    <w:qFormat/>
    <w:uiPriority w:val="0"/>
    <w:rPr>
      <w:kern w:val="2"/>
      <w:sz w:val="18"/>
      <w:szCs w:val="18"/>
    </w:rPr>
  </w:style>
  <w:style w:type="paragraph" w:styleId="3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6</Pages>
  <Words>1292</Words>
  <Characters>1334</Characters>
  <Lines>10</Lines>
  <Paragraphs>3</Paragraphs>
  <TotalTime>1</TotalTime>
  <ScaleCrop>false</ScaleCrop>
  <LinksUpToDate>false</LinksUpToDate>
  <CharactersWithSpaces>1359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German</cp:lastModifiedBy>
  <dcterms:modified xsi:type="dcterms:W3CDTF">2024-08-16T08:08:43Z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1C8AA33449F64FDD9B1AFB6586A39D06_13</vt:lpwstr>
  </property>
</Properties>
</file>