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57" w:rightChars="-19"/>
        <w:jc w:val="center"/>
        <w:rPr>
          <w:rFonts w:hint="eastAsia" w:ascii="黑体" w:hAnsi="宋体" w:eastAsia="黑体"/>
          <w:sz w:val="52"/>
        </w:rPr>
      </w:pPr>
    </w:p>
    <w:p>
      <w:pPr>
        <w:spacing w:line="360" w:lineRule="auto"/>
        <w:ind w:right="-19"/>
        <w:jc w:val="center"/>
        <w:rPr>
          <w:rFonts w:hint="eastAsia" w:ascii="黑体" w:hAnsi="宋体" w:eastAsia="黑体"/>
          <w:sz w:val="52"/>
        </w:rPr>
      </w:pPr>
      <w:r>
        <w:rPr>
          <w:rFonts w:hint="eastAsia" w:ascii="黑体" w:hAnsi="宋体" w:eastAsia="黑体"/>
          <w:sz w:val="52"/>
          <w:lang w:eastAsia="zh-CN"/>
        </w:rPr>
        <w:t>避雷器在线监测仪</w:t>
      </w:r>
      <w:r>
        <w:rPr>
          <w:rFonts w:hint="eastAsia" w:ascii="黑体" w:hAnsi="宋体" w:eastAsia="黑体"/>
          <w:sz w:val="52"/>
        </w:rPr>
        <w:t>技术规范书</w:t>
      </w:r>
    </w:p>
    <w:p>
      <w:pPr>
        <w:spacing w:line="360" w:lineRule="auto"/>
        <w:ind w:right="-19"/>
        <w:jc w:val="center"/>
        <w:rPr>
          <w:rFonts w:hint="eastAsia" w:ascii="宋体" w:hAnsi="宋体" w:cs="Arial"/>
          <w:bCs/>
          <w:sz w:val="32"/>
          <w:szCs w:val="32"/>
        </w:rPr>
      </w:pPr>
      <w:r>
        <w:rPr>
          <w:rFonts w:hint="eastAsia" w:ascii="宋体" w:hAnsi="宋体" w:cs="Arial"/>
          <w:bCs/>
          <w:sz w:val="32"/>
          <w:szCs w:val="32"/>
        </w:rPr>
        <w:t>项目名称：</w:t>
      </w:r>
      <w:r>
        <w:rPr>
          <w:rFonts w:hint="eastAsia" w:ascii="宋体" w:hAnsi="宋体" w:cs="Arial"/>
          <w:bCs/>
          <w:sz w:val="32"/>
          <w:szCs w:val="32"/>
          <w:lang w:val="en-US" w:eastAsia="zh-CN"/>
        </w:rPr>
        <w:t>2024年河池供电局变电管理二所生产材料费购置项目</w:t>
      </w:r>
    </w:p>
    <w:p>
      <w:pPr>
        <w:spacing w:line="300" w:lineRule="auto"/>
        <w:jc w:val="center"/>
        <w:rPr>
          <w:rFonts w:hint="eastAsia" w:ascii="黑体" w:hAnsi="宋体" w:eastAsia="黑体"/>
          <w:sz w:val="52"/>
        </w:rPr>
      </w:pPr>
    </w:p>
    <w:p>
      <w:pPr>
        <w:spacing w:line="300" w:lineRule="auto"/>
        <w:jc w:val="center"/>
        <w:rPr>
          <w:rFonts w:hint="eastAsia" w:ascii="黑体" w:hAnsi="宋体" w:eastAsia="黑体"/>
          <w:sz w:val="52"/>
        </w:rPr>
      </w:pPr>
    </w:p>
    <w:p>
      <w:pPr>
        <w:spacing w:line="300" w:lineRule="auto"/>
        <w:jc w:val="center"/>
        <w:rPr>
          <w:rFonts w:hint="eastAsia" w:ascii="黑体" w:hAnsi="宋体" w:eastAsia="黑体"/>
          <w:sz w:val="52"/>
        </w:rPr>
      </w:pPr>
    </w:p>
    <w:p>
      <w:pPr>
        <w:spacing w:line="300" w:lineRule="auto"/>
        <w:jc w:val="center"/>
        <w:rPr>
          <w:rFonts w:hint="eastAsia" w:ascii="黑体" w:hAnsi="宋体" w:eastAsia="黑体"/>
          <w:b/>
          <w:sz w:val="52"/>
        </w:rPr>
      </w:pPr>
      <w:r>
        <w:rPr>
          <w:rFonts w:hint="eastAsia" w:ascii="黑体" w:hAnsi="宋体" w:eastAsia="黑体"/>
          <w:sz w:val="52"/>
        </w:rPr>
        <w:t xml:space="preserve"> </w:t>
      </w:r>
    </w:p>
    <w:p>
      <w:pPr>
        <w:spacing w:line="360" w:lineRule="auto"/>
        <w:ind w:right="-19"/>
        <w:jc w:val="center"/>
        <w:rPr>
          <w:rFonts w:hint="eastAsia" w:ascii="宋体" w:hAnsi="宋体" w:cs="Arial"/>
          <w:bCs/>
          <w:sz w:val="24"/>
        </w:rPr>
      </w:pPr>
    </w:p>
    <w:p>
      <w:pPr>
        <w:spacing w:line="360" w:lineRule="auto"/>
        <w:ind w:right="-19"/>
        <w:jc w:val="center"/>
        <w:rPr>
          <w:rFonts w:ascii="宋体" w:hAnsi="宋体" w:cs="Arial"/>
          <w:bCs/>
          <w:sz w:val="24"/>
        </w:rPr>
      </w:pPr>
    </w:p>
    <w:p>
      <w:pPr>
        <w:spacing w:line="360" w:lineRule="auto"/>
        <w:ind w:right="-19"/>
        <w:jc w:val="center"/>
        <w:rPr>
          <w:rFonts w:ascii="宋体" w:hAnsi="宋体" w:cs="Arial"/>
          <w:bCs/>
          <w:sz w:val="24"/>
        </w:rPr>
      </w:pPr>
    </w:p>
    <w:p>
      <w:pPr>
        <w:spacing w:line="360" w:lineRule="auto"/>
        <w:ind w:right="-19"/>
        <w:rPr>
          <w:rFonts w:hint="eastAsia" w:ascii="宋体" w:hAnsi="宋体"/>
          <w:sz w:val="24"/>
          <w:u w:val="single"/>
        </w:rPr>
      </w:pPr>
      <w:r>
        <w:rPr>
          <w:rFonts w:hint="eastAsia" w:ascii="宋体" w:hAnsi="宋体"/>
          <w:sz w:val="24"/>
        </w:rPr>
        <w:t xml:space="preserve">          </w:t>
      </w:r>
    </w:p>
    <w:p>
      <w:pPr>
        <w:spacing w:line="360" w:lineRule="auto"/>
        <w:ind w:right="-19"/>
        <w:jc w:val="center"/>
        <w:rPr>
          <w:rFonts w:ascii="宋体" w:hAnsi="宋体" w:cs="Arial"/>
          <w:bCs/>
          <w:sz w:val="24"/>
        </w:rPr>
      </w:pPr>
    </w:p>
    <w:p>
      <w:pPr>
        <w:spacing w:line="360" w:lineRule="auto"/>
        <w:ind w:right="-19"/>
        <w:jc w:val="center"/>
        <w:rPr>
          <w:rFonts w:hint="eastAsia" w:ascii="宋体" w:hAnsi="宋体" w:cs="Arial"/>
          <w:bCs/>
          <w:sz w:val="24"/>
        </w:rPr>
      </w:pPr>
    </w:p>
    <w:p>
      <w:pPr>
        <w:spacing w:line="360" w:lineRule="auto"/>
        <w:ind w:right="-19"/>
        <w:jc w:val="center"/>
        <w:rPr>
          <w:rFonts w:hint="eastAsia" w:ascii="宋体" w:hAnsi="宋体" w:cs="Arial"/>
          <w:bCs/>
          <w:sz w:val="24"/>
        </w:rPr>
      </w:pPr>
    </w:p>
    <w:p>
      <w:pPr>
        <w:spacing w:line="360" w:lineRule="auto"/>
        <w:ind w:right="-19"/>
        <w:jc w:val="center"/>
        <w:rPr>
          <w:rFonts w:hint="eastAsia" w:ascii="宋体" w:hAnsi="宋体" w:cs="Arial"/>
          <w:bCs/>
          <w:sz w:val="24"/>
        </w:rPr>
      </w:pPr>
    </w:p>
    <w:p>
      <w:pPr>
        <w:spacing w:line="360" w:lineRule="auto"/>
        <w:ind w:right="-19"/>
        <w:jc w:val="center"/>
        <w:rPr>
          <w:rFonts w:hint="eastAsia" w:ascii="宋体" w:hAnsi="宋体" w:cs="Arial"/>
          <w:bCs/>
          <w:sz w:val="24"/>
        </w:rPr>
      </w:pPr>
    </w:p>
    <w:p>
      <w:pPr>
        <w:pStyle w:val="3"/>
        <w:spacing w:line="360" w:lineRule="auto"/>
        <w:ind w:right="-19"/>
        <w:jc w:val="center"/>
        <w:rPr>
          <w:rFonts w:hint="eastAsia" w:hAnsi="宋体"/>
          <w:b w:val="0"/>
          <w:szCs w:val="28"/>
        </w:rPr>
      </w:pPr>
      <w:r>
        <w:rPr>
          <w:rFonts w:hint="eastAsia" w:hAnsi="宋体"/>
          <w:b w:val="0"/>
          <w:szCs w:val="28"/>
          <w:lang w:eastAsia="zh-CN"/>
        </w:rPr>
        <w:t>河池</w:t>
      </w:r>
      <w:r>
        <w:rPr>
          <w:rFonts w:hint="eastAsia" w:hAnsi="宋体"/>
          <w:b w:val="0"/>
          <w:szCs w:val="28"/>
        </w:rPr>
        <w:t>供电局</w:t>
      </w:r>
    </w:p>
    <w:p>
      <w:pPr>
        <w:pStyle w:val="3"/>
        <w:spacing w:line="360" w:lineRule="auto"/>
        <w:ind w:right="-19"/>
        <w:jc w:val="center"/>
        <w:rPr>
          <w:rFonts w:hint="eastAsia" w:hAnsi="宋体"/>
          <w:b w:val="0"/>
          <w:szCs w:val="28"/>
        </w:rPr>
      </w:pPr>
      <w:r>
        <w:rPr>
          <w:rFonts w:hint="eastAsia" w:hAnsi="宋体"/>
          <w:b w:val="0"/>
          <w:szCs w:val="28"/>
        </w:rPr>
        <w:t>20</w:t>
      </w:r>
      <w:r>
        <w:rPr>
          <w:rFonts w:hint="eastAsia" w:hAnsi="宋体"/>
          <w:b w:val="0"/>
          <w:szCs w:val="28"/>
          <w:lang w:val="en-US" w:eastAsia="zh-CN"/>
        </w:rPr>
        <w:t>24</w:t>
      </w:r>
      <w:r>
        <w:rPr>
          <w:rFonts w:hint="eastAsia" w:hAnsi="宋体"/>
          <w:b w:val="0"/>
          <w:szCs w:val="28"/>
        </w:rPr>
        <w:t>年</w:t>
      </w:r>
      <w:r>
        <w:rPr>
          <w:rFonts w:hint="eastAsia" w:hAnsi="宋体"/>
          <w:b w:val="0"/>
          <w:szCs w:val="28"/>
          <w:lang w:val="en-US" w:eastAsia="zh-CN"/>
        </w:rPr>
        <w:t>05</w:t>
      </w:r>
      <w:r>
        <w:rPr>
          <w:rFonts w:hint="eastAsia" w:hAnsi="宋体"/>
          <w:b w:val="0"/>
          <w:szCs w:val="28"/>
        </w:rPr>
        <w:t>月</w:t>
      </w:r>
    </w:p>
    <w:p>
      <w:pPr>
        <w:spacing w:line="360" w:lineRule="auto"/>
        <w:ind w:right="-19"/>
        <w:rPr>
          <w:rFonts w:hint="eastAsia" w:ascii="宋体" w:hAnsi="宋体" w:cs="Arial"/>
          <w:bCs/>
          <w:sz w:val="24"/>
        </w:rPr>
      </w:pPr>
    </w:p>
    <w:p>
      <w:pPr>
        <w:jc w:val="center"/>
        <w:rPr>
          <w:rFonts w:hint="eastAsia"/>
          <w:sz w:val="36"/>
        </w:rPr>
      </w:pPr>
    </w:p>
    <w:p>
      <w:pPr>
        <w:jc w:val="center"/>
        <w:rPr>
          <w:rFonts w:hint="eastAsia"/>
          <w:sz w:val="36"/>
        </w:rPr>
      </w:pPr>
    </w:p>
    <w:p>
      <w:pPr>
        <w:spacing w:line="300" w:lineRule="auto"/>
        <w:ind w:firstLine="3150"/>
        <w:rPr>
          <w:rFonts w:hint="eastAsia" w:ascii="宋体" w:hAnsi="宋体"/>
          <w:sz w:val="30"/>
        </w:rPr>
      </w:pPr>
      <w:r>
        <w:rPr>
          <w:rFonts w:hint="eastAsia" w:ascii="宋体" w:hAnsi="宋体"/>
          <w:sz w:val="30"/>
        </w:rPr>
        <w:t>目             录</w:t>
      </w:r>
    </w:p>
    <w:p>
      <w:pPr>
        <w:spacing w:line="300" w:lineRule="auto"/>
        <w:rPr>
          <w:rFonts w:hint="eastAsia" w:ascii="宋体" w:hAnsi="宋体"/>
          <w:sz w:val="30"/>
        </w:rPr>
      </w:pPr>
    </w:p>
    <w:p>
      <w:pPr>
        <w:spacing w:line="300" w:lineRule="auto"/>
        <w:rPr>
          <w:rFonts w:hint="eastAsia" w:ascii="宋体" w:hAnsi="宋体"/>
          <w:sz w:val="30"/>
        </w:rPr>
      </w:pPr>
    </w:p>
    <w:p>
      <w:pPr>
        <w:numPr>
          <w:ilvl w:val="0"/>
          <w:numId w:val="1"/>
        </w:numPr>
        <w:spacing w:line="300" w:lineRule="auto"/>
        <w:rPr>
          <w:rFonts w:hint="eastAsia" w:ascii="宋体" w:hAnsi="宋体"/>
          <w:sz w:val="30"/>
        </w:rPr>
      </w:pPr>
      <w:r>
        <w:rPr>
          <w:rFonts w:hint="eastAsia" w:ascii="宋体" w:hAnsi="宋体"/>
          <w:sz w:val="30"/>
        </w:rPr>
        <w:t>总则</w:t>
      </w:r>
    </w:p>
    <w:p>
      <w:pPr>
        <w:numPr>
          <w:ilvl w:val="0"/>
          <w:numId w:val="1"/>
        </w:numPr>
        <w:spacing w:line="300" w:lineRule="auto"/>
        <w:rPr>
          <w:rFonts w:hint="eastAsia" w:ascii="宋体" w:hAnsi="宋体"/>
          <w:sz w:val="30"/>
        </w:rPr>
      </w:pPr>
      <w:r>
        <w:rPr>
          <w:rFonts w:hint="eastAsia" w:ascii="宋体" w:hAnsi="宋体"/>
          <w:sz w:val="30"/>
        </w:rPr>
        <w:t>使用环境条件</w:t>
      </w:r>
    </w:p>
    <w:p>
      <w:pPr>
        <w:numPr>
          <w:ilvl w:val="0"/>
          <w:numId w:val="1"/>
        </w:numPr>
        <w:spacing w:line="300" w:lineRule="auto"/>
        <w:rPr>
          <w:rFonts w:hint="eastAsia" w:ascii="宋体" w:hAnsi="宋体"/>
          <w:sz w:val="30"/>
        </w:rPr>
      </w:pPr>
      <w:r>
        <w:rPr>
          <w:rFonts w:hint="eastAsia" w:ascii="宋体" w:hAnsi="宋体"/>
          <w:sz w:val="30"/>
        </w:rPr>
        <w:t>技术参数和性能要求</w:t>
      </w:r>
    </w:p>
    <w:p>
      <w:pPr>
        <w:numPr>
          <w:ilvl w:val="0"/>
          <w:numId w:val="1"/>
        </w:numPr>
        <w:spacing w:line="300" w:lineRule="auto"/>
        <w:rPr>
          <w:rFonts w:hint="eastAsia" w:ascii="宋体" w:hAnsi="宋体"/>
          <w:sz w:val="30"/>
        </w:rPr>
      </w:pPr>
      <w:r>
        <w:rPr>
          <w:rFonts w:hint="eastAsia" w:ascii="宋体" w:hAnsi="宋体"/>
          <w:sz w:val="30"/>
        </w:rPr>
        <w:t>供货范围</w:t>
      </w:r>
    </w:p>
    <w:p>
      <w:pPr>
        <w:numPr>
          <w:ilvl w:val="0"/>
          <w:numId w:val="1"/>
        </w:numPr>
        <w:spacing w:line="300" w:lineRule="auto"/>
        <w:rPr>
          <w:rFonts w:hint="eastAsia" w:ascii="宋体" w:hAnsi="宋体"/>
          <w:sz w:val="30"/>
        </w:rPr>
      </w:pPr>
      <w:r>
        <w:rPr>
          <w:rFonts w:hint="eastAsia" w:ascii="宋体" w:hAnsi="宋体"/>
          <w:sz w:val="30"/>
        </w:rPr>
        <w:t>供方在投标时应提供的资料</w:t>
      </w:r>
    </w:p>
    <w:p>
      <w:pPr>
        <w:numPr>
          <w:ilvl w:val="0"/>
          <w:numId w:val="1"/>
        </w:numPr>
        <w:spacing w:line="300" w:lineRule="auto"/>
        <w:rPr>
          <w:rFonts w:hint="eastAsia" w:ascii="宋体" w:hAnsi="宋体"/>
          <w:sz w:val="30"/>
        </w:rPr>
      </w:pPr>
      <w:r>
        <w:rPr>
          <w:rFonts w:hint="eastAsia" w:ascii="宋体" w:hAnsi="宋体"/>
          <w:sz w:val="30"/>
        </w:rPr>
        <w:t>技术资料和图纸交付进度</w:t>
      </w:r>
    </w:p>
    <w:p>
      <w:pPr>
        <w:numPr>
          <w:ilvl w:val="0"/>
          <w:numId w:val="1"/>
        </w:numPr>
        <w:spacing w:line="300" w:lineRule="auto"/>
        <w:rPr>
          <w:rFonts w:hint="eastAsia" w:ascii="宋体" w:hAnsi="宋体"/>
          <w:sz w:val="30"/>
        </w:rPr>
      </w:pPr>
      <w:r>
        <w:rPr>
          <w:rFonts w:hint="eastAsia" w:ascii="宋体" w:hAnsi="宋体"/>
          <w:sz w:val="30"/>
          <w:lang w:val="zh-CN"/>
        </w:rPr>
        <w:t>包装、贮存和运输</w:t>
      </w:r>
    </w:p>
    <w:p>
      <w:pPr>
        <w:numPr>
          <w:ilvl w:val="0"/>
          <w:numId w:val="1"/>
        </w:numPr>
        <w:spacing w:line="300" w:lineRule="auto"/>
        <w:rPr>
          <w:rFonts w:hint="eastAsia" w:ascii="宋体" w:hAnsi="宋体"/>
          <w:sz w:val="30"/>
        </w:rPr>
      </w:pPr>
      <w:r>
        <w:rPr>
          <w:rFonts w:hint="eastAsia" w:ascii="宋体" w:hAnsi="宋体"/>
          <w:sz w:val="30"/>
        </w:rPr>
        <w:t>技术服务与设计与联络</w:t>
      </w: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420" w:lineRule="exact"/>
        <w:ind w:firstLine="480" w:firstLineChars="200"/>
        <w:rPr>
          <w:rFonts w:hint="eastAsia" w:ascii="宋体" w:hAnsi="宋体"/>
          <w:b/>
          <w:sz w:val="24"/>
        </w:rPr>
      </w:pPr>
      <w:r>
        <w:rPr>
          <w:rFonts w:ascii="宋体" w:hAnsi="宋体"/>
          <w:sz w:val="24"/>
        </w:rPr>
        <w:br w:type="page"/>
      </w:r>
      <w:r>
        <w:rPr>
          <w:rFonts w:ascii="宋体" w:hAnsi="宋体"/>
          <w:b/>
          <w:sz w:val="24"/>
        </w:rPr>
        <w:t>1</w:t>
      </w:r>
      <w:r>
        <w:rPr>
          <w:rFonts w:hint="eastAsia" w:ascii="宋体" w:hAnsi="宋体"/>
          <w:b/>
          <w:sz w:val="24"/>
        </w:rPr>
        <w:t xml:space="preserve"> 总则</w:t>
      </w:r>
    </w:p>
    <w:p>
      <w:pPr>
        <w:spacing w:line="440" w:lineRule="exact"/>
        <w:ind w:firstLine="480" w:firstLineChars="200"/>
        <w:rPr>
          <w:rFonts w:hint="eastAsia" w:ascii="宋体" w:hAnsi="宋体"/>
          <w:sz w:val="24"/>
        </w:rPr>
      </w:pPr>
      <w:r>
        <w:rPr>
          <w:rFonts w:hint="eastAsia" w:ascii="宋体" w:hAnsi="宋体"/>
          <w:sz w:val="24"/>
        </w:rPr>
        <w:t>1.1本设备技术规范书适用于避雷器在线监测仪，它提出了该在线监测仪的功能设计、结构、性能、安装和试验等方面的技术要求。</w:t>
      </w:r>
    </w:p>
    <w:p>
      <w:pPr>
        <w:spacing w:line="440" w:lineRule="exact"/>
        <w:ind w:firstLine="480" w:firstLineChars="200"/>
        <w:rPr>
          <w:rFonts w:hint="eastAsia" w:ascii="宋体" w:hAnsi="宋体"/>
          <w:sz w:val="24"/>
        </w:rPr>
      </w:pPr>
      <w:r>
        <w:rPr>
          <w:rFonts w:hint="eastAsia" w:ascii="宋体" w:hAnsi="宋体"/>
          <w:sz w:val="24"/>
        </w:rPr>
        <w:t>1.2需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line="440" w:lineRule="exact"/>
        <w:ind w:firstLine="480" w:firstLineChars="200"/>
        <w:rPr>
          <w:rFonts w:hint="eastAsia" w:ascii="宋体" w:hAnsi="宋体"/>
          <w:sz w:val="24"/>
        </w:rPr>
      </w:pPr>
      <w:r>
        <w:rPr>
          <w:rFonts w:hint="eastAsia" w:ascii="宋体" w:hAnsi="宋体"/>
          <w:sz w:val="24"/>
        </w:rPr>
        <w:t>1.3如果供方没有以书面形式对本规范书的条款提出异议，则意味着供方提供的设备（或系统）完全满足本规范书的要求。如有异议，不管是多么微小，都应在投标书中以“对规范书的意见和与规范书的差异（表）”为标题的专门章节加以详细描述。本规范书的条款，除了用“宜”字表述的条款外，一律不接受低于本技术规范条款的差异。不允许直接修改本技术规范书的条款而作为供方对本技术规范书的应答。</w:t>
      </w:r>
    </w:p>
    <w:p>
      <w:pPr>
        <w:spacing w:line="440" w:lineRule="exact"/>
        <w:ind w:firstLine="480" w:firstLineChars="200"/>
        <w:rPr>
          <w:rFonts w:ascii="宋体" w:hAnsi="宋体"/>
          <w:sz w:val="24"/>
        </w:rPr>
      </w:pPr>
      <w:r>
        <w:rPr>
          <w:rFonts w:hint="eastAsia" w:ascii="宋体" w:hAnsi="宋体"/>
          <w:sz w:val="24"/>
        </w:rPr>
        <w:t>1.4本设备技术规范书和供方在投标时提出的“对规范书的意见和与规范书的差异（表）”经需、供双方确认后作为订货合同的技术附件，与合同正文具有同等的法律效力。</w:t>
      </w:r>
    </w:p>
    <w:p>
      <w:pPr>
        <w:numPr>
          <w:ilvl w:val="0"/>
          <w:numId w:val="2"/>
        </w:numPr>
        <w:spacing w:line="440" w:lineRule="exact"/>
        <w:rPr>
          <w:rFonts w:hint="eastAsia" w:ascii="仿宋_GB2312" w:eastAsia="仿宋_GB2312"/>
          <w:sz w:val="28"/>
        </w:rPr>
      </w:pPr>
      <w:r>
        <w:rPr>
          <w:rFonts w:hint="eastAsia" w:ascii="宋体" w:hAnsi="宋体"/>
          <w:sz w:val="24"/>
        </w:rPr>
        <w:t>5供方须执行现行国家标准和行业标准。应遵循的主要现行标准如下：</w:t>
      </w:r>
      <w:r>
        <w:rPr>
          <w:rFonts w:hint="eastAsia" w:ascii="仿宋_GB2312" w:eastAsia="仿宋_GB2312"/>
          <w:sz w:val="28"/>
        </w:rPr>
        <w:t xml:space="preserve"> </w:t>
      </w:r>
    </w:p>
    <w:p>
      <w:pPr>
        <w:autoSpaceDE w:val="0"/>
        <w:autoSpaceDN w:val="0"/>
        <w:adjustRightInd w:val="0"/>
        <w:spacing w:line="420" w:lineRule="exact"/>
        <w:ind w:firstLine="420"/>
        <w:rPr>
          <w:rFonts w:hint="eastAsia" w:ascii="宋体" w:hAnsi="宋体"/>
          <w:sz w:val="24"/>
        </w:rPr>
      </w:pPr>
      <w:r>
        <w:rPr>
          <w:rFonts w:hint="eastAsia" w:ascii="宋体" w:hAnsi="宋体"/>
          <w:sz w:val="24"/>
        </w:rPr>
        <w:t>JB 2440-1991        避雷器用放电监测仪</w:t>
      </w:r>
    </w:p>
    <w:p>
      <w:pPr>
        <w:autoSpaceDE w:val="0"/>
        <w:autoSpaceDN w:val="0"/>
        <w:adjustRightInd w:val="0"/>
        <w:spacing w:line="420" w:lineRule="exact"/>
        <w:ind w:firstLine="420"/>
        <w:rPr>
          <w:rFonts w:hint="eastAsia" w:ascii="宋体" w:hAnsi="宋体"/>
          <w:sz w:val="24"/>
        </w:rPr>
      </w:pPr>
      <w:r>
        <w:rPr>
          <w:rFonts w:ascii="宋体" w:hAnsi="宋体"/>
          <w:sz w:val="24"/>
        </w:rPr>
        <w:t xml:space="preserve">JB/T 10492-2004 </w:t>
      </w:r>
      <w:r>
        <w:rPr>
          <w:rFonts w:hint="eastAsia" w:ascii="宋体" w:hAnsi="宋体"/>
          <w:sz w:val="24"/>
        </w:rPr>
        <w:t xml:space="preserve">    </w:t>
      </w:r>
      <w:r>
        <w:rPr>
          <w:rFonts w:ascii="宋体" w:hAnsi="宋体"/>
          <w:sz w:val="24"/>
        </w:rPr>
        <w:t>交流无间隙金属氧化物避雷器用监测器</w:t>
      </w:r>
    </w:p>
    <w:p>
      <w:pPr>
        <w:spacing w:line="420" w:lineRule="exact"/>
        <w:ind w:firstLine="472" w:firstLineChars="200"/>
        <w:rPr>
          <w:rFonts w:hint="eastAsia" w:ascii="宋体" w:hAnsi="宋体"/>
          <w:spacing w:val="-2"/>
          <w:sz w:val="24"/>
        </w:rPr>
      </w:pPr>
      <w:r>
        <w:rPr>
          <w:rFonts w:hint="eastAsia" w:ascii="宋体" w:hAnsi="宋体"/>
          <w:spacing w:val="-2"/>
          <w:sz w:val="24"/>
        </w:rPr>
        <w:t>上述标准所包含的条文，通过在本技术规范中引用而构成为本技术规范的条文。本技术规范出版时，所列标准版本均为有效。所有标准都会被修订，供需双方应探讨使用上述标准最新版本的可能性。标准之间有矛盾时，按技术要求较高的标准执行。</w:t>
      </w:r>
    </w:p>
    <w:p>
      <w:pPr>
        <w:spacing w:line="420" w:lineRule="exact"/>
        <w:ind w:firstLine="482"/>
        <w:rPr>
          <w:rFonts w:hint="eastAsia" w:ascii="宋体" w:hAnsi="宋体"/>
          <w:sz w:val="24"/>
        </w:rPr>
      </w:pPr>
      <w:r>
        <w:rPr>
          <w:rFonts w:hint="eastAsia" w:ascii="宋体" w:hAnsi="宋体"/>
          <w:sz w:val="24"/>
        </w:rPr>
        <w:t>1.6本设备技术规范书未尽事宜，由需供双方协商确定。</w:t>
      </w:r>
    </w:p>
    <w:p>
      <w:pPr>
        <w:spacing w:line="420" w:lineRule="exact"/>
        <w:ind w:firstLine="482" w:firstLineChars="200"/>
        <w:rPr>
          <w:rFonts w:hint="eastAsia" w:ascii="宋体" w:hAnsi="宋体"/>
          <w:sz w:val="24"/>
        </w:rPr>
      </w:pPr>
      <w:r>
        <w:rPr>
          <w:rFonts w:ascii="宋体" w:hAnsi="宋体"/>
          <w:b/>
          <w:sz w:val="24"/>
        </w:rPr>
        <w:t>2</w:t>
      </w:r>
      <w:r>
        <w:rPr>
          <w:rFonts w:hint="eastAsia" w:ascii="宋体" w:hAnsi="宋体"/>
          <w:b/>
          <w:sz w:val="24"/>
        </w:rPr>
        <w:t xml:space="preserve"> 使用环境条件</w:t>
      </w:r>
      <w:r>
        <w:rPr>
          <w:rFonts w:hint="eastAsia" w:ascii="宋体" w:hAnsi="宋体"/>
          <w:sz w:val="24"/>
        </w:rPr>
        <w:t>。</w:t>
      </w:r>
    </w:p>
    <w:p>
      <w:pPr>
        <w:spacing w:line="420" w:lineRule="exact"/>
        <w:ind w:firstLine="427"/>
        <w:rPr>
          <w:rFonts w:hint="eastAsia" w:ascii="宋体" w:hAnsi="宋体"/>
          <w:sz w:val="24"/>
        </w:rPr>
      </w:pPr>
      <w:r>
        <w:rPr>
          <w:rFonts w:ascii="宋体" w:hAnsi="宋体"/>
          <w:sz w:val="24"/>
        </w:rPr>
        <w:t>2.1</w:t>
      </w:r>
      <w:r>
        <w:rPr>
          <w:rFonts w:hint="eastAsia" w:ascii="宋体" w:hAnsi="宋体"/>
          <w:sz w:val="24"/>
        </w:rPr>
        <w:t>周围空气温度</w:t>
      </w:r>
    </w:p>
    <w:p>
      <w:pPr>
        <w:spacing w:line="420" w:lineRule="exact"/>
        <w:rPr>
          <w:rFonts w:hint="eastAsia" w:ascii="宋体" w:hAnsi="宋体"/>
          <w:sz w:val="24"/>
        </w:rPr>
      </w:pPr>
      <w:r>
        <w:rPr>
          <w:rFonts w:hint="eastAsia" w:ascii="宋体" w:hAnsi="宋体"/>
          <w:sz w:val="24"/>
        </w:rPr>
        <w:t xml:space="preserve">    最高温度：+45℃；</w:t>
      </w:r>
      <w:bookmarkStart w:id="7" w:name="_GoBack"/>
      <w:bookmarkEnd w:id="7"/>
    </w:p>
    <w:p>
      <w:pPr>
        <w:spacing w:line="420" w:lineRule="exact"/>
        <w:ind w:firstLine="480" w:firstLineChars="200"/>
        <w:rPr>
          <w:rFonts w:hint="eastAsia" w:ascii="宋体" w:hAnsi="宋体"/>
          <w:sz w:val="24"/>
        </w:rPr>
      </w:pPr>
      <w:r>
        <w:rPr>
          <w:rFonts w:hint="eastAsia" w:ascii="宋体" w:hAnsi="宋体"/>
          <w:sz w:val="24"/>
        </w:rPr>
        <w:t>最低温度：-10℃；</w:t>
      </w:r>
    </w:p>
    <w:p>
      <w:pPr>
        <w:spacing w:line="420" w:lineRule="exact"/>
        <w:ind w:firstLine="480" w:firstLineChars="200"/>
        <w:rPr>
          <w:rFonts w:hint="eastAsia" w:ascii="宋体" w:hAnsi="宋体"/>
          <w:sz w:val="24"/>
        </w:rPr>
      </w:pPr>
      <w:r>
        <w:rPr>
          <w:rFonts w:hint="eastAsia" w:ascii="宋体" w:hAnsi="宋体"/>
          <w:sz w:val="24"/>
        </w:rPr>
        <w:t>最大日温差：25K</w:t>
      </w:r>
    </w:p>
    <w:p>
      <w:pPr>
        <w:spacing w:line="420" w:lineRule="exact"/>
        <w:ind w:firstLine="427"/>
        <w:rPr>
          <w:rFonts w:hint="eastAsia" w:ascii="宋体" w:hAnsi="宋体"/>
          <w:sz w:val="24"/>
        </w:rPr>
      </w:pPr>
      <w:r>
        <w:rPr>
          <w:rFonts w:ascii="宋体" w:hAnsi="宋体"/>
          <w:sz w:val="24"/>
        </w:rPr>
        <w:t>2.2</w:t>
      </w:r>
      <w:r>
        <w:rPr>
          <w:rFonts w:hint="eastAsia" w:ascii="宋体" w:hAnsi="宋体"/>
          <w:sz w:val="24"/>
        </w:rPr>
        <w:t>海拔高度海   ≤</w:t>
      </w:r>
      <w:r>
        <w:rPr>
          <w:rFonts w:ascii="宋体" w:hAnsi="宋体"/>
          <w:sz w:val="24"/>
        </w:rPr>
        <w:t>1000</w:t>
      </w:r>
      <w:r>
        <w:rPr>
          <w:rFonts w:hint="eastAsia" w:ascii="宋体" w:hAnsi="宋体"/>
          <w:sz w:val="24"/>
        </w:rPr>
        <w:t xml:space="preserve">m    </w:t>
      </w:r>
    </w:p>
    <w:p>
      <w:pPr>
        <w:spacing w:line="420" w:lineRule="exact"/>
        <w:ind w:firstLine="427"/>
        <w:rPr>
          <w:rFonts w:hint="eastAsia" w:ascii="宋体" w:hAnsi="宋体"/>
          <w:sz w:val="24"/>
        </w:rPr>
      </w:pPr>
      <w:r>
        <w:rPr>
          <w:rFonts w:ascii="宋体" w:hAnsi="宋体"/>
          <w:sz w:val="24"/>
        </w:rPr>
        <w:t>2.3</w:t>
      </w:r>
      <w:r>
        <w:rPr>
          <w:rFonts w:hint="eastAsia" w:ascii="宋体" w:hAnsi="宋体"/>
          <w:sz w:val="24"/>
        </w:rPr>
        <w:t>最大风速    35m/s（离地面高10</w:t>
      </w:r>
      <w:r>
        <w:rPr>
          <w:rFonts w:ascii="宋体" w:hAnsi="宋体"/>
          <w:sz w:val="24"/>
        </w:rPr>
        <w:t>m</w:t>
      </w:r>
      <w:r>
        <w:rPr>
          <w:rFonts w:hint="eastAsia" w:ascii="宋体" w:hAnsi="宋体"/>
          <w:sz w:val="24"/>
        </w:rPr>
        <w:t>处持续10</w:t>
      </w:r>
      <w:r>
        <w:rPr>
          <w:rFonts w:ascii="宋体" w:hAnsi="宋体"/>
          <w:sz w:val="24"/>
        </w:rPr>
        <w:t>min</w:t>
      </w:r>
      <w:r>
        <w:rPr>
          <w:rFonts w:hint="eastAsia" w:ascii="宋体" w:hAnsi="宋体"/>
          <w:sz w:val="24"/>
        </w:rPr>
        <w:t>的平均最大风速）</w:t>
      </w:r>
    </w:p>
    <w:p>
      <w:pPr>
        <w:spacing w:line="420" w:lineRule="exact"/>
        <w:ind w:firstLine="427"/>
        <w:rPr>
          <w:rFonts w:hint="eastAsia" w:ascii="宋体" w:hAnsi="宋体"/>
          <w:sz w:val="24"/>
        </w:rPr>
      </w:pPr>
      <w:r>
        <w:rPr>
          <w:rFonts w:ascii="宋体" w:hAnsi="宋体"/>
          <w:sz w:val="24"/>
        </w:rPr>
        <w:t>2.4</w:t>
      </w:r>
      <w:r>
        <w:rPr>
          <w:rFonts w:hint="eastAsia" w:ascii="宋体" w:hAnsi="宋体"/>
          <w:sz w:val="24"/>
        </w:rPr>
        <w:t>环境湿度：</w:t>
      </w:r>
    </w:p>
    <w:p>
      <w:pPr>
        <w:spacing w:line="420" w:lineRule="exact"/>
        <w:ind w:firstLine="427"/>
        <w:rPr>
          <w:rFonts w:hint="eastAsia" w:ascii="宋体" w:hAnsi="宋体"/>
          <w:sz w:val="24"/>
        </w:rPr>
      </w:pPr>
      <w:r>
        <w:rPr>
          <w:rFonts w:hint="eastAsia" w:ascii="宋体" w:hAnsi="宋体"/>
          <w:sz w:val="24"/>
        </w:rPr>
        <w:t>月平均相对湿度不大于90%；</w:t>
      </w:r>
    </w:p>
    <w:p>
      <w:pPr>
        <w:spacing w:line="420" w:lineRule="exact"/>
        <w:ind w:firstLine="427"/>
        <w:rPr>
          <w:rFonts w:hint="eastAsia" w:ascii="宋体" w:hAnsi="宋体"/>
          <w:sz w:val="24"/>
        </w:rPr>
      </w:pPr>
      <w:r>
        <w:rPr>
          <w:rFonts w:hint="eastAsia" w:ascii="宋体" w:hAnsi="宋体"/>
          <w:sz w:val="24"/>
        </w:rPr>
        <w:t>日平均相对湿度不大于95%</w:t>
      </w:r>
    </w:p>
    <w:p>
      <w:pPr>
        <w:pStyle w:val="2"/>
        <w:adjustRightInd w:val="0"/>
        <w:snapToGrid w:val="0"/>
        <w:spacing w:line="420" w:lineRule="exact"/>
        <w:ind w:firstLine="480" w:firstLineChars="200"/>
        <w:rPr>
          <w:rFonts w:hAnsi="宋体"/>
          <w:sz w:val="24"/>
        </w:rPr>
      </w:pPr>
      <w:r>
        <w:rPr>
          <w:rFonts w:hAnsi="宋体"/>
          <w:sz w:val="24"/>
        </w:rPr>
        <w:t>2.5</w:t>
      </w:r>
      <w:r>
        <w:rPr>
          <w:rFonts w:hint="eastAsia" w:hAnsi="宋体"/>
          <w:sz w:val="24"/>
        </w:rPr>
        <w:t>地震烈度    8度</w:t>
      </w:r>
      <w:r>
        <w:rPr>
          <w:rFonts w:hint="eastAsia" w:hAnsi="宋体"/>
          <w:sz w:val="24"/>
        </w:rPr>
        <w:br w:type="textWrapping"/>
      </w:r>
      <w:r>
        <w:rPr>
          <w:rFonts w:hint="eastAsia" w:hAnsi="宋体"/>
          <w:sz w:val="24"/>
        </w:rPr>
        <w:t xml:space="preserve">    </w:t>
      </w:r>
      <w:r>
        <w:rPr>
          <w:rFonts w:hAnsi="宋体"/>
          <w:sz w:val="24"/>
        </w:rPr>
        <w:t>地面水平加速度  0.25g；</w:t>
      </w:r>
    </w:p>
    <w:p>
      <w:pPr>
        <w:spacing w:line="420" w:lineRule="exact"/>
        <w:ind w:firstLine="480" w:firstLineChars="200"/>
        <w:rPr>
          <w:rFonts w:hint="eastAsia" w:ascii="宋体" w:hAnsi="宋体"/>
          <w:sz w:val="24"/>
        </w:rPr>
      </w:pPr>
      <w:r>
        <w:rPr>
          <w:rFonts w:ascii="宋体" w:hAnsi="宋体"/>
          <w:sz w:val="24"/>
        </w:rPr>
        <w:t>地面垂直加速度  0.125g。</w:t>
      </w:r>
    </w:p>
    <w:p>
      <w:pPr>
        <w:spacing w:line="420" w:lineRule="exact"/>
        <w:ind w:firstLine="427"/>
        <w:rPr>
          <w:rFonts w:hint="eastAsia" w:ascii="宋体" w:hAnsi="宋体"/>
          <w:sz w:val="24"/>
        </w:rPr>
      </w:pPr>
      <w:r>
        <w:rPr>
          <w:rFonts w:ascii="宋体" w:hAnsi="宋体"/>
          <w:sz w:val="24"/>
        </w:rPr>
        <w:t>按IEC61166进行试验，地震波为正弦波持续时间三个周波，安全系数1.67。</w:t>
      </w:r>
    </w:p>
    <w:p>
      <w:pPr>
        <w:spacing w:line="420" w:lineRule="exact"/>
        <w:ind w:firstLine="480" w:firstLineChars="200"/>
        <w:rPr>
          <w:rFonts w:hint="eastAsia" w:ascii="宋体" w:hAnsi="宋体"/>
          <w:sz w:val="24"/>
        </w:rPr>
      </w:pPr>
      <w:r>
        <w:rPr>
          <w:rFonts w:ascii="宋体" w:hAnsi="宋体"/>
          <w:sz w:val="24"/>
        </w:rPr>
        <w:t>2.6</w:t>
      </w:r>
      <w:r>
        <w:rPr>
          <w:rFonts w:hint="eastAsia" w:ascii="宋体" w:hAnsi="宋体"/>
          <w:sz w:val="24"/>
        </w:rPr>
        <w:t xml:space="preserve">雷暴日：    </w:t>
      </w:r>
      <w:r>
        <w:rPr>
          <w:rFonts w:ascii="宋体" w:hAnsi="宋体"/>
          <w:sz w:val="24"/>
        </w:rPr>
        <w:t>≤</w:t>
      </w:r>
      <w:r>
        <w:rPr>
          <w:rFonts w:hint="eastAsia" w:ascii="宋体" w:hAnsi="宋体"/>
          <w:sz w:val="24"/>
        </w:rPr>
        <w:t>130日/年（除特别注明外）</w:t>
      </w:r>
    </w:p>
    <w:p>
      <w:pPr>
        <w:pStyle w:val="2"/>
        <w:spacing w:line="420" w:lineRule="exact"/>
        <w:ind w:firstLine="480" w:firstLineChars="200"/>
        <w:rPr>
          <w:rFonts w:hint="eastAsia" w:hAnsi="宋体"/>
          <w:sz w:val="24"/>
        </w:rPr>
      </w:pPr>
      <w:r>
        <w:rPr>
          <w:rFonts w:hint="eastAsia" w:hAnsi="宋体"/>
          <w:sz w:val="24"/>
        </w:rPr>
        <w:t>2.7日照强度：  0.1W/cm</w:t>
      </w:r>
      <w:r>
        <w:rPr>
          <w:rFonts w:hint="eastAsia" w:hAnsi="宋体"/>
          <w:sz w:val="24"/>
          <w:vertAlign w:val="superscript"/>
        </w:rPr>
        <w:t>2</w:t>
      </w:r>
      <w:r>
        <w:rPr>
          <w:rFonts w:hint="eastAsia" w:hAnsi="宋体"/>
          <w:sz w:val="24"/>
        </w:rPr>
        <w:t>（风速0</w:t>
      </w:r>
      <w:r>
        <w:rPr>
          <w:rFonts w:hAnsi="宋体"/>
          <w:sz w:val="24"/>
        </w:rPr>
        <w:t>.5m/s</w:t>
      </w:r>
      <w:r>
        <w:rPr>
          <w:rFonts w:hint="eastAsia" w:hAnsi="宋体"/>
          <w:sz w:val="24"/>
        </w:rPr>
        <w:t>）</w:t>
      </w:r>
    </w:p>
    <w:p>
      <w:pPr>
        <w:pStyle w:val="2"/>
        <w:spacing w:line="420" w:lineRule="exact"/>
        <w:ind w:firstLine="480" w:firstLineChars="200"/>
        <w:rPr>
          <w:rFonts w:hint="eastAsia" w:hAnsi="宋体"/>
          <w:sz w:val="24"/>
        </w:rPr>
      </w:pPr>
      <w:r>
        <w:rPr>
          <w:rFonts w:hint="eastAsia" w:hAnsi="宋体"/>
          <w:sz w:val="24"/>
        </w:rPr>
        <w:t>2.8覆冰厚度：   5mm</w:t>
      </w:r>
    </w:p>
    <w:p>
      <w:pPr>
        <w:pStyle w:val="2"/>
        <w:spacing w:line="420" w:lineRule="exact"/>
        <w:ind w:firstLine="480" w:firstLineChars="200"/>
        <w:rPr>
          <w:rFonts w:hint="eastAsia" w:hAnsi="宋体"/>
          <w:sz w:val="24"/>
        </w:rPr>
      </w:pPr>
      <w:r>
        <w:rPr>
          <w:rFonts w:hint="eastAsia" w:hAnsi="宋体"/>
          <w:sz w:val="24"/>
        </w:rPr>
        <w:t>2.9电源频率：</w:t>
      </w:r>
      <w:r>
        <w:rPr>
          <w:rFonts w:hAnsi="宋体"/>
          <w:sz w:val="24"/>
        </w:rPr>
        <w:t>≤</w:t>
      </w:r>
      <w:r>
        <w:rPr>
          <w:rFonts w:hint="eastAsia" w:hAnsi="宋体"/>
          <w:sz w:val="24"/>
        </w:rPr>
        <w:t>62Hz，</w:t>
      </w:r>
      <w:r>
        <w:rPr>
          <w:rFonts w:hAnsi="宋体"/>
          <w:sz w:val="24"/>
        </w:rPr>
        <w:t>≥</w:t>
      </w:r>
      <w:r>
        <w:rPr>
          <w:rFonts w:hint="eastAsia" w:hAnsi="宋体"/>
          <w:sz w:val="24"/>
        </w:rPr>
        <w:t>48；额定50 Hz</w:t>
      </w:r>
    </w:p>
    <w:p>
      <w:pPr>
        <w:pStyle w:val="2"/>
        <w:spacing w:line="420" w:lineRule="exact"/>
        <w:ind w:firstLine="480" w:firstLineChars="200"/>
        <w:rPr>
          <w:rFonts w:hint="eastAsia" w:hAnsi="宋体"/>
          <w:sz w:val="24"/>
        </w:rPr>
      </w:pPr>
      <w:r>
        <w:rPr>
          <w:rFonts w:hint="eastAsia" w:hAnsi="宋体"/>
          <w:sz w:val="24"/>
        </w:rPr>
        <w:t>2.10工作电压：长期工作电压不超过持续运行电压。</w:t>
      </w:r>
    </w:p>
    <w:p>
      <w:pPr>
        <w:spacing w:line="420" w:lineRule="exact"/>
        <w:ind w:firstLine="480" w:firstLineChars="200"/>
        <w:rPr>
          <w:rFonts w:ascii="宋体" w:hAnsi="宋体"/>
          <w:sz w:val="24"/>
        </w:rPr>
      </w:pPr>
      <w:r>
        <w:rPr>
          <w:rFonts w:ascii="宋体" w:hAnsi="宋体"/>
          <w:sz w:val="24"/>
        </w:rPr>
        <w:t>2.</w:t>
      </w:r>
      <w:r>
        <w:rPr>
          <w:rFonts w:hint="eastAsia" w:ascii="宋体" w:hAnsi="宋体"/>
          <w:sz w:val="24"/>
        </w:rPr>
        <w:t>11大气条件：大气中无严重侵蚀性和爆炸性介质。</w:t>
      </w:r>
    </w:p>
    <w:p>
      <w:pPr>
        <w:pStyle w:val="2"/>
        <w:spacing w:line="420" w:lineRule="exact"/>
        <w:ind w:firstLine="480" w:firstLineChars="200"/>
        <w:rPr>
          <w:rFonts w:hint="eastAsia" w:hAnsi="宋体"/>
          <w:sz w:val="24"/>
        </w:rPr>
      </w:pPr>
      <w:r>
        <w:rPr>
          <w:rFonts w:hAnsi="宋体"/>
          <w:sz w:val="24"/>
        </w:rPr>
        <w:t>2.</w:t>
      </w:r>
      <w:r>
        <w:rPr>
          <w:rFonts w:hint="eastAsia" w:hAnsi="宋体"/>
          <w:sz w:val="24"/>
        </w:rPr>
        <w:t>12系统的接地方式：110kV系统为中性点有效接地,10 kV系统为中性点非有效接地。</w:t>
      </w:r>
    </w:p>
    <w:p>
      <w:pPr>
        <w:pStyle w:val="2"/>
        <w:spacing w:line="420" w:lineRule="exact"/>
        <w:ind w:firstLine="480" w:firstLineChars="200"/>
        <w:rPr>
          <w:rFonts w:hint="eastAsia" w:hAnsi="宋体"/>
          <w:sz w:val="24"/>
        </w:rPr>
      </w:pPr>
      <w:r>
        <w:rPr>
          <w:rFonts w:hint="eastAsia" w:hAnsi="宋体"/>
          <w:sz w:val="24"/>
        </w:rPr>
        <w:t>2.13 污秽条件：Ⅳ级及以下污秽等级。</w:t>
      </w:r>
    </w:p>
    <w:p>
      <w:pPr>
        <w:spacing w:line="420" w:lineRule="exact"/>
        <w:ind w:firstLine="482" w:firstLineChars="200"/>
        <w:rPr>
          <w:rFonts w:hint="eastAsia" w:ascii="宋体" w:hAnsi="宋体"/>
          <w:b/>
          <w:sz w:val="24"/>
        </w:rPr>
      </w:pPr>
      <w:r>
        <w:rPr>
          <w:rFonts w:ascii="宋体" w:hAnsi="宋体"/>
          <w:b/>
          <w:sz w:val="24"/>
        </w:rPr>
        <w:t>3</w:t>
      </w:r>
      <w:r>
        <w:rPr>
          <w:rFonts w:hint="eastAsia" w:ascii="宋体" w:hAnsi="宋体"/>
          <w:b/>
          <w:sz w:val="24"/>
        </w:rPr>
        <w:t xml:space="preserve"> 技术参数和性能要求</w:t>
      </w:r>
    </w:p>
    <w:p>
      <w:pPr>
        <w:autoSpaceDE w:val="0"/>
        <w:autoSpaceDN w:val="0"/>
        <w:adjustRightInd w:val="0"/>
        <w:spacing w:line="420" w:lineRule="exact"/>
        <w:ind w:firstLine="360" w:firstLineChars="150"/>
        <w:jc w:val="left"/>
        <w:rPr>
          <w:rFonts w:hint="eastAsia" w:ascii="宋体" w:hAnsi="宋体"/>
          <w:kern w:val="0"/>
          <w:sz w:val="24"/>
        </w:rPr>
      </w:pPr>
      <w:r>
        <w:rPr>
          <w:rFonts w:hint="eastAsia" w:ascii="宋体" w:hAnsi="宋体"/>
          <w:kern w:val="0"/>
          <w:sz w:val="24"/>
        </w:rPr>
        <w:t xml:space="preserve"> (1) 监测仪应按照规定程序批准的图样和工艺文件进行制造。</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(2) 监测仪的指示应清晰，便于观察。</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(3) 当标称电流流过监测仪时，监测仪两端的残压应不大于3kV（峰值）。</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(4) 监测仪在下表规定的上限（标称放电电流）、下限电流幅值范围内，以及连续两次冲击时间间隔为1s的情况下应能可靠动作。</w:t>
      </w:r>
    </w:p>
    <w:p>
      <w:pPr>
        <w:autoSpaceDE w:val="0"/>
        <w:autoSpaceDN w:val="0"/>
        <w:adjustRightInd w:val="0"/>
        <w:spacing w:line="420" w:lineRule="exact"/>
        <w:ind w:firstLine="1440" w:firstLineChars="600"/>
        <w:jc w:val="left"/>
        <w:rPr>
          <w:rFonts w:ascii="宋体" w:hAnsi="宋体"/>
          <w:sz w:val="24"/>
        </w:rPr>
      </w:pPr>
      <w:r>
        <w:rPr>
          <w:rFonts w:hint="eastAsia" w:ascii="宋体" w:hAnsi="宋体"/>
          <w:sz w:val="24"/>
        </w:rPr>
        <w:t>表                监测仪特性参数等级</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728"/>
        <w:gridCol w:w="1728"/>
        <w:gridCol w:w="2088"/>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90" w:type="dxa"/>
            <w:noWrap w:val="0"/>
            <w:vAlign w:val="center"/>
          </w:tcPr>
          <w:p>
            <w:pPr>
              <w:pStyle w:val="5"/>
              <w:pBdr>
                <w:bottom w:val="none" w:color="auto" w:sz="0" w:space="0"/>
              </w:pBdr>
              <w:tabs>
                <w:tab w:val="clear" w:pos="4153"/>
                <w:tab w:val="clear" w:pos="8306"/>
              </w:tabs>
              <w:autoSpaceDE w:val="0"/>
              <w:autoSpaceDN w:val="0"/>
              <w:adjustRightInd w:val="0"/>
              <w:snapToGrid/>
              <w:spacing w:line="420" w:lineRule="exact"/>
              <w:rPr>
                <w:rFonts w:hint="eastAsia" w:ascii="宋体" w:hAnsi="宋体"/>
                <w:kern w:val="0"/>
                <w:sz w:val="24"/>
              </w:rPr>
            </w:pPr>
            <w:r>
              <w:rPr>
                <w:rFonts w:hint="eastAsia" w:ascii="宋体" w:hAnsi="宋体"/>
                <w:kern w:val="0"/>
                <w:sz w:val="24"/>
              </w:rPr>
              <w:t>监测仪类别</w:t>
            </w:r>
          </w:p>
        </w:tc>
        <w:tc>
          <w:tcPr>
            <w:tcW w:w="172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上限动作电流</w:t>
            </w:r>
          </w:p>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kA（峰值）</w:t>
            </w:r>
          </w:p>
        </w:tc>
        <w:tc>
          <w:tcPr>
            <w:tcW w:w="172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下限动作电流</w:t>
            </w:r>
          </w:p>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A（峰值）</w:t>
            </w:r>
          </w:p>
        </w:tc>
        <w:tc>
          <w:tcPr>
            <w:tcW w:w="20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2000μs方波电流</w:t>
            </w:r>
          </w:p>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A（峰值）</w:t>
            </w:r>
          </w:p>
        </w:tc>
        <w:tc>
          <w:tcPr>
            <w:tcW w:w="14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冲击大电流</w:t>
            </w:r>
          </w:p>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kA（峰值）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1490" w:type="dxa"/>
            <w:vMerge w:val="restart"/>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配用于金属氧化物避雷器</w:t>
            </w:r>
          </w:p>
        </w:tc>
        <w:tc>
          <w:tcPr>
            <w:tcW w:w="172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5</w:t>
            </w:r>
          </w:p>
        </w:tc>
        <w:tc>
          <w:tcPr>
            <w:tcW w:w="1728" w:type="dxa"/>
            <w:vMerge w:val="restart"/>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80</w:t>
            </w:r>
          </w:p>
        </w:tc>
        <w:tc>
          <w:tcPr>
            <w:tcW w:w="2088" w:type="dxa"/>
            <w:noWrap w:val="0"/>
            <w:vAlign w:val="center"/>
          </w:tcPr>
          <w:p>
            <w:pPr>
              <w:autoSpaceDE w:val="0"/>
              <w:autoSpaceDN w:val="0"/>
              <w:adjustRightInd w:val="0"/>
              <w:spacing w:line="420" w:lineRule="exact"/>
              <w:jc w:val="center"/>
              <w:rPr>
                <w:rFonts w:hint="default" w:ascii="宋体" w:hAnsi="宋体" w:eastAsia="宋体"/>
                <w:kern w:val="0"/>
                <w:sz w:val="24"/>
                <w:lang w:val="en-US" w:eastAsia="zh-CN"/>
              </w:rPr>
            </w:pPr>
            <w:r>
              <w:rPr>
                <w:rFonts w:hint="eastAsia" w:ascii="宋体" w:hAnsi="宋体"/>
                <w:kern w:val="0"/>
                <w:sz w:val="24"/>
                <w:lang w:val="en-US" w:eastAsia="zh-CN"/>
              </w:rPr>
              <w:t>800,600,400</w:t>
            </w:r>
          </w:p>
        </w:tc>
        <w:tc>
          <w:tcPr>
            <w:tcW w:w="14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1490" w:type="dxa"/>
            <w:vMerge w:val="continue"/>
            <w:noWrap w:val="0"/>
            <w:vAlign w:val="center"/>
          </w:tcPr>
          <w:p>
            <w:pPr>
              <w:autoSpaceDE w:val="0"/>
              <w:autoSpaceDN w:val="0"/>
              <w:adjustRightInd w:val="0"/>
              <w:spacing w:line="420" w:lineRule="exact"/>
              <w:jc w:val="center"/>
              <w:rPr>
                <w:rFonts w:hint="eastAsia" w:ascii="宋体" w:hAnsi="宋体"/>
                <w:kern w:val="0"/>
                <w:sz w:val="24"/>
              </w:rPr>
            </w:pPr>
          </w:p>
        </w:tc>
        <w:tc>
          <w:tcPr>
            <w:tcW w:w="172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10</w:t>
            </w:r>
          </w:p>
        </w:tc>
        <w:tc>
          <w:tcPr>
            <w:tcW w:w="1728" w:type="dxa"/>
            <w:vMerge w:val="continue"/>
            <w:noWrap w:val="0"/>
            <w:vAlign w:val="center"/>
          </w:tcPr>
          <w:p>
            <w:pPr>
              <w:autoSpaceDE w:val="0"/>
              <w:autoSpaceDN w:val="0"/>
              <w:adjustRightInd w:val="0"/>
              <w:spacing w:line="420" w:lineRule="exact"/>
              <w:jc w:val="center"/>
              <w:rPr>
                <w:rFonts w:hint="eastAsia" w:ascii="宋体" w:hAnsi="宋体"/>
                <w:kern w:val="0"/>
                <w:sz w:val="24"/>
              </w:rPr>
            </w:pPr>
          </w:p>
        </w:tc>
        <w:tc>
          <w:tcPr>
            <w:tcW w:w="20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400，600，1000，1200</w:t>
            </w:r>
          </w:p>
        </w:tc>
        <w:tc>
          <w:tcPr>
            <w:tcW w:w="14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1490" w:type="dxa"/>
            <w:vMerge w:val="continue"/>
            <w:noWrap w:val="0"/>
            <w:vAlign w:val="center"/>
          </w:tcPr>
          <w:p>
            <w:pPr>
              <w:autoSpaceDE w:val="0"/>
              <w:autoSpaceDN w:val="0"/>
              <w:adjustRightInd w:val="0"/>
              <w:spacing w:line="420" w:lineRule="exact"/>
              <w:jc w:val="center"/>
              <w:rPr>
                <w:rFonts w:hint="eastAsia" w:ascii="宋体" w:hAnsi="宋体"/>
                <w:kern w:val="0"/>
                <w:sz w:val="24"/>
              </w:rPr>
            </w:pPr>
          </w:p>
        </w:tc>
        <w:tc>
          <w:tcPr>
            <w:tcW w:w="172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20</w:t>
            </w:r>
          </w:p>
        </w:tc>
        <w:tc>
          <w:tcPr>
            <w:tcW w:w="1728" w:type="dxa"/>
            <w:vMerge w:val="continue"/>
            <w:noWrap w:val="0"/>
            <w:vAlign w:val="center"/>
          </w:tcPr>
          <w:p>
            <w:pPr>
              <w:autoSpaceDE w:val="0"/>
              <w:autoSpaceDN w:val="0"/>
              <w:adjustRightInd w:val="0"/>
              <w:spacing w:line="420" w:lineRule="exact"/>
              <w:jc w:val="center"/>
              <w:rPr>
                <w:rFonts w:hint="eastAsia" w:ascii="宋体" w:hAnsi="宋体"/>
                <w:kern w:val="0"/>
                <w:sz w:val="24"/>
              </w:rPr>
            </w:pPr>
          </w:p>
        </w:tc>
        <w:tc>
          <w:tcPr>
            <w:tcW w:w="20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1500</w:t>
            </w:r>
          </w:p>
        </w:tc>
        <w:tc>
          <w:tcPr>
            <w:tcW w:w="1488" w:type="dxa"/>
            <w:noWrap w:val="0"/>
            <w:vAlign w:val="center"/>
          </w:tcPr>
          <w:p>
            <w:pPr>
              <w:autoSpaceDE w:val="0"/>
              <w:autoSpaceDN w:val="0"/>
              <w:adjustRightInd w:val="0"/>
              <w:spacing w:line="420" w:lineRule="exact"/>
              <w:jc w:val="center"/>
              <w:rPr>
                <w:rFonts w:hint="eastAsia" w:ascii="宋体" w:hAnsi="宋体"/>
                <w:kern w:val="0"/>
                <w:sz w:val="24"/>
              </w:rPr>
            </w:pPr>
            <w:r>
              <w:rPr>
                <w:rFonts w:hint="eastAsia" w:ascii="宋体" w:hAnsi="宋体"/>
                <w:kern w:val="0"/>
                <w:sz w:val="24"/>
              </w:rPr>
              <w:t>65</w:t>
            </w:r>
          </w:p>
        </w:tc>
      </w:tr>
    </w:tbl>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(5) 监测仪非线性电阻片耐受方波电流、标称放电电流和冲击大电流的电流幅值的能力应符合上表规定。</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(6) 监测仪应有可靠的密封性能。</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(7) 监测仪干、湿工频耐受电压应不低于4kV（有效值）。</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(8) 监测仪的外露金属零件及内部黑色金属零件均应有防腐蚀措施，外壳采用铸铝或不锈钢材料制成。</w:t>
      </w:r>
    </w:p>
    <w:p>
      <w:pPr>
        <w:autoSpaceDE w:val="0"/>
        <w:autoSpaceDN w:val="0"/>
        <w:adjustRightInd w:val="0"/>
        <w:spacing w:line="420" w:lineRule="exact"/>
        <w:ind w:firstLine="480" w:firstLineChars="200"/>
        <w:jc w:val="left"/>
        <w:rPr>
          <w:rFonts w:hint="eastAsia" w:ascii="宋体" w:hAnsi="宋体"/>
          <w:kern w:val="0"/>
          <w:sz w:val="24"/>
        </w:rPr>
      </w:pPr>
      <w:r>
        <w:rPr>
          <w:rFonts w:hint="eastAsia" w:ascii="宋体" w:hAnsi="宋体"/>
          <w:kern w:val="0"/>
          <w:sz w:val="24"/>
        </w:rPr>
        <w:t>(9) 监测仪及其引线应符合热稳定的要求。</w:t>
      </w:r>
    </w:p>
    <w:p>
      <w:pPr>
        <w:keepNext w:val="0"/>
        <w:keepLines w:val="0"/>
        <w:pageBreakBefore w:val="0"/>
        <w:widowControl w:val="0"/>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kern w:val="0"/>
          <w:sz w:val="24"/>
        </w:rPr>
      </w:pPr>
      <w:r>
        <w:rPr>
          <w:rFonts w:hint="eastAsia" w:ascii="宋体" w:hAnsi="宋体"/>
          <w:kern w:val="0"/>
          <w:sz w:val="24"/>
        </w:rPr>
        <w:t>(10) 交接试验时应检查放电记数器的动作可靠性。</w:t>
      </w:r>
    </w:p>
    <w:p>
      <w:pPr>
        <w:autoSpaceDE w:val="0"/>
        <w:autoSpaceDN w:val="0"/>
        <w:adjustRightInd w:val="0"/>
        <w:spacing w:line="420" w:lineRule="exact"/>
        <w:ind w:firstLine="480" w:firstLineChars="200"/>
        <w:jc w:val="left"/>
        <w:rPr>
          <w:rFonts w:hint="eastAsia" w:ascii="宋体" w:hAnsi="宋体"/>
          <w:kern w:val="0"/>
          <w:sz w:val="24"/>
          <w:lang w:eastAsia="zh-CN"/>
        </w:rPr>
      </w:pPr>
      <w:r>
        <w:rPr>
          <w:rFonts w:hint="eastAsia" w:ascii="宋体" w:hAnsi="宋体"/>
          <w:kern w:val="0"/>
          <w:sz w:val="24"/>
          <w:lang w:eastAsia="zh-CN"/>
        </w:rPr>
        <w:t>（</w:t>
      </w:r>
      <w:r>
        <w:rPr>
          <w:rFonts w:hint="eastAsia" w:ascii="宋体" w:hAnsi="宋体"/>
          <w:kern w:val="0"/>
          <w:sz w:val="24"/>
          <w:lang w:val="en-US" w:eastAsia="zh-CN"/>
        </w:rPr>
        <w:t>11</w:t>
      </w:r>
      <w:r>
        <w:rPr>
          <w:rFonts w:hint="eastAsia" w:ascii="宋体" w:hAnsi="宋体"/>
          <w:kern w:val="0"/>
          <w:sz w:val="24"/>
          <w:lang w:eastAsia="zh-CN"/>
        </w:rPr>
        <w:t>）参考图片：</w:t>
      </w:r>
    </w:p>
    <w:p>
      <w:pPr>
        <w:keepNext w:val="0"/>
        <w:keepLines w:val="0"/>
        <w:pageBreakBefore w:val="0"/>
        <w:widowControl w:val="0"/>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kern w:val="0"/>
          <w:sz w:val="24"/>
          <w:lang w:eastAsia="zh-CN"/>
        </w:rPr>
      </w:pPr>
      <w:r>
        <w:rPr>
          <w:rFonts w:ascii="宋体" w:hAnsi="宋体" w:eastAsia="宋体" w:cs="宋体"/>
          <w:sz w:val="24"/>
          <w:szCs w:val="24"/>
        </w:rPr>
        <w:drawing>
          <wp:inline distT="0" distB="0" distL="114300" distR="114300">
            <wp:extent cx="4295775" cy="367665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4295775" cy="3676650"/>
                    </a:xfrm>
                    <a:prstGeom prst="rect">
                      <a:avLst/>
                    </a:prstGeom>
                    <a:noFill/>
                    <a:ln w="9525">
                      <a:noFill/>
                    </a:ln>
                  </pic:spPr>
                </pic:pic>
              </a:graphicData>
            </a:graphic>
          </wp:inline>
        </w:drawing>
      </w:r>
    </w:p>
    <w:p>
      <w:pPr>
        <w:spacing w:line="420" w:lineRule="exact"/>
        <w:ind w:firstLine="480" w:firstLineChars="200"/>
        <w:rPr>
          <w:rFonts w:hint="eastAsia" w:ascii="宋体" w:hAnsi="宋体"/>
          <w:color w:val="auto"/>
          <w:sz w:val="24"/>
          <w:highlight w:val="none"/>
        </w:rPr>
      </w:pPr>
      <w:r>
        <w:rPr>
          <w:rFonts w:hint="eastAsia" w:ascii="宋体" w:hAnsi="宋体"/>
          <w:sz w:val="24"/>
        </w:rPr>
        <w:t>3.10.2 带有泄漏电流在线监测装置的监测仪</w:t>
      </w:r>
      <w:r>
        <w:rPr>
          <w:rFonts w:hint="eastAsia" w:ascii="宋体" w:hAnsi="宋体"/>
          <w:sz w:val="24"/>
          <w:highlight w:val="none"/>
        </w:rPr>
        <w:t>，泄漏电流表的准确等级为5.0级，量程为2mA（110kV避雷器）或1mA（35kV</w:t>
      </w:r>
      <w:r>
        <w:rPr>
          <w:rFonts w:hint="eastAsia" w:ascii="宋体" w:hAnsi="宋体"/>
          <w:sz w:val="24"/>
          <w:highlight w:val="none"/>
          <w:lang w:eastAsia="zh-CN"/>
        </w:rPr>
        <w:t>、</w:t>
      </w:r>
      <w:r>
        <w:rPr>
          <w:rFonts w:hint="eastAsia" w:ascii="宋体" w:hAnsi="宋体"/>
          <w:color w:val="auto"/>
          <w:sz w:val="24"/>
          <w:highlight w:val="none"/>
          <w:lang w:val="en-US" w:eastAsia="zh-CN"/>
        </w:rPr>
        <w:t>10kV</w:t>
      </w:r>
      <w:r>
        <w:rPr>
          <w:rFonts w:hint="eastAsia" w:ascii="宋体" w:hAnsi="宋体"/>
          <w:color w:val="auto"/>
          <w:sz w:val="24"/>
          <w:highlight w:val="none"/>
        </w:rPr>
        <w:t>避雷器）。在交接试验时应检验泄漏电流在线监测装置的准确性。</w:t>
      </w:r>
      <w:bookmarkStart w:id="0" w:name="_Toc188929543"/>
      <w:bookmarkStart w:id="1" w:name="_Toc188929341"/>
      <w:bookmarkStart w:id="2" w:name="_Toc188932431"/>
    </w:p>
    <w:p>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3.18寿命要求</w:t>
      </w:r>
      <w:bookmarkEnd w:id="0"/>
      <w:bookmarkEnd w:id="1"/>
      <w:bookmarkEnd w:id="2"/>
    </w:p>
    <w:p>
      <w:pPr>
        <w:spacing w:line="420" w:lineRule="exact"/>
        <w:ind w:firstLine="544" w:firstLineChars="227"/>
        <w:rPr>
          <w:rFonts w:hint="eastAsia" w:ascii="宋体" w:hAnsi="宋体"/>
          <w:color w:val="auto"/>
          <w:sz w:val="24"/>
        </w:rPr>
      </w:pPr>
      <w:r>
        <w:rPr>
          <w:rFonts w:hint="eastAsia" w:ascii="Arial" w:hAnsi="Arial"/>
          <w:color w:val="auto"/>
          <w:sz w:val="24"/>
        </w:rPr>
        <w:t>产品的设计和材料的选用应保证整个避雷器使用寿命不小于15年。产品从交接验收合格之日起，如运行单位按“使用说明书”的规定进行运输、保管、安装和使用，当产品五年之内出现质量问题时，要求生产厂家免费更换。</w:t>
      </w:r>
    </w:p>
    <w:p>
      <w:pPr>
        <w:spacing w:line="420" w:lineRule="exact"/>
        <w:ind w:firstLine="482" w:firstLineChars="200"/>
        <w:rPr>
          <w:rFonts w:hint="eastAsia" w:ascii="宋体" w:hAnsi="宋体"/>
          <w:b/>
          <w:color w:val="auto"/>
          <w:sz w:val="24"/>
        </w:rPr>
      </w:pPr>
      <w:r>
        <w:rPr>
          <w:rFonts w:hint="eastAsia" w:ascii="宋体" w:hAnsi="宋体"/>
          <w:b/>
          <w:color w:val="auto"/>
          <w:sz w:val="24"/>
        </w:rPr>
        <w:t>4 供货范围</w:t>
      </w:r>
    </w:p>
    <w:p>
      <w:pPr>
        <w:spacing w:line="420" w:lineRule="exact"/>
        <w:ind w:firstLine="480" w:firstLineChars="200"/>
        <w:rPr>
          <w:rFonts w:hint="eastAsia" w:ascii="宋体" w:hAnsi="宋体"/>
          <w:color w:val="auto"/>
          <w:sz w:val="24"/>
        </w:rPr>
      </w:pPr>
      <w:r>
        <w:rPr>
          <w:rFonts w:hint="eastAsia" w:ascii="宋体" w:hAnsi="宋体"/>
          <w:color w:val="auto"/>
          <w:sz w:val="24"/>
        </w:rPr>
        <w:t>4.1避雷器在线监测仪供货范围</w:t>
      </w:r>
    </w:p>
    <w:p>
      <w:pPr>
        <w:spacing w:line="420" w:lineRule="exact"/>
        <w:ind w:firstLine="482" w:firstLineChars="200"/>
        <w:rPr>
          <w:rFonts w:hint="eastAsia" w:ascii="宋体" w:hAnsi="宋体"/>
          <w:b/>
          <w:color w:val="auto"/>
          <w:sz w:val="24"/>
        </w:rPr>
      </w:pPr>
    </w:p>
    <w:p>
      <w:pPr>
        <w:spacing w:line="300" w:lineRule="auto"/>
        <w:ind w:firstLine="600"/>
        <w:rPr>
          <w:rFonts w:hint="eastAsia" w:ascii="宋体" w:hAnsi="宋体"/>
          <w:b/>
          <w:color w:val="auto"/>
          <w:sz w:val="24"/>
        </w:rPr>
      </w:pPr>
      <w:r>
        <w:rPr>
          <w:rFonts w:hint="eastAsia" w:ascii="宋体" w:hAnsi="宋体"/>
          <w:color w:val="auto"/>
          <w:sz w:val="24"/>
        </w:rPr>
        <w:t>型号、参数及主要要求如下：</w:t>
      </w:r>
    </w:p>
    <w:tbl>
      <w:tblPr>
        <w:tblStyle w:val="6"/>
        <w:tblW w:w="91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6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工程项目</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2024年河池供电局变电管理二所生产材料费购置项目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cs="Times New Roman"/>
                <w:color w:val="auto"/>
                <w:sz w:val="21"/>
                <w:szCs w:val="21"/>
                <w:lang w:val="en-US" w:eastAsia="zh-CN"/>
              </w:rPr>
            </w:pPr>
            <w:r>
              <w:rPr>
                <w:rFonts w:hint="eastAsia" w:cs="Times New Roman"/>
                <w:color w:val="auto"/>
                <w:sz w:val="21"/>
                <w:szCs w:val="21"/>
                <w:lang w:val="en-US" w:eastAsia="zh-CN"/>
              </w:rPr>
              <w:t>物资名称</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避雷器在线监测仪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型号/厂家/要求</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泄漏电流监测仪及放电记数器（一体化）</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变电站用</w:t>
            </w:r>
            <w:r>
              <w:rPr>
                <w:rFonts w:hint="eastAsia"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rPr>
            </w:pPr>
            <w:r>
              <w:rPr>
                <w:rFonts w:hint="eastAsia"/>
                <w:color w:val="auto"/>
              </w:rPr>
              <w:t>统一爬电比距</w:t>
            </w:r>
            <w:r>
              <w:rPr>
                <w:rFonts w:hint="eastAsia" w:ascii="Times New Roman" w:hAnsi="Times New Roman" w:eastAsia="宋体" w:cs="Times New Roman"/>
                <w:color w:val="auto"/>
                <w:sz w:val="21"/>
                <w:szCs w:val="21"/>
              </w:rPr>
              <w:t>（mm/kV）</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highlight w:val="none"/>
              </w:rPr>
            </w:pPr>
            <w:r>
              <w:rPr>
                <w:rFonts w:hint="eastAsia"/>
                <w:color w:val="auto"/>
                <w:highlight w:val="none"/>
              </w:rPr>
              <w:t>≥53.7mm/kV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其它要求</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防污等级：e级，搭配110kV、35kV、10kV电站型氧化锌避雷器用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数量(台)</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21</w:t>
            </w:r>
            <w:r>
              <w:rPr>
                <w:rFonts w:hint="eastAsia" w:ascii="Times New Roman" w:hAnsi="Times New Roman" w:eastAsia="宋体" w:cs="Times New Roman"/>
                <w:color w:val="auto"/>
                <w:sz w:val="21"/>
                <w:szCs w:val="21"/>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交货地点</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按照合同要求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交货时间</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按照合同要求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880"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备注</w:t>
            </w:r>
          </w:p>
        </w:tc>
        <w:tc>
          <w:tcPr>
            <w:tcW w:w="6302" w:type="dxa"/>
            <w:noWrap w:val="0"/>
            <w:vAlign w:val="top"/>
          </w:tcPr>
          <w:p>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配置安装监测仪所需的金具</w:t>
            </w:r>
          </w:p>
        </w:tc>
      </w:tr>
    </w:tbl>
    <w:p>
      <w:pPr>
        <w:spacing w:line="420" w:lineRule="exact"/>
        <w:ind w:firstLine="480" w:firstLineChars="200"/>
        <w:rPr>
          <w:rFonts w:hint="eastAsia" w:ascii="宋体" w:hAnsi="宋体"/>
          <w:sz w:val="24"/>
        </w:rPr>
      </w:pPr>
      <w:r>
        <w:rPr>
          <w:rFonts w:hint="eastAsia" w:ascii="宋体" w:hAnsi="宋体"/>
          <w:sz w:val="24"/>
        </w:rPr>
        <w:t>注：（1）按表中要求分别报单价。</w:t>
      </w:r>
    </w:p>
    <w:p>
      <w:pPr>
        <w:spacing w:line="420" w:lineRule="exact"/>
        <w:ind w:firstLine="480" w:firstLineChars="200"/>
        <w:rPr>
          <w:rFonts w:hint="eastAsia" w:ascii="宋体" w:hAnsi="宋体"/>
          <w:sz w:val="24"/>
        </w:rPr>
      </w:pPr>
      <w:r>
        <w:rPr>
          <w:rFonts w:hint="eastAsia" w:ascii="宋体" w:hAnsi="宋体"/>
          <w:sz w:val="24"/>
        </w:rPr>
        <w:t>（2）合同设备（包括备品备件和专用工具）的交货时间指合同设备到达需方指定交货地点的日期。</w:t>
      </w:r>
    </w:p>
    <w:p>
      <w:pPr>
        <w:spacing w:line="420" w:lineRule="exact"/>
        <w:ind w:firstLine="480" w:firstLineChars="200"/>
        <w:rPr>
          <w:rFonts w:hint="eastAsia" w:ascii="宋体" w:hAnsi="宋体"/>
          <w:sz w:val="24"/>
        </w:rPr>
      </w:pPr>
      <w:r>
        <w:rPr>
          <w:rFonts w:hint="eastAsia" w:ascii="宋体" w:hAnsi="宋体"/>
          <w:sz w:val="24"/>
        </w:rPr>
        <w:t>合同设备（包括备品备件和专用工具）的交货时间指合同设备到达需方指定交货地点的日期。</w:t>
      </w:r>
    </w:p>
    <w:p>
      <w:pPr>
        <w:spacing w:line="420" w:lineRule="exact"/>
        <w:ind w:firstLine="480" w:firstLineChars="200"/>
        <w:outlineLvl w:val="0"/>
        <w:rPr>
          <w:rFonts w:hint="eastAsia" w:ascii="宋体" w:hAnsi="宋体"/>
          <w:sz w:val="24"/>
        </w:rPr>
      </w:pPr>
      <w:r>
        <w:rPr>
          <w:rFonts w:hint="eastAsia" w:ascii="宋体" w:hAnsi="宋体"/>
          <w:sz w:val="24"/>
        </w:rPr>
        <w:t>4．2  备品备件</w:t>
      </w:r>
    </w:p>
    <w:p>
      <w:pPr>
        <w:pStyle w:val="2"/>
        <w:spacing w:line="420" w:lineRule="exact"/>
        <w:ind w:firstLine="480"/>
        <w:rPr>
          <w:rFonts w:hint="eastAsia" w:hAnsi="宋体"/>
          <w:sz w:val="24"/>
        </w:rPr>
      </w:pPr>
      <w:r>
        <w:rPr>
          <w:rFonts w:hint="eastAsia" w:hAnsi="宋体"/>
          <w:sz w:val="24"/>
        </w:rPr>
        <w:t>供方应按有关标准和规定提供避雷器的备品备件，备品备件应是新的，与设备同型号、同工艺。供方在投标时提供避雷器备品备件清单。</w:t>
      </w:r>
    </w:p>
    <w:p>
      <w:pPr>
        <w:pStyle w:val="2"/>
        <w:spacing w:line="420" w:lineRule="exact"/>
        <w:ind w:firstLine="480" w:firstLineChars="200"/>
        <w:rPr>
          <w:rFonts w:hAnsi="宋体"/>
          <w:sz w:val="24"/>
        </w:rPr>
      </w:pPr>
      <w:r>
        <w:rPr>
          <w:rFonts w:hint="eastAsia" w:hAnsi="宋体"/>
          <w:sz w:val="24"/>
        </w:rPr>
        <w:t>4．3专用工具</w:t>
      </w:r>
      <w:r>
        <w:rPr>
          <w:rFonts w:hint="eastAsia" w:hAnsi="宋体"/>
          <w:sz w:val="24"/>
        </w:rPr>
        <w:br w:type="textWrapping"/>
      </w:r>
      <w:r>
        <w:rPr>
          <w:rFonts w:hAnsi="宋体"/>
          <w:sz w:val="24"/>
        </w:rPr>
        <w:t xml:space="preserve">    </w:t>
      </w:r>
      <w:r>
        <w:rPr>
          <w:rFonts w:hint="eastAsia" w:hAnsi="宋体"/>
          <w:sz w:val="24"/>
        </w:rPr>
        <w:t>供方应提供避雷器安装、检修、测试等所需的专用工具，包括专用调试、测试设备。供方在投标时提供避雷器专用工具清单。</w:t>
      </w:r>
    </w:p>
    <w:p>
      <w:pPr>
        <w:spacing w:line="420" w:lineRule="exact"/>
        <w:rPr>
          <w:rFonts w:hint="eastAsia" w:ascii="宋体" w:hAnsi="宋体"/>
          <w:sz w:val="24"/>
        </w:rPr>
      </w:pPr>
    </w:p>
    <w:p>
      <w:pPr>
        <w:spacing w:line="420" w:lineRule="exact"/>
        <w:ind w:firstLine="482" w:firstLineChars="200"/>
        <w:rPr>
          <w:rFonts w:hint="eastAsia" w:ascii="宋体" w:hAnsi="宋体"/>
          <w:b/>
          <w:sz w:val="24"/>
        </w:rPr>
      </w:pPr>
      <w:r>
        <w:rPr>
          <w:rFonts w:hint="eastAsia" w:ascii="宋体" w:hAnsi="宋体"/>
          <w:b/>
          <w:sz w:val="24"/>
        </w:rPr>
        <w:t>5 供方在投标时应提供的资料</w:t>
      </w:r>
    </w:p>
    <w:p>
      <w:pPr>
        <w:spacing w:line="420" w:lineRule="exact"/>
        <w:ind w:firstLine="480" w:firstLineChars="200"/>
        <w:rPr>
          <w:rFonts w:hint="eastAsia" w:ascii="宋体" w:hAnsi="宋体"/>
          <w:sz w:val="24"/>
        </w:rPr>
      </w:pPr>
      <w:r>
        <w:rPr>
          <w:rFonts w:hint="eastAsia" w:ascii="宋体" w:hAnsi="宋体"/>
          <w:sz w:val="24"/>
        </w:rPr>
        <w:t>提供与投标产品一致，而且有效的产品型式试验报告（检验报告）、鉴定证书、型号使用证书等。</w:t>
      </w:r>
    </w:p>
    <w:p>
      <w:pPr>
        <w:spacing w:line="420" w:lineRule="exact"/>
        <w:rPr>
          <w:rFonts w:hint="eastAsia" w:ascii="宋体" w:hAnsi="宋体"/>
          <w:b/>
          <w:sz w:val="24"/>
        </w:rPr>
      </w:pPr>
    </w:p>
    <w:p>
      <w:pPr>
        <w:tabs>
          <w:tab w:val="left" w:pos="3220"/>
        </w:tabs>
        <w:spacing w:line="420" w:lineRule="exact"/>
        <w:ind w:firstLine="482" w:firstLineChars="200"/>
        <w:rPr>
          <w:rFonts w:hint="eastAsia" w:ascii="宋体" w:hAnsi="宋体"/>
          <w:b/>
          <w:sz w:val="24"/>
        </w:rPr>
      </w:pPr>
      <w:r>
        <w:rPr>
          <w:rFonts w:hint="eastAsia" w:ascii="宋体" w:hAnsi="宋体"/>
          <w:b/>
          <w:sz w:val="24"/>
        </w:rPr>
        <w:t>6 技术资料和图纸交付进度</w:t>
      </w:r>
    </w:p>
    <w:p>
      <w:pPr>
        <w:tabs>
          <w:tab w:val="left" w:pos="3220"/>
        </w:tabs>
        <w:spacing w:line="420" w:lineRule="exact"/>
        <w:ind w:firstLine="480"/>
        <w:rPr>
          <w:rFonts w:ascii="宋体" w:hAnsi="宋体"/>
          <w:sz w:val="24"/>
        </w:rPr>
      </w:pPr>
      <w:r>
        <w:rPr>
          <w:rFonts w:hint="eastAsia" w:ascii="宋体" w:hAnsi="宋体"/>
          <w:sz w:val="24"/>
        </w:rPr>
        <w:t>6</w:t>
      </w:r>
      <w:r>
        <w:rPr>
          <w:rFonts w:ascii="宋体" w:hAnsi="宋体"/>
          <w:sz w:val="24"/>
        </w:rPr>
        <w:t>.1一般要求</w:t>
      </w:r>
    </w:p>
    <w:p>
      <w:pPr>
        <w:tabs>
          <w:tab w:val="left" w:pos="3220"/>
        </w:tabs>
        <w:spacing w:line="420" w:lineRule="exact"/>
        <w:ind w:left="15" w:firstLine="480"/>
        <w:rPr>
          <w:rFonts w:ascii="宋体" w:hAnsi="宋体"/>
          <w:sz w:val="24"/>
        </w:rPr>
      </w:pPr>
      <w:r>
        <w:rPr>
          <w:rFonts w:hint="eastAsia" w:ascii="宋体" w:hAnsi="宋体"/>
          <w:sz w:val="24"/>
        </w:rPr>
        <w:t>6</w:t>
      </w:r>
      <w:r>
        <w:rPr>
          <w:rFonts w:ascii="宋体" w:hAnsi="宋体"/>
          <w:sz w:val="24"/>
        </w:rPr>
        <w:t>.1.1供方提供的资料应使用国家法定单位制即国际单位制，语言为中文。</w:t>
      </w:r>
    </w:p>
    <w:p>
      <w:pPr>
        <w:tabs>
          <w:tab w:val="left" w:pos="3220"/>
        </w:tabs>
        <w:spacing w:line="420" w:lineRule="exact"/>
        <w:ind w:firstLine="480"/>
        <w:rPr>
          <w:rFonts w:ascii="宋体" w:hAnsi="宋体"/>
          <w:sz w:val="24"/>
        </w:rPr>
      </w:pPr>
      <w:r>
        <w:rPr>
          <w:rFonts w:hint="eastAsia" w:ascii="宋体" w:hAnsi="宋体"/>
          <w:sz w:val="24"/>
        </w:rPr>
        <w:t>6</w:t>
      </w:r>
      <w:r>
        <w:rPr>
          <w:rFonts w:ascii="宋体" w:hAnsi="宋体"/>
          <w:sz w:val="24"/>
        </w:rPr>
        <w:t>.1.2 资料的组织结构清晰、逻辑内容要正确、准确、一致、清晰、完整，满足工程要求。</w:t>
      </w:r>
    </w:p>
    <w:p>
      <w:pPr>
        <w:tabs>
          <w:tab w:val="left" w:pos="570"/>
          <w:tab w:val="left" w:pos="3220"/>
        </w:tabs>
        <w:spacing w:line="420" w:lineRule="exact"/>
        <w:ind w:firstLine="464"/>
        <w:rPr>
          <w:rFonts w:ascii="宋体" w:hAnsi="宋体"/>
          <w:sz w:val="24"/>
        </w:rPr>
      </w:pPr>
      <w:r>
        <w:rPr>
          <w:rFonts w:hint="eastAsia" w:ascii="宋体" w:hAnsi="宋体"/>
          <w:sz w:val="24"/>
        </w:rPr>
        <w:t>6</w:t>
      </w:r>
      <w:r>
        <w:rPr>
          <w:rFonts w:ascii="宋体" w:hAnsi="宋体"/>
          <w:sz w:val="24"/>
        </w:rPr>
        <w:t xml:space="preserve">.1.3 </w:t>
      </w:r>
      <w:r>
        <w:rPr>
          <w:rFonts w:hint="eastAsia" w:ascii="宋体" w:hAnsi="宋体"/>
          <w:sz w:val="24"/>
        </w:rPr>
        <w:t>供方资料的提交及时充分，满足工程进度要求。在合同签订后10天内给出全部技术资料清单和交付进度，并经需方确认。</w:t>
      </w:r>
    </w:p>
    <w:p>
      <w:pPr>
        <w:tabs>
          <w:tab w:val="left" w:pos="3220"/>
        </w:tabs>
        <w:spacing w:line="420" w:lineRule="exact"/>
        <w:ind w:firstLine="479"/>
        <w:rPr>
          <w:rFonts w:ascii="宋体" w:hAnsi="宋体"/>
          <w:sz w:val="24"/>
        </w:rPr>
      </w:pPr>
      <w:r>
        <w:rPr>
          <w:rFonts w:hint="eastAsia" w:ascii="宋体" w:hAnsi="宋体"/>
          <w:sz w:val="24"/>
        </w:rPr>
        <w:t>6</w:t>
      </w:r>
      <w:r>
        <w:rPr>
          <w:rFonts w:ascii="宋体" w:hAnsi="宋体"/>
          <w:sz w:val="24"/>
        </w:rPr>
        <w:t>.1.4 对于其它没有列入合同技术资料清单，却是工程所必须的文件和资料，一经发</w:t>
      </w:r>
      <w:r>
        <w:rPr>
          <w:rFonts w:hint="eastAsia" w:ascii="宋体" w:hAnsi="宋体"/>
          <w:sz w:val="24"/>
        </w:rPr>
        <w:t>现，供方也应及时免费提供。</w:t>
      </w:r>
    </w:p>
    <w:p>
      <w:pPr>
        <w:tabs>
          <w:tab w:val="left" w:pos="3220"/>
        </w:tabs>
        <w:spacing w:line="420" w:lineRule="exact"/>
        <w:ind w:firstLine="480"/>
        <w:rPr>
          <w:rFonts w:ascii="宋体" w:hAnsi="宋体"/>
          <w:sz w:val="24"/>
        </w:rPr>
      </w:pPr>
      <w:r>
        <w:rPr>
          <w:rFonts w:hint="eastAsia" w:ascii="宋体" w:hAnsi="宋体"/>
          <w:sz w:val="24"/>
        </w:rPr>
        <w:t>6</w:t>
      </w:r>
      <w:r>
        <w:rPr>
          <w:rFonts w:ascii="宋体" w:hAnsi="宋体"/>
          <w:sz w:val="24"/>
        </w:rPr>
        <w:t>.2资料提交的基本要求</w:t>
      </w:r>
    </w:p>
    <w:p>
      <w:pPr>
        <w:tabs>
          <w:tab w:val="left" w:pos="3220"/>
        </w:tabs>
        <w:spacing w:line="420" w:lineRule="exact"/>
        <w:ind w:firstLine="480"/>
        <w:outlineLvl w:val="0"/>
        <w:rPr>
          <w:rFonts w:ascii="宋体" w:hAnsi="宋体"/>
          <w:sz w:val="24"/>
        </w:rPr>
      </w:pPr>
      <w:r>
        <w:rPr>
          <w:rFonts w:hint="eastAsia" w:ascii="宋体" w:hAnsi="宋体"/>
          <w:sz w:val="24"/>
        </w:rPr>
        <w:t>6</w:t>
      </w:r>
      <w:r>
        <w:rPr>
          <w:rFonts w:ascii="宋体" w:hAnsi="宋体"/>
          <w:sz w:val="24"/>
        </w:rPr>
        <w:t>.2.1 供方应在投标阶段提供有关资料。</w:t>
      </w:r>
    </w:p>
    <w:p>
      <w:pPr>
        <w:tabs>
          <w:tab w:val="left" w:pos="3220"/>
        </w:tabs>
        <w:spacing w:line="420" w:lineRule="exact"/>
        <w:ind w:firstLine="480"/>
        <w:rPr>
          <w:rFonts w:hint="eastAsia" w:ascii="宋体" w:hAnsi="宋体"/>
          <w:sz w:val="24"/>
        </w:rPr>
      </w:pPr>
      <w:r>
        <w:rPr>
          <w:rFonts w:hint="eastAsia" w:ascii="宋体" w:hAnsi="宋体"/>
          <w:sz w:val="24"/>
        </w:rPr>
        <w:t>6</w:t>
      </w:r>
      <w:r>
        <w:rPr>
          <w:rFonts w:ascii="宋体" w:hAnsi="宋体"/>
          <w:sz w:val="24"/>
        </w:rPr>
        <w:t>.2.2</w:t>
      </w:r>
      <w:r>
        <w:rPr>
          <w:rFonts w:hint="eastAsia" w:ascii="宋体" w:hAnsi="宋体"/>
          <w:sz w:val="24"/>
        </w:rPr>
        <w:t>在签订合同时，供方应向需方提供</w:t>
      </w:r>
      <w:r>
        <w:rPr>
          <w:rFonts w:ascii="宋体" w:hAnsi="宋体"/>
          <w:sz w:val="24"/>
        </w:rPr>
        <w:t>配合工程设计的资料与图纸</w:t>
      </w:r>
      <w:r>
        <w:rPr>
          <w:rFonts w:hint="eastAsia" w:ascii="宋体" w:hAnsi="宋体"/>
          <w:sz w:val="24"/>
        </w:rPr>
        <w:t>6份（并提供</w:t>
      </w:r>
      <w:r>
        <w:rPr>
          <w:rFonts w:ascii="宋体" w:hAnsi="宋体"/>
          <w:sz w:val="24"/>
        </w:rPr>
        <w:t>CAD</w:t>
      </w:r>
      <w:r>
        <w:rPr>
          <w:rFonts w:hint="eastAsia" w:ascii="宋体" w:hAnsi="宋体"/>
          <w:sz w:val="24"/>
        </w:rPr>
        <w:t>软盘）。</w:t>
      </w:r>
    </w:p>
    <w:p>
      <w:pPr>
        <w:tabs>
          <w:tab w:val="left" w:pos="3220"/>
        </w:tabs>
        <w:spacing w:line="420" w:lineRule="exact"/>
        <w:ind w:firstLine="480"/>
        <w:outlineLvl w:val="0"/>
        <w:rPr>
          <w:rFonts w:ascii="宋体" w:hAnsi="宋体"/>
          <w:sz w:val="24"/>
        </w:rPr>
      </w:pPr>
      <w:r>
        <w:rPr>
          <w:rFonts w:hint="eastAsia" w:ascii="宋体" w:hAnsi="宋体"/>
          <w:sz w:val="24"/>
        </w:rPr>
        <w:t>6</w:t>
      </w:r>
      <w:r>
        <w:rPr>
          <w:rFonts w:ascii="宋体" w:hAnsi="宋体"/>
          <w:sz w:val="24"/>
        </w:rPr>
        <w:t>.2.3 供方应提供满足合同设备性能检验/见证所需的全部技术资料。</w:t>
      </w:r>
    </w:p>
    <w:p>
      <w:pPr>
        <w:tabs>
          <w:tab w:val="left" w:pos="3220"/>
        </w:tabs>
        <w:spacing w:line="420" w:lineRule="exact"/>
        <w:ind w:firstLine="479"/>
        <w:rPr>
          <w:rFonts w:ascii="宋体" w:hAnsi="宋体"/>
          <w:sz w:val="24"/>
        </w:rPr>
      </w:pPr>
      <w:r>
        <w:rPr>
          <w:rFonts w:hint="eastAsia" w:ascii="宋体" w:hAnsi="宋体"/>
          <w:sz w:val="24"/>
        </w:rPr>
        <w:t>6</w:t>
      </w:r>
      <w:r>
        <w:rPr>
          <w:rFonts w:ascii="宋体" w:hAnsi="宋体"/>
          <w:sz w:val="24"/>
        </w:rPr>
        <w:t>.2.4施工、调试、试运和运行维护所需的技术资料</w:t>
      </w:r>
      <w:r>
        <w:rPr>
          <w:rFonts w:hint="eastAsia" w:ascii="宋体" w:hAnsi="宋体"/>
          <w:sz w:val="24"/>
        </w:rPr>
        <w:t>（</w:t>
      </w:r>
      <w:r>
        <w:rPr>
          <w:rFonts w:ascii="宋体" w:hAnsi="宋体"/>
          <w:sz w:val="24"/>
        </w:rPr>
        <w:t>需方提出具体清单和要求，供</w:t>
      </w:r>
      <w:r>
        <w:rPr>
          <w:rFonts w:hint="eastAsia" w:ascii="宋体" w:hAnsi="宋体"/>
          <w:sz w:val="24"/>
        </w:rPr>
        <w:t>方细化，需方确认）包括但不限于：</w:t>
      </w:r>
    </w:p>
    <w:p>
      <w:pPr>
        <w:tabs>
          <w:tab w:val="left" w:pos="3220"/>
        </w:tabs>
        <w:spacing w:line="420" w:lineRule="exact"/>
        <w:ind w:firstLine="480"/>
        <w:rPr>
          <w:rFonts w:ascii="宋体" w:hAnsi="宋体"/>
          <w:sz w:val="24"/>
        </w:rPr>
      </w:pPr>
      <w:r>
        <w:rPr>
          <w:rFonts w:hint="eastAsia" w:ascii="宋体" w:hAnsi="宋体"/>
          <w:sz w:val="24"/>
        </w:rPr>
        <w:t>6</w:t>
      </w:r>
      <w:r>
        <w:rPr>
          <w:rFonts w:ascii="宋体" w:hAnsi="宋体"/>
          <w:sz w:val="24"/>
        </w:rPr>
        <w:t>.2.4.1提供设备安装、调试和试运说明书，以及组装、拆卸时所需用的技术资料。</w:t>
      </w:r>
    </w:p>
    <w:p>
      <w:pPr>
        <w:tabs>
          <w:tab w:val="left" w:pos="3220"/>
        </w:tabs>
        <w:spacing w:line="420" w:lineRule="exact"/>
        <w:ind w:firstLine="479"/>
        <w:rPr>
          <w:rFonts w:ascii="宋体" w:hAnsi="宋体"/>
          <w:sz w:val="24"/>
        </w:rPr>
      </w:pPr>
      <w:r>
        <w:rPr>
          <w:rFonts w:hint="eastAsia" w:ascii="宋体" w:hAnsi="宋体"/>
          <w:sz w:val="24"/>
        </w:rPr>
        <w:t>6</w:t>
      </w:r>
      <w:r>
        <w:rPr>
          <w:rFonts w:ascii="宋体" w:hAnsi="宋体"/>
          <w:sz w:val="24"/>
        </w:rPr>
        <w:t>.2.4.2安装、运行、维护、检修所需的详尽图纸和技术文件，包括设备总图、部件</w:t>
      </w:r>
      <w:r>
        <w:rPr>
          <w:rFonts w:hint="eastAsia" w:ascii="宋体" w:hAnsi="宋体"/>
          <w:sz w:val="24"/>
        </w:rPr>
        <w:t>总图、分图和必要的零件图、计算资料等。</w:t>
      </w:r>
    </w:p>
    <w:p>
      <w:pPr>
        <w:tabs>
          <w:tab w:val="left" w:pos="3220"/>
        </w:tabs>
        <w:spacing w:line="420" w:lineRule="exact"/>
        <w:ind w:firstLine="480"/>
        <w:rPr>
          <w:rFonts w:ascii="宋体" w:hAnsi="宋体"/>
          <w:sz w:val="24"/>
        </w:rPr>
      </w:pPr>
      <w:r>
        <w:rPr>
          <w:rFonts w:hint="eastAsia" w:ascii="宋体" w:hAnsi="宋体"/>
          <w:sz w:val="24"/>
        </w:rPr>
        <w:t>6</w:t>
      </w:r>
      <w:r>
        <w:rPr>
          <w:rFonts w:ascii="宋体" w:hAnsi="宋体"/>
          <w:sz w:val="24"/>
        </w:rPr>
        <w:t>.2.4.3供方应提供备品、配件总清单和易损零件图。</w:t>
      </w:r>
    </w:p>
    <w:p>
      <w:pPr>
        <w:tabs>
          <w:tab w:val="left" w:pos="3220"/>
        </w:tabs>
        <w:spacing w:line="420" w:lineRule="exact"/>
        <w:ind w:firstLine="479"/>
        <w:outlineLvl w:val="0"/>
        <w:rPr>
          <w:rFonts w:ascii="宋体" w:hAnsi="宋体"/>
          <w:sz w:val="24"/>
        </w:rPr>
      </w:pPr>
      <w:r>
        <w:rPr>
          <w:rFonts w:hint="eastAsia" w:ascii="宋体" w:hAnsi="宋体"/>
          <w:sz w:val="24"/>
        </w:rPr>
        <w:t>6</w:t>
      </w:r>
      <w:r>
        <w:rPr>
          <w:rFonts w:ascii="宋体" w:hAnsi="宋体"/>
          <w:sz w:val="24"/>
        </w:rPr>
        <w:t>.2.5 供方须提供的其它技术资料（需方提出具体清单，供方细化，需方确认）包括</w:t>
      </w:r>
      <w:r>
        <w:rPr>
          <w:rFonts w:hint="eastAsia" w:ascii="宋体" w:hAnsi="宋体"/>
          <w:sz w:val="24"/>
        </w:rPr>
        <w:t>以下但不限于：</w:t>
      </w:r>
    </w:p>
    <w:p>
      <w:pPr>
        <w:tabs>
          <w:tab w:val="left" w:pos="3220"/>
        </w:tabs>
        <w:spacing w:line="420" w:lineRule="exact"/>
        <w:ind w:firstLine="479"/>
        <w:rPr>
          <w:rFonts w:ascii="宋体" w:hAnsi="宋体"/>
          <w:sz w:val="24"/>
        </w:rPr>
      </w:pPr>
      <w:r>
        <w:rPr>
          <w:rFonts w:hint="eastAsia" w:ascii="宋体" w:hAnsi="宋体"/>
          <w:sz w:val="24"/>
        </w:rPr>
        <w:t>6.2.6供方提供电子版全套资料1份。</w:t>
      </w:r>
    </w:p>
    <w:p>
      <w:pPr>
        <w:tabs>
          <w:tab w:val="left" w:pos="3220"/>
        </w:tabs>
        <w:spacing w:line="420" w:lineRule="exact"/>
        <w:ind w:firstLine="482" w:firstLineChars="200"/>
        <w:outlineLvl w:val="0"/>
        <w:rPr>
          <w:rFonts w:hint="eastAsia" w:ascii="宋体" w:hAnsi="宋体"/>
          <w:b/>
          <w:sz w:val="24"/>
        </w:rPr>
      </w:pPr>
      <w:r>
        <w:rPr>
          <w:rFonts w:hint="eastAsia" w:ascii="宋体" w:hAnsi="宋体"/>
          <w:b/>
          <w:sz w:val="24"/>
        </w:rPr>
        <w:t>7包装、贮存和运输</w:t>
      </w:r>
    </w:p>
    <w:p>
      <w:pPr>
        <w:tabs>
          <w:tab w:val="left" w:pos="3220"/>
        </w:tabs>
        <w:spacing w:line="420" w:lineRule="exact"/>
        <w:ind w:firstLine="480" w:firstLineChars="200"/>
        <w:rPr>
          <w:rFonts w:ascii="宋体" w:hAnsi="宋体"/>
          <w:sz w:val="24"/>
        </w:rPr>
      </w:pPr>
      <w:r>
        <w:rPr>
          <w:rFonts w:hint="eastAsia" w:ascii="宋体" w:hAnsi="宋体"/>
          <w:sz w:val="24"/>
          <w:lang w:val="zh-CN"/>
        </w:rPr>
        <w:t>7.1</w:t>
      </w:r>
      <w:r>
        <w:rPr>
          <w:rFonts w:hint="eastAsia" w:ascii="宋体" w:hAnsi="宋体"/>
          <w:kern w:val="0"/>
          <w:sz w:val="24"/>
        </w:rPr>
        <w:t>包装</w:t>
      </w:r>
      <w:r>
        <w:rPr>
          <w:rFonts w:hint="eastAsia" w:ascii="宋体" w:hAnsi="宋体"/>
          <w:sz w:val="24"/>
        </w:rPr>
        <w:t xml:space="preserve"> </w:t>
      </w:r>
    </w:p>
    <w:p>
      <w:pPr>
        <w:adjustRightInd w:val="0"/>
        <w:spacing w:line="420" w:lineRule="exact"/>
        <w:rPr>
          <w:rFonts w:ascii="宋体" w:hAnsi="宋体"/>
          <w:sz w:val="24"/>
        </w:rPr>
      </w:pPr>
      <w:r>
        <w:rPr>
          <w:rFonts w:hint="eastAsia" w:ascii="宋体" w:hAnsi="宋体"/>
          <w:sz w:val="24"/>
        </w:rPr>
        <w:t xml:space="preserve">    避雷器的包装必须保证在运输中，不因包装不良而使产品损坏。在包装箱上应注明： </w:t>
      </w:r>
    </w:p>
    <w:p>
      <w:pPr>
        <w:adjustRightInd w:val="0"/>
        <w:spacing w:line="420" w:lineRule="exact"/>
        <w:ind w:firstLine="480" w:firstLineChars="200"/>
        <w:jc w:val="left"/>
        <w:rPr>
          <w:rFonts w:hint="eastAsia" w:ascii="宋体" w:hAnsi="宋体"/>
          <w:sz w:val="24"/>
        </w:rPr>
      </w:pPr>
      <w:r>
        <w:rPr>
          <w:rFonts w:hint="eastAsia" w:ascii="宋体" w:hAnsi="宋体"/>
          <w:sz w:val="24"/>
        </w:rPr>
        <w:t>(1) 制造厂名、产品名称及型号；</w:t>
      </w:r>
    </w:p>
    <w:p>
      <w:pPr>
        <w:adjustRightInd w:val="0"/>
        <w:spacing w:line="420" w:lineRule="exact"/>
        <w:ind w:firstLine="480" w:firstLineChars="200"/>
        <w:jc w:val="left"/>
        <w:rPr>
          <w:rFonts w:hint="eastAsia" w:ascii="宋体" w:hAnsi="宋体"/>
          <w:sz w:val="24"/>
        </w:rPr>
      </w:pPr>
      <w:r>
        <w:rPr>
          <w:rFonts w:hint="eastAsia" w:ascii="宋体" w:hAnsi="宋体"/>
          <w:sz w:val="24"/>
        </w:rPr>
        <w:t>(2) 发货单位、收货单位及详细地址；</w:t>
      </w:r>
    </w:p>
    <w:p>
      <w:pPr>
        <w:adjustRightInd w:val="0"/>
        <w:spacing w:line="420" w:lineRule="exact"/>
        <w:ind w:firstLine="480" w:firstLineChars="200"/>
        <w:jc w:val="left"/>
        <w:rPr>
          <w:rFonts w:hint="eastAsia" w:ascii="宋体" w:hAnsi="宋体"/>
          <w:sz w:val="24"/>
        </w:rPr>
      </w:pPr>
      <w:r>
        <w:rPr>
          <w:rFonts w:hint="eastAsia" w:ascii="宋体" w:hAnsi="宋体"/>
          <w:sz w:val="24"/>
        </w:rPr>
        <w:t>(3) 产品净重、毛重、体积等；</w:t>
      </w:r>
    </w:p>
    <w:p>
      <w:pPr>
        <w:adjustRightInd w:val="0"/>
        <w:spacing w:line="420" w:lineRule="exact"/>
        <w:ind w:firstLine="480" w:firstLineChars="200"/>
        <w:jc w:val="left"/>
        <w:rPr>
          <w:rFonts w:hint="eastAsia" w:ascii="宋体" w:hAnsi="宋体"/>
          <w:sz w:val="24"/>
        </w:rPr>
      </w:pPr>
      <w:r>
        <w:rPr>
          <w:rFonts w:hint="eastAsia" w:ascii="宋体" w:hAnsi="宋体"/>
          <w:sz w:val="24"/>
        </w:rPr>
        <w:t>(4)“小心轻放”、“向上”、“易碎”字样和标记，字样和标记还应符合</w:t>
      </w:r>
      <w:r>
        <w:rPr>
          <w:rFonts w:ascii="宋体" w:hAnsi="宋体"/>
          <w:sz w:val="24"/>
        </w:rPr>
        <w:t>GB191</w:t>
      </w:r>
      <w:r>
        <w:rPr>
          <w:rFonts w:hint="eastAsia" w:ascii="宋体" w:hAnsi="宋体"/>
          <w:sz w:val="24"/>
        </w:rPr>
        <w:t>的要求。</w:t>
      </w:r>
    </w:p>
    <w:p>
      <w:pPr>
        <w:adjustRightInd w:val="0"/>
        <w:spacing w:line="420" w:lineRule="exact"/>
        <w:ind w:firstLine="480" w:firstLineChars="200"/>
        <w:jc w:val="left"/>
        <w:rPr>
          <w:rFonts w:hint="eastAsia" w:ascii="宋体" w:hAnsi="宋体"/>
          <w:sz w:val="24"/>
        </w:rPr>
      </w:pPr>
      <w:r>
        <w:rPr>
          <w:rFonts w:hint="eastAsia" w:ascii="宋体" w:hAnsi="宋体"/>
          <w:sz w:val="24"/>
        </w:rPr>
        <w:t>(5) 复合绝缘外套避雷器的包装应采取有效措施防止伞裙受力变形。</w:t>
      </w:r>
      <w:bookmarkStart w:id="3" w:name="_Toc78682292"/>
      <w:bookmarkStart w:id="4" w:name="_Toc93995912"/>
    </w:p>
    <w:p>
      <w:pPr>
        <w:adjustRightInd w:val="0"/>
        <w:spacing w:line="420" w:lineRule="exact"/>
        <w:ind w:firstLine="480" w:firstLineChars="200"/>
        <w:jc w:val="left"/>
        <w:outlineLvl w:val="0"/>
        <w:rPr>
          <w:rFonts w:ascii="宋体" w:hAnsi="宋体"/>
          <w:sz w:val="24"/>
        </w:rPr>
      </w:pPr>
      <w:r>
        <w:rPr>
          <w:rFonts w:hint="eastAsia" w:ascii="宋体" w:hAnsi="宋体"/>
          <w:kern w:val="0"/>
          <w:sz w:val="24"/>
        </w:rPr>
        <w:t>7.2 运输和</w:t>
      </w:r>
      <w:bookmarkEnd w:id="3"/>
      <w:r>
        <w:rPr>
          <w:rFonts w:hint="eastAsia" w:ascii="宋体" w:hAnsi="宋体"/>
          <w:kern w:val="0"/>
          <w:sz w:val="24"/>
        </w:rPr>
        <w:t>贮存</w:t>
      </w:r>
      <w:bookmarkEnd w:id="4"/>
      <w:r>
        <w:rPr>
          <w:rFonts w:hint="eastAsia" w:ascii="宋体" w:hAnsi="宋体"/>
          <w:sz w:val="24"/>
        </w:rPr>
        <w:t xml:space="preserve"> </w:t>
      </w:r>
    </w:p>
    <w:p>
      <w:pPr>
        <w:tabs>
          <w:tab w:val="left" w:pos="3220"/>
        </w:tabs>
        <w:spacing w:line="420" w:lineRule="exact"/>
        <w:rPr>
          <w:rFonts w:hint="eastAsia" w:ascii="宋体" w:hAnsi="宋体"/>
          <w:b/>
          <w:sz w:val="24"/>
        </w:rPr>
      </w:pPr>
      <w:r>
        <w:rPr>
          <w:rFonts w:hint="eastAsia" w:ascii="宋体" w:hAnsi="宋体"/>
          <w:sz w:val="24"/>
        </w:rPr>
        <w:t xml:space="preserve">    整只产品或分别运输的部件和包装，都要适用运输、装卸的要求。如产品对运输、装卸和保管有其他特殊要求时，制造厂应在包装箱上明确标志。复合绝缘外套避雷器应存放在环境温度-40℃～+40℃的无强酸碱及其它有害物质的库房内。</w:t>
      </w:r>
    </w:p>
    <w:p>
      <w:pPr>
        <w:tabs>
          <w:tab w:val="left" w:pos="3220"/>
        </w:tabs>
        <w:spacing w:line="420" w:lineRule="exact"/>
        <w:ind w:firstLine="482" w:firstLineChars="200"/>
        <w:outlineLvl w:val="0"/>
        <w:rPr>
          <w:rFonts w:hint="eastAsia" w:ascii="宋体" w:hAnsi="宋体"/>
          <w:b/>
          <w:sz w:val="24"/>
        </w:rPr>
      </w:pPr>
      <w:r>
        <w:rPr>
          <w:rFonts w:hint="eastAsia" w:ascii="宋体" w:hAnsi="宋体"/>
          <w:b/>
          <w:sz w:val="24"/>
        </w:rPr>
        <w:t>8 技术服务与设计联络</w:t>
      </w:r>
    </w:p>
    <w:p>
      <w:pPr>
        <w:tabs>
          <w:tab w:val="left" w:pos="3220"/>
        </w:tabs>
        <w:spacing w:line="420" w:lineRule="exact"/>
        <w:ind w:firstLine="480"/>
        <w:rPr>
          <w:rFonts w:hint="eastAsia" w:ascii="宋体" w:hAnsi="宋体"/>
          <w:sz w:val="24"/>
        </w:rPr>
      </w:pPr>
      <w:r>
        <w:rPr>
          <w:rFonts w:hint="eastAsia" w:ascii="宋体" w:hAnsi="宋体"/>
          <w:sz w:val="24"/>
        </w:rPr>
        <w:t>8.1合同签订后，供方应指定负责本工程的项目经理，负责协调供方在工程中的各项工作，如设计图纸、工程进度、设备制造、包装运输、现场安装、调试验收、交底培训等。</w:t>
      </w:r>
    </w:p>
    <w:p>
      <w:pPr>
        <w:tabs>
          <w:tab w:val="left" w:pos="3220"/>
        </w:tabs>
        <w:spacing w:line="420" w:lineRule="exact"/>
        <w:ind w:firstLine="480"/>
        <w:rPr>
          <w:rFonts w:hint="eastAsia" w:ascii="宋体" w:hAnsi="宋体"/>
          <w:sz w:val="24"/>
        </w:rPr>
      </w:pPr>
      <w:r>
        <w:rPr>
          <w:rFonts w:hint="eastAsia" w:ascii="宋体" w:hAnsi="宋体"/>
          <w:sz w:val="24"/>
        </w:rPr>
        <w:t>8.2供需双方可根据工程需要召开工程联络协调会议或其他形式解决设计和制造中的问题。</w:t>
      </w:r>
    </w:p>
    <w:p>
      <w:pPr>
        <w:spacing w:line="420" w:lineRule="exact"/>
        <w:ind w:firstLine="480"/>
        <w:rPr>
          <w:rFonts w:hint="eastAsia" w:ascii="宋体" w:hAnsi="宋体"/>
          <w:sz w:val="24"/>
        </w:rPr>
      </w:pPr>
      <w:r>
        <w:rPr>
          <w:rFonts w:hint="eastAsia" w:ascii="宋体" w:hAnsi="宋体"/>
          <w:sz w:val="24"/>
        </w:rPr>
        <w:t>8.3工程文件的交接要有记录，联络协调会议应有会议纪要。</w:t>
      </w:r>
      <w:bookmarkStart w:id="5" w:name="_Toc78682303"/>
      <w:bookmarkStart w:id="6" w:name="_Toc93995920"/>
    </w:p>
    <w:p>
      <w:pPr>
        <w:spacing w:line="420" w:lineRule="exact"/>
        <w:ind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4供方必须提供产品说明书等技术文件电子版。</w:t>
      </w:r>
      <w:bookmarkEnd w:id="5"/>
      <w:bookmarkEnd w:id="6"/>
    </w:p>
    <w:p/>
    <w:p/>
    <w:p/>
    <w:p/>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3</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fldChar w:fldCharType="begin"/>
    </w:r>
    <w:r>
      <w:rPr>
        <w:rStyle w:val="8"/>
      </w:rPr>
      <w:instrText xml:space="preserve">PAGE  </w:instrText>
    </w:r>
    <w: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decimal"/>
      <w:lvlText w:val="%1."/>
      <w:lvlJc w:val="left"/>
      <w:pPr>
        <w:tabs>
          <w:tab w:val="left" w:pos="840"/>
        </w:tabs>
        <w:ind w:left="840" w:hanging="360"/>
      </w:pPr>
      <w:rPr>
        <w:rFonts w:hint="eastAsia" w:ascii="宋体" w:hAnsi="宋体" w:eastAsia="宋体"/>
        <w:sz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E29F1"/>
    <w:rsid w:val="1BDE2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0"/>
      <w:szCs w:val="24"/>
      <w:lang w:val="en-US" w:eastAsia="zh-CN" w:bidi="ar-SA"/>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Date"/>
    <w:basedOn w:val="1"/>
    <w:next w:val="1"/>
    <w:qFormat/>
    <w:uiPriority w:val="0"/>
    <w:rPr>
      <w:rFonts w:ascii="宋体"/>
      <w:b/>
      <w:sz w:val="28"/>
      <w:szCs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2024-07-25T09:31:00Z</dcterms:created>
  <dc:creator>A7A8348A080C44D99920AD7985BC2210</dc:creator>
  <cp:lastModifiedBy>A7A8348A080C44D99920AD7985BC2210</cp:lastModifiedBy>
  <dcterms:modified xsi:type="dcterms:W3CDTF">2024-07-25T09:31:59Z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