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ind w:firstLine="0" w:firstLineChars="0"/>
        <w:jc w:val="center"/>
        <w:rPr>
          <w:rFonts w:ascii="宋体" w:hAnsi="宋体"/>
          <w:b/>
          <w:sz w:val="48"/>
        </w:rPr>
      </w:pPr>
    </w:p>
    <w:p>
      <w:pPr>
        <w:widowControl/>
        <w:spacing w:line="360" w:lineRule="auto"/>
        <w:ind w:firstLine="0" w:firstLineChars="0"/>
        <w:jc w:val="center"/>
        <w:rPr>
          <w:rFonts w:ascii="宋体" w:hAnsi="宋体"/>
          <w:b/>
          <w:sz w:val="48"/>
        </w:rPr>
      </w:pPr>
    </w:p>
    <w:p>
      <w:pPr>
        <w:widowControl/>
        <w:spacing w:line="360" w:lineRule="auto"/>
        <w:ind w:firstLine="0" w:firstLineChars="0"/>
        <w:jc w:val="center"/>
        <w:rPr>
          <w:rFonts w:ascii="宋体" w:hAnsi="宋体"/>
          <w:b/>
          <w:sz w:val="48"/>
        </w:rPr>
      </w:pPr>
    </w:p>
    <w:p>
      <w:pPr>
        <w:widowControl/>
        <w:spacing w:line="360" w:lineRule="auto"/>
        <w:ind w:firstLine="0" w:firstLineChars="0"/>
        <w:jc w:val="center"/>
        <w:rPr>
          <w:rFonts w:ascii="宋体" w:hAnsi="宋体"/>
          <w:b/>
          <w:sz w:val="48"/>
        </w:rPr>
      </w:pPr>
    </w:p>
    <w:p>
      <w:pPr>
        <w:widowControl/>
        <w:spacing w:line="360" w:lineRule="auto"/>
        <w:ind w:firstLine="0" w:firstLineChars="0"/>
        <w:jc w:val="center"/>
        <w:rPr>
          <w:rFonts w:ascii="宋体" w:hAnsi="宋体"/>
          <w:b/>
          <w:sz w:val="48"/>
        </w:rPr>
      </w:pPr>
    </w:p>
    <w:p>
      <w:pPr>
        <w:widowControl/>
        <w:spacing w:line="360" w:lineRule="auto"/>
        <w:ind w:firstLine="0" w:firstLineChars="0"/>
        <w:jc w:val="center"/>
        <w:rPr>
          <w:rFonts w:ascii="宋体" w:hAnsi="宋体"/>
          <w:b/>
          <w:sz w:val="48"/>
        </w:rPr>
      </w:pPr>
      <w:r>
        <w:rPr>
          <w:rFonts w:hint="eastAsia" w:ascii="宋体" w:hAnsi="宋体"/>
          <w:b/>
          <w:sz w:val="44"/>
          <w:szCs w:val="44"/>
        </w:rPr>
        <w:t>技术附件</w:t>
      </w:r>
    </w:p>
    <w:p>
      <w:pPr>
        <w:widowControl/>
        <w:spacing w:line="360" w:lineRule="auto"/>
        <w:ind w:firstLine="880"/>
        <w:rPr>
          <w:rFonts w:ascii="宋体" w:hAnsi="宋体"/>
          <w:sz w:val="44"/>
        </w:rPr>
      </w:pPr>
    </w:p>
    <w:p>
      <w:pPr>
        <w:widowControl/>
        <w:spacing w:line="360" w:lineRule="auto"/>
        <w:ind w:firstLine="0" w:firstLineChars="0"/>
        <w:jc w:val="center"/>
        <w:rPr>
          <w:rFonts w:ascii="宋体" w:hAnsi="宋体"/>
          <w:color w:val="FF0000"/>
          <w:sz w:val="28"/>
        </w:rPr>
      </w:pPr>
    </w:p>
    <w:p>
      <w:pPr>
        <w:widowControl/>
        <w:spacing w:line="360" w:lineRule="auto"/>
        <w:ind w:firstLine="640"/>
        <w:jc w:val="right"/>
        <w:rPr>
          <w:rFonts w:ascii="宋体" w:hAnsi="宋体"/>
          <w:sz w:val="32"/>
        </w:rPr>
      </w:pPr>
    </w:p>
    <w:p>
      <w:pPr>
        <w:widowControl/>
        <w:spacing w:line="360" w:lineRule="auto"/>
        <w:ind w:firstLine="640"/>
        <w:jc w:val="center"/>
        <w:rPr>
          <w:rFonts w:ascii="宋体" w:hAnsi="宋体"/>
          <w:sz w:val="32"/>
        </w:rPr>
      </w:pPr>
    </w:p>
    <w:p>
      <w:pPr>
        <w:widowControl/>
        <w:spacing w:line="360" w:lineRule="auto"/>
        <w:ind w:firstLine="640"/>
        <w:jc w:val="center"/>
        <w:rPr>
          <w:rFonts w:ascii="宋体" w:hAnsi="宋体"/>
          <w:sz w:val="32"/>
        </w:rPr>
      </w:pPr>
    </w:p>
    <w:p>
      <w:pPr>
        <w:widowControl/>
        <w:spacing w:line="360" w:lineRule="auto"/>
        <w:ind w:firstLine="640"/>
        <w:jc w:val="center"/>
        <w:rPr>
          <w:rFonts w:ascii="宋体" w:hAnsi="宋体"/>
          <w:sz w:val="32"/>
        </w:rPr>
      </w:pPr>
    </w:p>
    <w:p>
      <w:pPr>
        <w:widowControl/>
        <w:spacing w:line="360" w:lineRule="auto"/>
        <w:ind w:firstLine="640"/>
        <w:jc w:val="center"/>
        <w:rPr>
          <w:rFonts w:ascii="宋体" w:hAnsi="宋体"/>
          <w:sz w:val="32"/>
        </w:rPr>
      </w:pPr>
    </w:p>
    <w:p>
      <w:pPr>
        <w:widowControl/>
        <w:spacing w:line="360" w:lineRule="auto"/>
        <w:ind w:firstLine="640"/>
        <w:jc w:val="center"/>
        <w:rPr>
          <w:rFonts w:ascii="宋体" w:hAnsi="宋体"/>
          <w:sz w:val="32"/>
        </w:rPr>
      </w:pPr>
    </w:p>
    <w:p>
      <w:pPr>
        <w:widowControl/>
        <w:spacing w:line="360" w:lineRule="auto"/>
        <w:ind w:firstLine="640"/>
        <w:jc w:val="center"/>
        <w:rPr>
          <w:rFonts w:ascii="宋体" w:hAnsi="宋体"/>
          <w:sz w:val="32"/>
        </w:rPr>
      </w:pPr>
    </w:p>
    <w:p>
      <w:pPr>
        <w:widowControl/>
        <w:spacing w:line="360" w:lineRule="auto"/>
        <w:ind w:firstLine="640"/>
        <w:jc w:val="center"/>
        <w:rPr>
          <w:rFonts w:ascii="宋体" w:hAnsi="宋体"/>
          <w:sz w:val="32"/>
        </w:rPr>
      </w:pPr>
    </w:p>
    <w:p>
      <w:pPr>
        <w:widowControl/>
        <w:spacing w:line="360" w:lineRule="auto"/>
        <w:ind w:firstLine="640"/>
        <w:jc w:val="center"/>
        <w:rPr>
          <w:rFonts w:ascii="宋体" w:hAnsi="宋体"/>
          <w:sz w:val="32"/>
        </w:rPr>
      </w:pPr>
    </w:p>
    <w:p>
      <w:pPr>
        <w:widowControl/>
        <w:spacing w:line="360" w:lineRule="auto"/>
        <w:ind w:firstLine="640"/>
        <w:rPr>
          <w:rFonts w:ascii="宋体" w:hAnsi="宋体"/>
          <w:sz w:val="32"/>
        </w:rPr>
      </w:pPr>
      <w:r>
        <w:rPr>
          <w:rFonts w:hint="eastAsia" w:ascii="宋体" w:hAnsi="宋体"/>
          <w:sz w:val="32"/>
        </w:rPr>
        <w:t xml:space="preserve">                </w:t>
      </w:r>
    </w:p>
    <w:p>
      <w:pPr>
        <w:spacing w:line="360" w:lineRule="auto"/>
        <w:ind w:firstLine="0" w:firstLineChars="0"/>
        <w:rPr>
          <w:rFonts w:ascii="黑体" w:eastAsia="黑体"/>
          <w:sz w:val="32"/>
          <w:szCs w:val="32"/>
        </w:rPr>
      </w:pPr>
    </w:p>
    <w:p>
      <w:pPr>
        <w:pageBreakBefore/>
        <w:spacing w:line="360" w:lineRule="auto"/>
        <w:ind w:firstLine="0" w:firstLineChars="0"/>
        <w:jc w:val="center"/>
        <w:rPr>
          <w:rFonts w:ascii="宋体" w:hAnsi="宋体"/>
          <w:sz w:val="44"/>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pageBreakBefore/>
        <w:spacing w:line="360" w:lineRule="auto"/>
        <w:ind w:firstLine="0" w:firstLineChars="0"/>
        <w:jc w:val="center"/>
        <w:rPr>
          <w:rFonts w:ascii="宋体" w:hAnsi="宋体"/>
          <w:sz w:val="44"/>
        </w:rPr>
      </w:pPr>
      <w:r>
        <w:rPr>
          <w:rFonts w:hint="eastAsia" w:ascii="宋体" w:hAnsi="宋体"/>
          <w:sz w:val="44"/>
        </w:rPr>
        <w:t>目   录</w:t>
      </w:r>
    </w:p>
    <w:p>
      <w:pPr>
        <w:pStyle w:val="12"/>
        <w:tabs>
          <w:tab w:val="right" w:leader="dot" w:pos="8306"/>
        </w:tabs>
      </w:pPr>
      <w:bookmarkStart w:id="52" w:name="_GoBack"/>
      <w:bookmarkEnd w:id="52"/>
      <w:r>
        <w:rPr>
          <w:rFonts w:ascii="宋体" w:hAnsi="宋体"/>
          <w:b w:val="0"/>
          <w:bCs w:val="0"/>
          <w:sz w:val="21"/>
          <w:szCs w:val="21"/>
        </w:rPr>
        <w:fldChar w:fldCharType="begin"/>
      </w:r>
      <w:r>
        <w:rPr>
          <w:rFonts w:ascii="宋体" w:hAnsi="宋体"/>
          <w:b w:val="0"/>
          <w:bCs w:val="0"/>
          <w:sz w:val="21"/>
          <w:szCs w:val="21"/>
        </w:rPr>
        <w:instrText xml:space="preserve"> TOC \o "1-3" </w:instrText>
      </w:r>
      <w:r>
        <w:rPr>
          <w:rFonts w:ascii="宋体" w:hAnsi="宋体"/>
          <w:b w:val="0"/>
          <w:bCs w:val="0"/>
          <w:sz w:val="21"/>
          <w:szCs w:val="21"/>
        </w:rPr>
        <w:fldChar w:fldCharType="separate"/>
      </w:r>
      <w:r>
        <w:rPr>
          <w:szCs w:val="32"/>
        </w:rPr>
        <w:t xml:space="preserve">1. </w:t>
      </w:r>
      <w:r>
        <w:rPr>
          <w:rFonts w:hint="eastAsia"/>
          <w:szCs w:val="32"/>
        </w:rPr>
        <w:t>技术规范总则</w:t>
      </w:r>
      <w:r>
        <w:tab/>
      </w:r>
      <w:r>
        <w:fldChar w:fldCharType="begin"/>
      </w:r>
      <w:r>
        <w:instrText xml:space="preserve"> PAGEREF _Toc24075 \h </w:instrText>
      </w:r>
      <w:r>
        <w:fldChar w:fldCharType="separate"/>
      </w:r>
      <w:r>
        <w:t>1</w:t>
      </w:r>
      <w:r>
        <w:fldChar w:fldCharType="end"/>
      </w:r>
    </w:p>
    <w:p>
      <w:pPr>
        <w:pStyle w:val="13"/>
        <w:tabs>
          <w:tab w:val="right" w:leader="dot" w:pos="8306"/>
        </w:tabs>
      </w:pPr>
      <w:r>
        <w:t xml:space="preserve">1.1. </w:t>
      </w:r>
      <w:r>
        <w:rPr>
          <w:rFonts w:hint="eastAsia"/>
        </w:rPr>
        <w:t>项目名称</w:t>
      </w:r>
      <w:r>
        <w:tab/>
      </w:r>
      <w:r>
        <w:fldChar w:fldCharType="begin"/>
      </w:r>
      <w:r>
        <w:instrText xml:space="preserve"> PAGEREF _Toc23920 \h </w:instrText>
      </w:r>
      <w:r>
        <w:fldChar w:fldCharType="separate"/>
      </w:r>
      <w:r>
        <w:t>1</w:t>
      </w:r>
      <w:r>
        <w:fldChar w:fldCharType="end"/>
      </w:r>
    </w:p>
    <w:p>
      <w:pPr>
        <w:pStyle w:val="13"/>
        <w:tabs>
          <w:tab w:val="right" w:leader="dot" w:pos="8306"/>
        </w:tabs>
      </w:pPr>
      <w:r>
        <w:t xml:space="preserve">1.2. </w:t>
      </w:r>
      <w:r>
        <w:rPr>
          <w:rFonts w:hint="eastAsia"/>
        </w:rPr>
        <w:t>项目背景</w:t>
      </w:r>
      <w:r>
        <w:tab/>
      </w:r>
      <w:r>
        <w:fldChar w:fldCharType="begin"/>
      </w:r>
      <w:r>
        <w:instrText xml:space="preserve"> PAGEREF _Toc17839 \h </w:instrText>
      </w:r>
      <w:r>
        <w:fldChar w:fldCharType="separate"/>
      </w:r>
      <w:r>
        <w:t>1</w:t>
      </w:r>
      <w:r>
        <w:fldChar w:fldCharType="end"/>
      </w:r>
    </w:p>
    <w:p>
      <w:pPr>
        <w:pStyle w:val="13"/>
        <w:tabs>
          <w:tab w:val="right" w:leader="dot" w:pos="8306"/>
        </w:tabs>
      </w:pPr>
      <w:r>
        <w:t xml:space="preserve">1.3. </w:t>
      </w:r>
      <w:r>
        <w:rPr>
          <w:rFonts w:hint="eastAsia"/>
        </w:rPr>
        <w:t>项目范围</w:t>
      </w:r>
      <w:r>
        <w:tab/>
      </w:r>
      <w:r>
        <w:fldChar w:fldCharType="begin"/>
      </w:r>
      <w:r>
        <w:instrText xml:space="preserve"> PAGEREF _Toc27929 \h </w:instrText>
      </w:r>
      <w:r>
        <w:fldChar w:fldCharType="separate"/>
      </w:r>
      <w:r>
        <w:t>1</w:t>
      </w:r>
      <w:r>
        <w:fldChar w:fldCharType="end"/>
      </w:r>
    </w:p>
    <w:p>
      <w:pPr>
        <w:pStyle w:val="13"/>
        <w:tabs>
          <w:tab w:val="right" w:leader="dot" w:pos="8306"/>
        </w:tabs>
      </w:pPr>
      <w:r>
        <w:t xml:space="preserve">1.4. </w:t>
      </w:r>
      <w:r>
        <w:rPr>
          <w:rFonts w:hint="eastAsia"/>
        </w:rPr>
        <w:t>项目目的</w:t>
      </w:r>
      <w:r>
        <w:tab/>
      </w:r>
      <w:r>
        <w:fldChar w:fldCharType="begin"/>
      </w:r>
      <w:r>
        <w:instrText xml:space="preserve"> PAGEREF _Toc23578 \h </w:instrText>
      </w:r>
      <w:r>
        <w:fldChar w:fldCharType="separate"/>
      </w:r>
      <w:r>
        <w:t>1</w:t>
      </w:r>
      <w:r>
        <w:fldChar w:fldCharType="end"/>
      </w:r>
    </w:p>
    <w:p>
      <w:pPr>
        <w:pStyle w:val="13"/>
        <w:tabs>
          <w:tab w:val="right" w:leader="dot" w:pos="8306"/>
        </w:tabs>
      </w:pPr>
      <w:r>
        <w:rPr>
          <w:rFonts w:hint="eastAsia"/>
        </w:rPr>
        <w:t>1.5. 术语定义</w:t>
      </w:r>
      <w:r>
        <w:tab/>
      </w:r>
      <w:r>
        <w:fldChar w:fldCharType="begin"/>
      </w:r>
      <w:r>
        <w:instrText xml:space="preserve"> PAGEREF _Toc3658 \h </w:instrText>
      </w:r>
      <w:r>
        <w:fldChar w:fldCharType="separate"/>
      </w:r>
      <w:r>
        <w:t>1</w:t>
      </w:r>
      <w:r>
        <w:fldChar w:fldCharType="end"/>
      </w:r>
    </w:p>
    <w:p>
      <w:pPr>
        <w:pStyle w:val="12"/>
        <w:tabs>
          <w:tab w:val="right" w:leader="dot" w:pos="8306"/>
        </w:tabs>
      </w:pPr>
      <w:r>
        <w:rPr>
          <w:szCs w:val="32"/>
        </w:rPr>
        <w:t xml:space="preserve">2. </w:t>
      </w:r>
      <w:r>
        <w:rPr>
          <w:rFonts w:hint="eastAsia"/>
          <w:szCs w:val="32"/>
        </w:rPr>
        <w:t>项目技术要求</w:t>
      </w:r>
      <w:r>
        <w:tab/>
      </w:r>
      <w:r>
        <w:fldChar w:fldCharType="begin"/>
      </w:r>
      <w:r>
        <w:instrText xml:space="preserve"> PAGEREF _Toc11602 \h </w:instrText>
      </w:r>
      <w:r>
        <w:fldChar w:fldCharType="separate"/>
      </w:r>
      <w:r>
        <w:t>2</w:t>
      </w:r>
      <w:r>
        <w:fldChar w:fldCharType="end"/>
      </w:r>
    </w:p>
    <w:p>
      <w:pPr>
        <w:pStyle w:val="13"/>
        <w:tabs>
          <w:tab w:val="right" w:leader="dot" w:pos="8306"/>
        </w:tabs>
      </w:pPr>
      <w:r>
        <w:t xml:space="preserve">2.1. </w:t>
      </w:r>
      <w:r>
        <w:rPr>
          <w:rFonts w:hint="eastAsia"/>
        </w:rPr>
        <w:t>服务需求</w:t>
      </w:r>
      <w:r>
        <w:tab/>
      </w:r>
      <w:r>
        <w:fldChar w:fldCharType="begin"/>
      </w:r>
      <w:r>
        <w:instrText xml:space="preserve"> PAGEREF _Toc21988 \h </w:instrText>
      </w:r>
      <w:r>
        <w:fldChar w:fldCharType="separate"/>
      </w:r>
      <w:r>
        <w:t>2</w:t>
      </w:r>
      <w:r>
        <w:fldChar w:fldCharType="end"/>
      </w:r>
    </w:p>
    <w:p>
      <w:pPr>
        <w:pStyle w:val="8"/>
        <w:tabs>
          <w:tab w:val="right" w:leader="dot" w:pos="8306"/>
        </w:tabs>
      </w:pPr>
      <w:r>
        <w:t xml:space="preserve">2.1.1. </w:t>
      </w:r>
      <w:r>
        <w:rPr>
          <w:rFonts w:hint="eastAsia"/>
        </w:rPr>
        <w:t>服务概述</w:t>
      </w:r>
      <w:r>
        <w:tab/>
      </w:r>
      <w:r>
        <w:fldChar w:fldCharType="begin"/>
      </w:r>
      <w:r>
        <w:instrText xml:space="preserve"> PAGEREF _Toc6110 \h </w:instrText>
      </w:r>
      <w:r>
        <w:fldChar w:fldCharType="separate"/>
      </w:r>
      <w:r>
        <w:t>2</w:t>
      </w:r>
      <w:r>
        <w:fldChar w:fldCharType="end"/>
      </w:r>
    </w:p>
    <w:p>
      <w:pPr>
        <w:pStyle w:val="8"/>
        <w:tabs>
          <w:tab w:val="right" w:leader="dot" w:pos="8306"/>
        </w:tabs>
      </w:pPr>
      <w:r>
        <w:t xml:space="preserve">2.1.2. </w:t>
      </w:r>
      <w:r>
        <w:rPr>
          <w:rFonts w:hint="eastAsia"/>
        </w:rPr>
        <w:t>服务内容</w:t>
      </w:r>
      <w:r>
        <w:tab/>
      </w:r>
      <w:r>
        <w:fldChar w:fldCharType="begin"/>
      </w:r>
      <w:r>
        <w:instrText xml:space="preserve"> PAGEREF _Toc30934 \h </w:instrText>
      </w:r>
      <w:r>
        <w:fldChar w:fldCharType="separate"/>
      </w:r>
      <w:r>
        <w:t>2</w:t>
      </w:r>
      <w:r>
        <w:fldChar w:fldCharType="end"/>
      </w:r>
    </w:p>
    <w:p>
      <w:pPr>
        <w:pStyle w:val="8"/>
        <w:tabs>
          <w:tab w:val="right" w:leader="dot" w:pos="8306"/>
        </w:tabs>
      </w:pPr>
      <w:r>
        <w:t>2.1.3. 服务方式</w:t>
      </w:r>
      <w:r>
        <w:tab/>
      </w:r>
      <w:r>
        <w:fldChar w:fldCharType="begin"/>
      </w:r>
      <w:r>
        <w:instrText xml:space="preserve"> PAGEREF _Toc4968 \h </w:instrText>
      </w:r>
      <w:r>
        <w:fldChar w:fldCharType="separate"/>
      </w:r>
      <w:r>
        <w:t>6</w:t>
      </w:r>
      <w:r>
        <w:fldChar w:fldCharType="end"/>
      </w:r>
    </w:p>
    <w:p>
      <w:pPr>
        <w:pStyle w:val="8"/>
        <w:tabs>
          <w:tab w:val="right" w:leader="dot" w:pos="8306"/>
        </w:tabs>
      </w:pPr>
      <w:r>
        <w:t xml:space="preserve">2.1.4. </w:t>
      </w:r>
      <w:r>
        <w:rPr>
          <w:rFonts w:hint="eastAsia"/>
        </w:rPr>
        <w:t>服务要求</w:t>
      </w:r>
      <w:r>
        <w:tab/>
      </w:r>
      <w:r>
        <w:fldChar w:fldCharType="begin"/>
      </w:r>
      <w:r>
        <w:instrText xml:space="preserve"> PAGEREF _Toc13488 \h </w:instrText>
      </w:r>
      <w:r>
        <w:fldChar w:fldCharType="separate"/>
      </w:r>
      <w:r>
        <w:t>7</w:t>
      </w:r>
      <w:r>
        <w:fldChar w:fldCharType="end"/>
      </w:r>
    </w:p>
    <w:p>
      <w:pPr>
        <w:pStyle w:val="13"/>
        <w:tabs>
          <w:tab w:val="right" w:leader="dot" w:pos="8306"/>
        </w:tabs>
      </w:pPr>
      <w:r>
        <w:rPr>
          <w:rFonts w:hint="eastAsia"/>
        </w:rPr>
        <w:t>2.2. 项目交付项</w:t>
      </w:r>
      <w:r>
        <w:tab/>
      </w:r>
      <w:r>
        <w:fldChar w:fldCharType="begin"/>
      </w:r>
      <w:r>
        <w:instrText xml:space="preserve"> PAGEREF _Toc16786 \h </w:instrText>
      </w:r>
      <w:r>
        <w:fldChar w:fldCharType="separate"/>
      </w:r>
      <w:r>
        <w:t>9</w:t>
      </w:r>
      <w:r>
        <w:fldChar w:fldCharType="end"/>
      </w:r>
    </w:p>
    <w:p>
      <w:pPr>
        <w:pStyle w:val="13"/>
        <w:tabs>
          <w:tab w:val="right" w:leader="dot" w:pos="8306"/>
        </w:tabs>
      </w:pPr>
      <w:r>
        <w:t xml:space="preserve">2.3. </w:t>
      </w:r>
      <w:r>
        <w:rPr>
          <w:rFonts w:hint="eastAsia"/>
        </w:rPr>
        <w:t>乙方考核与评价</w:t>
      </w:r>
      <w:r>
        <w:tab/>
      </w:r>
      <w:r>
        <w:fldChar w:fldCharType="begin"/>
      </w:r>
      <w:r>
        <w:instrText xml:space="preserve"> PAGEREF _Toc15794 \h </w:instrText>
      </w:r>
      <w:r>
        <w:fldChar w:fldCharType="separate"/>
      </w:r>
      <w:r>
        <w:t>10</w:t>
      </w:r>
      <w:r>
        <w:fldChar w:fldCharType="end"/>
      </w:r>
    </w:p>
    <w:p>
      <w:pPr>
        <w:pStyle w:val="12"/>
        <w:tabs>
          <w:tab w:val="right" w:leader="dot" w:pos="8306"/>
        </w:tabs>
      </w:pPr>
      <w:r>
        <w:rPr>
          <w:szCs w:val="32"/>
        </w:rPr>
        <w:t xml:space="preserve">3. </w:t>
      </w:r>
      <w:r>
        <w:rPr>
          <w:rFonts w:hint="eastAsia"/>
          <w:szCs w:val="32"/>
        </w:rPr>
        <w:t>知识产权方面要求</w:t>
      </w:r>
      <w:r>
        <w:tab/>
      </w:r>
      <w:r>
        <w:fldChar w:fldCharType="begin"/>
      </w:r>
      <w:r>
        <w:instrText xml:space="preserve"> PAGEREF _Toc16941 \h </w:instrText>
      </w:r>
      <w:r>
        <w:fldChar w:fldCharType="separate"/>
      </w:r>
      <w:r>
        <w:t>11</w:t>
      </w:r>
      <w:r>
        <w:fldChar w:fldCharType="end"/>
      </w:r>
    </w:p>
    <w:p>
      <w:pPr>
        <w:pStyle w:val="12"/>
        <w:tabs>
          <w:tab w:val="right" w:leader="dot" w:pos="8306"/>
        </w:tabs>
      </w:pPr>
      <w:r>
        <w:rPr>
          <w:szCs w:val="32"/>
        </w:rPr>
        <w:t xml:space="preserve">4. </w:t>
      </w:r>
      <w:r>
        <w:rPr>
          <w:rFonts w:hint="eastAsia"/>
          <w:szCs w:val="32"/>
        </w:rPr>
        <w:t>保密要求</w:t>
      </w:r>
      <w:r>
        <w:tab/>
      </w:r>
      <w:r>
        <w:fldChar w:fldCharType="begin"/>
      </w:r>
      <w:r>
        <w:instrText xml:space="preserve"> PAGEREF _Toc26263 \h </w:instrText>
      </w:r>
      <w:r>
        <w:fldChar w:fldCharType="separate"/>
      </w:r>
      <w:r>
        <w:t>11</w:t>
      </w:r>
      <w:r>
        <w:fldChar w:fldCharType="end"/>
      </w:r>
    </w:p>
    <w:p>
      <w:pPr>
        <w:pStyle w:val="23"/>
        <w:spacing w:line="360" w:lineRule="auto"/>
        <w:jc w:val="left"/>
        <w:rPr>
          <w:rFonts w:ascii="宋体" w:hAnsi="宋体"/>
          <w:sz w:val="21"/>
          <w:szCs w:val="21"/>
        </w:rPr>
      </w:pPr>
      <w:r>
        <w:rPr>
          <w:rFonts w:ascii="宋体" w:hAnsi="宋体"/>
          <w:bCs/>
          <w:szCs w:val="21"/>
        </w:rPr>
        <w:fldChar w:fldCharType="end"/>
      </w:r>
    </w:p>
    <w:p>
      <w:pPr>
        <w:pStyle w:val="23"/>
        <w:spacing w:line="360" w:lineRule="auto"/>
        <w:ind w:firstLine="0" w:firstLineChars="0"/>
      </w:pPr>
    </w:p>
    <w:p>
      <w:pPr>
        <w:pStyle w:val="2"/>
        <w:spacing w:line="360" w:lineRule="auto"/>
        <w:sectPr>
          <w:headerReference r:id="rId11"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0" w:name="_Toc233640518"/>
    </w:p>
    <w:p>
      <w:pPr>
        <w:pStyle w:val="2"/>
        <w:numPr>
          <w:ilvl w:val="0"/>
          <w:numId w:val="1"/>
        </w:numPr>
        <w:spacing w:line="360" w:lineRule="auto"/>
        <w:rPr>
          <w:sz w:val="32"/>
          <w:szCs w:val="32"/>
        </w:rPr>
      </w:pPr>
      <w:bookmarkStart w:id="1" w:name="_Toc24075"/>
      <w:r>
        <w:rPr>
          <w:rFonts w:hint="eastAsia"/>
          <w:sz w:val="32"/>
          <w:szCs w:val="32"/>
        </w:rPr>
        <w:t>技术规范总则</w:t>
      </w:r>
      <w:bookmarkEnd w:id="1"/>
    </w:p>
    <w:p>
      <w:pPr>
        <w:pStyle w:val="31"/>
        <w:numPr>
          <w:ilvl w:val="1"/>
          <w:numId w:val="1"/>
        </w:numPr>
        <w:spacing w:line="360" w:lineRule="auto"/>
      </w:pPr>
      <w:bookmarkStart w:id="2" w:name="_Toc323744605"/>
      <w:bookmarkStart w:id="3" w:name="_Toc23920"/>
      <w:r>
        <w:rPr>
          <w:rFonts w:hint="eastAsia"/>
        </w:rPr>
        <w:t>项目名称</w:t>
      </w:r>
      <w:bookmarkEnd w:id="2"/>
      <w:bookmarkEnd w:id="3"/>
    </w:p>
    <w:p>
      <w:pPr>
        <w:widowControl/>
        <w:spacing w:line="360" w:lineRule="auto"/>
        <w:ind w:firstLine="0" w:firstLineChars="0"/>
        <w:jc w:val="left"/>
        <w:rPr>
          <w:rFonts w:ascii="宋体" w:hAnsi="宋体"/>
          <w:sz w:val="44"/>
        </w:rPr>
      </w:pPr>
      <w:r>
        <w:rPr>
          <w:rFonts w:hint="eastAsia"/>
        </w:rPr>
        <w:t xml:space="preserve">    </w:t>
      </w:r>
      <w:r>
        <w:rPr>
          <w:rFonts w:hint="eastAsia"/>
          <w:lang w:eastAsia="zh-CN"/>
        </w:rPr>
        <w:t>南方电网数字传媒科技有限公司2024年办公基地数字化辅助支撑项目</w:t>
      </w:r>
      <w:r>
        <w:rPr>
          <w:rFonts w:hint="eastAsia"/>
        </w:rPr>
        <w:t>。</w:t>
      </w:r>
    </w:p>
    <w:p>
      <w:pPr>
        <w:pStyle w:val="31"/>
        <w:numPr>
          <w:ilvl w:val="1"/>
          <w:numId w:val="1"/>
        </w:numPr>
        <w:spacing w:line="360" w:lineRule="auto"/>
      </w:pPr>
      <w:bookmarkStart w:id="4" w:name="_Toc323744606"/>
      <w:bookmarkStart w:id="5" w:name="_Toc17839"/>
      <w:r>
        <w:rPr>
          <w:rFonts w:hint="eastAsia"/>
        </w:rPr>
        <w:t>项目背景</w:t>
      </w:r>
      <w:bookmarkEnd w:id="4"/>
      <w:bookmarkEnd w:id="5"/>
    </w:p>
    <w:p>
      <w:pPr>
        <w:widowControl/>
        <w:spacing w:line="360" w:lineRule="auto"/>
        <w:ind w:firstLine="480" w:firstLineChars="200"/>
        <w:jc w:val="left"/>
        <w:rPr>
          <w:rFonts w:hint="eastAsia" w:ascii="Times New Roman" w:hAnsi="Times New Roman" w:eastAsia="宋体" w:cs="Times New Roman"/>
          <w:lang w:eastAsia="zh-CN"/>
        </w:rPr>
      </w:pPr>
      <w:bookmarkStart w:id="6" w:name="_Toc323744607"/>
      <w:r>
        <w:rPr>
          <w:rFonts w:hint="eastAsia" w:ascii="Times New Roman" w:hAnsi="Times New Roman" w:eastAsia="宋体" w:cs="Times New Roman"/>
          <w:lang w:eastAsia="zh-CN"/>
        </w:rPr>
        <w:t>随着南网传媒公司数字化转型工作不断深入，数字化运维支撑工作的重要性逐年增加，办公终端、应用系统、网络安全、数据安全等领域工作量不断增长，现拟采购2024年数字化辅助支撑支撑服务，辅助公司完成网络设备管理、办公终端管理、应用系统管理、网络安全攻防演练、网络安全事件应急处置、重要时期网络安全值守等相关工作。要求中标供应商派出至少3名能胜任该项维护工作的工程师开展支撑工作。</w:t>
      </w:r>
    </w:p>
    <w:p>
      <w:pPr>
        <w:pStyle w:val="31"/>
        <w:numPr>
          <w:ilvl w:val="1"/>
          <w:numId w:val="1"/>
        </w:numPr>
        <w:spacing w:line="360" w:lineRule="auto"/>
      </w:pPr>
      <w:bookmarkStart w:id="7" w:name="_Toc27929"/>
      <w:r>
        <w:rPr>
          <w:rFonts w:hint="eastAsia"/>
        </w:rPr>
        <w:t>项目范围</w:t>
      </w:r>
      <w:bookmarkEnd w:id="6"/>
      <w:bookmarkEnd w:id="7"/>
    </w:p>
    <w:p>
      <w:pPr>
        <w:widowControl/>
        <w:spacing w:line="360" w:lineRule="auto"/>
        <w:ind w:firstLine="480" w:firstLineChars="200"/>
        <w:jc w:val="left"/>
        <w:rPr>
          <w:rFonts w:hint="eastAsia" w:hAnsi="宋体" w:asciiTheme="minorHAnsi" w:eastAsiaTheme="minorEastAsia" w:cstheme="minorBidi"/>
          <w:szCs w:val="22"/>
        </w:rPr>
      </w:pPr>
      <w:bookmarkStart w:id="8" w:name="TXT_964B32BB4C6549149317C7DF75C889F5_1"/>
      <w:r>
        <w:rPr>
          <w:rFonts w:hint="eastAsia" w:ascii="Times New Roman" w:hAnsi="Times New Roman" w:eastAsia="宋体" w:cs="Times New Roman"/>
          <w:lang w:val="en-US" w:eastAsia="zh-CN"/>
        </w:rPr>
        <w:t>本项目主要包括网络设备管理、办公终端管理、应用系统管理、网络安全攻防演练、网络安全事件应急处置、重要时期网络安全值守等相关工作，含终端电脑、打印机、电话、会议室设备、安全U盘、操作系统、存储，防火墙、网络交换机、AD域控制器、360天擎杀毒软件、天融信DLP桌面管理、ukey应用及RA注册管理系统、内外网网络、网络安全保障，4A平台应用系统、协同办公系统、内邮件系统、外邮件系统、短信平台等软硬件管理。根据以上主要内容，现需要采购三名能胜任该项维护工作的工程师开展日常运维支撑工作。</w:t>
      </w:r>
      <w:bookmarkEnd w:id="8"/>
    </w:p>
    <w:p>
      <w:pPr>
        <w:pStyle w:val="31"/>
        <w:numPr>
          <w:ilvl w:val="1"/>
          <w:numId w:val="1"/>
        </w:numPr>
        <w:spacing w:line="360" w:lineRule="auto"/>
      </w:pPr>
      <w:bookmarkStart w:id="9" w:name="_Toc323744608"/>
      <w:bookmarkStart w:id="10" w:name="_Toc23578"/>
      <w:r>
        <w:rPr>
          <w:rFonts w:hint="eastAsia"/>
        </w:rPr>
        <w:t>项目目的</w:t>
      </w:r>
      <w:bookmarkEnd w:id="9"/>
      <w:bookmarkEnd w:id="10"/>
    </w:p>
    <w:p>
      <w:pPr>
        <w:pStyle w:val="27"/>
        <w:ind w:firstLine="480"/>
        <w:jc w:val="left"/>
      </w:pPr>
      <w:r>
        <w:rPr>
          <w:rFonts w:hint="eastAsia"/>
          <w:lang w:eastAsia="zh-CN"/>
        </w:rPr>
        <w:t>南方电网数字传媒科技有限公司</w:t>
      </w:r>
      <w:r>
        <w:rPr>
          <w:rFonts w:hint="eastAsia"/>
        </w:rPr>
        <w:t>将通过本次项目，</w:t>
      </w:r>
      <w:r>
        <w:rPr>
          <w:rFonts w:hint="eastAsia"/>
          <w:lang w:eastAsia="zh-CN"/>
        </w:rPr>
        <w:t>保证终端、基础平台、</w:t>
      </w:r>
      <w:r>
        <w:rPr>
          <w:rFonts w:hint="eastAsia" w:hAnsi="宋体" w:asciiTheme="minorHAnsi" w:eastAsiaTheme="minorEastAsia" w:cstheme="minorBidi"/>
          <w:kern w:val="2"/>
          <w:szCs w:val="22"/>
        </w:rPr>
        <w:t>应用系统等</w:t>
      </w:r>
      <w:r>
        <w:rPr>
          <w:rFonts w:hint="eastAsia"/>
        </w:rPr>
        <w:t>稳定高效运行。</w:t>
      </w:r>
      <w:bookmarkStart w:id="11" w:name="_1.6设备列表"/>
      <w:bookmarkEnd w:id="11"/>
    </w:p>
    <w:p>
      <w:pPr>
        <w:pStyle w:val="31"/>
        <w:numPr>
          <w:ilvl w:val="1"/>
          <w:numId w:val="1"/>
        </w:numPr>
        <w:spacing w:line="360" w:lineRule="auto"/>
      </w:pPr>
      <w:bookmarkStart w:id="12" w:name="_Toc323744609"/>
      <w:bookmarkStart w:id="13" w:name="_Toc3658"/>
      <w:r>
        <w:rPr>
          <w:rFonts w:hint="eastAsia"/>
        </w:rPr>
        <w:t>术语定义</w:t>
      </w:r>
      <w:bookmarkEnd w:id="12"/>
      <w:bookmarkEnd w:id="13"/>
      <w:r>
        <w:rPr>
          <w:rFonts w:hint="eastAsia"/>
        </w:rPr>
        <w:tab/>
      </w:r>
    </w:p>
    <w:p>
      <w:pPr>
        <w:pStyle w:val="27"/>
        <w:ind w:left="900" w:firstLine="0" w:firstLineChars="0"/>
        <w:jc w:val="left"/>
        <w:rPr>
          <w:rFonts w:ascii="Times New Roman"/>
        </w:rPr>
      </w:pPr>
      <w:r>
        <w:rPr>
          <w:rFonts w:hint="eastAsia" w:ascii="Times New Roman"/>
        </w:rPr>
        <w:t>故障级别定义如下：</w:t>
      </w:r>
    </w:p>
    <w:p>
      <w:pPr>
        <w:pStyle w:val="26"/>
        <w:numPr>
          <w:ilvl w:val="0"/>
          <w:numId w:val="2"/>
        </w:numPr>
        <w:spacing w:line="360" w:lineRule="auto"/>
        <w:ind w:left="0" w:firstLine="420"/>
      </w:pPr>
      <w:r>
        <w:rPr>
          <w:rFonts w:hint="eastAsia"/>
        </w:rPr>
        <w:t>P1级故障：重大故障，系统瘫痪，无法运行，业务丢失。</w:t>
      </w:r>
    </w:p>
    <w:p>
      <w:pPr>
        <w:pStyle w:val="26"/>
        <w:numPr>
          <w:ilvl w:val="0"/>
          <w:numId w:val="2"/>
        </w:numPr>
        <w:spacing w:line="360" w:lineRule="auto"/>
        <w:ind w:left="0" w:firstLine="420"/>
      </w:pPr>
      <w:r>
        <w:rPr>
          <w:rFonts w:hint="eastAsia"/>
        </w:rPr>
        <w:t>P2级故障：系统部分设备故障，影响和限制了部分业务运营。</w:t>
      </w:r>
    </w:p>
    <w:p>
      <w:pPr>
        <w:pStyle w:val="26"/>
        <w:numPr>
          <w:ilvl w:val="0"/>
          <w:numId w:val="2"/>
        </w:numPr>
        <w:spacing w:line="360" w:lineRule="auto"/>
        <w:ind w:left="0" w:firstLine="420"/>
      </w:pPr>
      <w:r>
        <w:rPr>
          <w:rFonts w:hint="eastAsia"/>
        </w:rPr>
        <w:t>P3级故障：一般性技术故障，发现系统和设备的技术问题，但系统和业务仍可正常运行。</w:t>
      </w:r>
    </w:p>
    <w:p>
      <w:pPr>
        <w:pStyle w:val="26"/>
        <w:numPr>
          <w:ilvl w:val="0"/>
          <w:numId w:val="2"/>
        </w:numPr>
        <w:spacing w:line="360" w:lineRule="auto"/>
        <w:ind w:left="0" w:firstLine="420"/>
      </w:pPr>
      <w:r>
        <w:rPr>
          <w:rFonts w:hint="eastAsia"/>
        </w:rPr>
        <w:t>P4级故障：在</w:t>
      </w:r>
      <w:r>
        <w:t>系统</w:t>
      </w:r>
      <w:r>
        <w:rPr>
          <w:rFonts w:hint="eastAsia"/>
        </w:rPr>
        <w:t>功能配置</w:t>
      </w:r>
      <w:r>
        <w:t>、运维管理</w:t>
      </w:r>
      <w:r>
        <w:rPr>
          <w:rFonts w:hint="eastAsia"/>
        </w:rPr>
        <w:t>方面需要信息或支援，对用户的业务几乎无影响。</w:t>
      </w:r>
    </w:p>
    <w:p>
      <w:pPr>
        <w:pStyle w:val="2"/>
        <w:numPr>
          <w:ilvl w:val="0"/>
          <w:numId w:val="1"/>
        </w:numPr>
        <w:spacing w:line="360" w:lineRule="auto"/>
        <w:rPr>
          <w:sz w:val="32"/>
          <w:szCs w:val="32"/>
        </w:rPr>
      </w:pPr>
      <w:bookmarkStart w:id="14" w:name="_Toc323744610"/>
      <w:bookmarkStart w:id="15" w:name="_Toc11602"/>
      <w:r>
        <w:rPr>
          <w:rFonts w:hint="eastAsia"/>
          <w:sz w:val="32"/>
          <w:szCs w:val="32"/>
        </w:rPr>
        <w:t>项目技术要求</w:t>
      </w:r>
      <w:bookmarkEnd w:id="14"/>
      <w:bookmarkEnd w:id="15"/>
    </w:p>
    <w:p>
      <w:pPr>
        <w:pStyle w:val="31"/>
        <w:numPr>
          <w:ilvl w:val="1"/>
          <w:numId w:val="1"/>
        </w:numPr>
        <w:spacing w:line="360" w:lineRule="auto"/>
      </w:pPr>
      <w:bookmarkStart w:id="16" w:name="_Toc323744611"/>
      <w:bookmarkStart w:id="17" w:name="_Toc21988"/>
      <w:r>
        <w:rPr>
          <w:rFonts w:hint="eastAsia"/>
        </w:rPr>
        <w:t>服务需求</w:t>
      </w:r>
      <w:bookmarkEnd w:id="16"/>
      <w:bookmarkEnd w:id="17"/>
    </w:p>
    <w:p>
      <w:pPr>
        <w:pStyle w:val="4"/>
        <w:numPr>
          <w:ilvl w:val="2"/>
          <w:numId w:val="1"/>
        </w:numPr>
        <w:spacing w:line="360" w:lineRule="auto"/>
      </w:pPr>
      <w:bookmarkStart w:id="18" w:name="_Toc323744612"/>
      <w:bookmarkStart w:id="19" w:name="_Toc6110"/>
      <w:r>
        <w:rPr>
          <w:rFonts w:hint="eastAsia"/>
        </w:rPr>
        <w:t>服务概述</w:t>
      </w:r>
      <w:bookmarkEnd w:id="18"/>
      <w:bookmarkEnd w:id="19"/>
    </w:p>
    <w:p>
      <w:pPr>
        <w:pStyle w:val="26"/>
        <w:spacing w:line="360" w:lineRule="auto"/>
        <w:ind w:left="0" w:firstLine="480" w:firstLineChars="200"/>
      </w:pPr>
      <w:r>
        <w:rPr>
          <w:rFonts w:hint="eastAsia"/>
        </w:rPr>
        <w:t>乙方负责甲方之软硬件设备开展定期巡检、响应支持、优化改善和培训总结等技术服务，保证甲方相关软硬件的稳定运行。乙方承担本次项目范围内所涉及的所有设备的运维保障工作。</w:t>
      </w:r>
    </w:p>
    <w:p>
      <w:pPr>
        <w:pStyle w:val="4"/>
        <w:numPr>
          <w:ilvl w:val="2"/>
          <w:numId w:val="1"/>
        </w:numPr>
        <w:spacing w:line="360" w:lineRule="auto"/>
      </w:pPr>
      <w:bookmarkStart w:id="20" w:name="_Toc323744613"/>
      <w:bookmarkStart w:id="21" w:name="_Toc30934"/>
      <w:r>
        <w:rPr>
          <w:rFonts w:hint="eastAsia"/>
        </w:rPr>
        <w:t>服务内容</w:t>
      </w:r>
      <w:bookmarkEnd w:id="20"/>
      <w:bookmarkEnd w:id="21"/>
    </w:p>
    <w:p>
      <w:pPr>
        <w:pStyle w:val="5"/>
        <w:numPr>
          <w:ilvl w:val="3"/>
          <w:numId w:val="1"/>
        </w:numPr>
        <w:spacing w:line="360" w:lineRule="auto"/>
      </w:pPr>
      <w:r>
        <w:t>总体目标</w:t>
      </w:r>
    </w:p>
    <w:p>
      <w:pPr>
        <w:pStyle w:val="26"/>
        <w:numPr>
          <w:ilvl w:val="0"/>
          <w:numId w:val="3"/>
        </w:numPr>
        <w:spacing w:line="360" w:lineRule="auto"/>
        <w:ind w:left="0" w:firstLine="420"/>
      </w:pPr>
      <w:r>
        <w:t>通过</w:t>
      </w:r>
      <w:r>
        <w:rPr>
          <w:rFonts w:hint="eastAsia"/>
        </w:rPr>
        <w:t>乙方专业的、认真的、负责任</w:t>
      </w:r>
      <w:r>
        <w:t>的</w:t>
      </w:r>
      <w:r>
        <w:rPr>
          <w:rFonts w:hint="eastAsia"/>
        </w:rPr>
        <w:t>维护服务</w:t>
      </w:r>
      <w:r>
        <w:t>，保证</w:t>
      </w:r>
      <w:r>
        <w:rPr>
          <w:rFonts w:hint="eastAsia"/>
        </w:rPr>
        <w:t>所涉及的相关软硬件</w:t>
      </w:r>
      <w:r>
        <w:t>的</w:t>
      </w:r>
      <w:r>
        <w:rPr>
          <w:rFonts w:hint="eastAsia"/>
        </w:rPr>
        <w:t>高效稳定</w:t>
      </w:r>
      <w:r>
        <w:t>运行</w:t>
      </w:r>
      <w:r>
        <w:rPr>
          <w:rFonts w:hint="eastAsia"/>
        </w:rPr>
        <w:t>。</w:t>
      </w:r>
    </w:p>
    <w:p>
      <w:pPr>
        <w:pStyle w:val="26"/>
        <w:numPr>
          <w:ilvl w:val="0"/>
          <w:numId w:val="3"/>
        </w:numPr>
        <w:spacing w:line="360" w:lineRule="auto"/>
        <w:ind w:left="0" w:firstLine="420"/>
      </w:pPr>
      <w:r>
        <w:rPr>
          <w:rFonts w:hint="eastAsia"/>
        </w:rPr>
        <w:t>乙方具备</w:t>
      </w:r>
      <w:r>
        <w:t>应急</w:t>
      </w:r>
      <w:r>
        <w:rPr>
          <w:rFonts w:hint="eastAsia"/>
        </w:rPr>
        <w:t>处理能力并制定了完善的应急预案</w:t>
      </w:r>
      <w:r>
        <w:t>，</w:t>
      </w:r>
      <w:r>
        <w:rPr>
          <w:rFonts w:hint="eastAsia"/>
        </w:rPr>
        <w:t>减少计划内和计划外的停机时间，最终</w:t>
      </w:r>
      <w:r>
        <w:t>保障</w:t>
      </w:r>
      <w:r>
        <w:rPr>
          <w:rFonts w:hint="eastAsia"/>
        </w:rPr>
        <w:t>传媒公司办公环境信息业务、网络空间每周</w:t>
      </w:r>
      <w:r>
        <w:t>7</w:t>
      </w:r>
      <w:r>
        <w:rPr>
          <w:rFonts w:hint="eastAsia"/>
        </w:rPr>
        <w:t>天</w:t>
      </w:r>
      <w:r>
        <w:t>×24小时不间断</w:t>
      </w:r>
      <w:r>
        <w:rPr>
          <w:rFonts w:hint="eastAsia"/>
        </w:rPr>
        <w:t>安全稳定</w:t>
      </w:r>
      <w:r>
        <w:t>运行</w:t>
      </w:r>
      <w:r>
        <w:rPr>
          <w:rFonts w:hint="eastAsia"/>
        </w:rPr>
        <w:t>。</w:t>
      </w:r>
    </w:p>
    <w:p>
      <w:pPr>
        <w:pStyle w:val="26"/>
        <w:numPr>
          <w:ilvl w:val="0"/>
          <w:numId w:val="3"/>
        </w:numPr>
        <w:spacing w:line="360" w:lineRule="auto"/>
        <w:ind w:left="0" w:firstLine="420"/>
      </w:pPr>
      <w:r>
        <w:rPr>
          <w:rFonts w:hint="eastAsia"/>
        </w:rPr>
        <w:t>乙方定期</w:t>
      </w:r>
      <w:r>
        <w:t>对现有</w:t>
      </w:r>
      <w:r>
        <w:rPr>
          <w:rFonts w:hint="eastAsia"/>
        </w:rPr>
        <w:t>软硬件平台</w:t>
      </w:r>
      <w:r>
        <w:t>系统运转状况进行</w:t>
      </w:r>
      <w:r>
        <w:rPr>
          <w:rFonts w:hint="eastAsia"/>
        </w:rPr>
        <w:t>巡检、</w:t>
      </w:r>
      <w:r>
        <w:t>跟踪</w:t>
      </w:r>
      <w:r>
        <w:rPr>
          <w:rFonts w:hint="eastAsia"/>
        </w:rPr>
        <w:t>和</w:t>
      </w:r>
      <w:r>
        <w:t>分析，科学地预测和掌握</w:t>
      </w:r>
      <w:r>
        <w:rPr>
          <w:rFonts w:hint="eastAsia"/>
        </w:rPr>
        <w:t>软硬件平台</w:t>
      </w:r>
      <w:r>
        <w:t>系统的性能状态，提出科学合理的</w:t>
      </w:r>
      <w:r>
        <w:rPr>
          <w:rFonts w:hint="eastAsia"/>
        </w:rPr>
        <w:t>扩容</w:t>
      </w:r>
      <w:r>
        <w:t>和升级</w:t>
      </w:r>
      <w:r>
        <w:rPr>
          <w:rFonts w:hint="eastAsia"/>
        </w:rPr>
        <w:t>建议。</w:t>
      </w:r>
    </w:p>
    <w:p>
      <w:pPr>
        <w:pStyle w:val="26"/>
        <w:numPr>
          <w:ilvl w:val="0"/>
          <w:numId w:val="3"/>
        </w:numPr>
        <w:spacing w:line="360" w:lineRule="auto"/>
        <w:ind w:left="0" w:firstLine="420"/>
      </w:pPr>
      <w:r>
        <w:rPr>
          <w:rFonts w:hint="eastAsia"/>
        </w:rPr>
        <w:t>乙方在维护中熟悉各主机上承载应用系统，结合甲方IT系统和业务应用的具体实际情况，查漏补缺，提出整改建议，配合应用厂商不断优化系统整体性能，提高系统运行整体效率。</w:t>
      </w:r>
    </w:p>
    <w:p>
      <w:pPr>
        <w:pStyle w:val="5"/>
        <w:numPr>
          <w:ilvl w:val="3"/>
          <w:numId w:val="1"/>
        </w:numPr>
        <w:spacing w:line="360" w:lineRule="auto"/>
      </w:pPr>
      <w:r>
        <w:rPr>
          <w:rFonts w:hint="eastAsia"/>
          <w:lang w:val="en-US"/>
        </w:rPr>
        <w:t>详细技术服务</w:t>
      </w:r>
      <w:r>
        <w:t>内容</w:t>
      </w:r>
    </w:p>
    <w:p>
      <w:pPr>
        <w:spacing w:line="360" w:lineRule="auto"/>
        <w:ind w:right="26" w:firstLine="480"/>
        <w:rPr>
          <w:rFonts w:ascii="宋体" w:hAnsi="宋体" w:cs="宋体"/>
          <w:bCs/>
        </w:rPr>
      </w:pPr>
      <w:r>
        <w:rPr>
          <w:rFonts w:hint="eastAsia" w:hAnsi="宋体" w:asciiTheme="minorHAnsi" w:eastAsiaTheme="minorEastAsia" w:cstheme="minorBidi"/>
          <w:szCs w:val="22"/>
        </w:rPr>
        <w:t>信息化运维支撑主要包括在终端、基础平台、应用系统等三大领域及其所属</w:t>
      </w:r>
      <w:r>
        <w:rPr>
          <w:rFonts w:hint="eastAsia" w:hAnsi="宋体" w:asciiTheme="minorHAnsi" w:eastAsiaTheme="minorEastAsia" w:cstheme="minorBidi"/>
          <w:szCs w:val="22"/>
          <w:lang w:val="en-US" w:eastAsia="zh-CN"/>
        </w:rPr>
        <w:t>20</w:t>
      </w:r>
      <w:r>
        <w:rPr>
          <w:rFonts w:hint="eastAsia" w:hAnsi="宋体" w:asciiTheme="minorHAnsi" w:eastAsiaTheme="minorEastAsia" w:cstheme="minorBidi"/>
          <w:szCs w:val="22"/>
        </w:rPr>
        <w:t>项工作：终端电脑、打印机、电话、会议室设备、安全U盘、操作系统、存储，防火墙、网络交换机、AD域控制器、360天擎杀毒软件、天融信DLP桌面管理、ukey应用及RA注册管理系统、内外网网络、网络安全保障，4A平台应用系统、协同办公系统、内邮件系统、外邮件系统、短信平台等。</w:t>
      </w:r>
      <w:r>
        <w:rPr>
          <w:rFonts w:hint="eastAsia" w:ascii="宋体" w:hAnsi="宋体" w:cs="宋体"/>
        </w:rPr>
        <w:t>主要服务内容及数量如下：</w:t>
      </w:r>
    </w:p>
    <w:tbl>
      <w:tblPr>
        <w:tblStyle w:val="15"/>
        <w:tblW w:w="8255" w:type="dxa"/>
        <w:tblInd w:w="0" w:type="dxa"/>
        <w:tblLayout w:type="fixed"/>
        <w:tblCellMar>
          <w:top w:w="0" w:type="dxa"/>
          <w:left w:w="108" w:type="dxa"/>
          <w:bottom w:w="0" w:type="dxa"/>
          <w:right w:w="108" w:type="dxa"/>
        </w:tblCellMar>
      </w:tblPr>
      <w:tblGrid>
        <w:gridCol w:w="1621"/>
        <w:gridCol w:w="2039"/>
        <w:gridCol w:w="4595"/>
      </w:tblGrid>
      <w:tr>
        <w:tblPrEx>
          <w:tblCellMar>
            <w:top w:w="0" w:type="dxa"/>
            <w:left w:w="108" w:type="dxa"/>
            <w:bottom w:w="0" w:type="dxa"/>
            <w:right w:w="108" w:type="dxa"/>
          </w:tblCellMar>
        </w:tblPrEx>
        <w:trPr>
          <w:trHeight w:val="865" w:hRule="atLeast"/>
        </w:trPr>
        <w:tc>
          <w:tcPr>
            <w:tcW w:w="1621" w:type="dxa"/>
            <w:tcBorders>
              <w:top w:val="single" w:color="auto" w:sz="4" w:space="0"/>
              <w:left w:val="single" w:color="auto" w:sz="4" w:space="0"/>
              <w:bottom w:val="single" w:color="auto" w:sz="4" w:space="0"/>
              <w:right w:val="single" w:color="auto" w:sz="4" w:space="0"/>
            </w:tcBorders>
            <w:vAlign w:val="center"/>
          </w:tcPr>
          <w:p>
            <w:pPr>
              <w:widowControl/>
              <w:ind w:left="0" w:leftChars="0" w:firstLine="0" w:firstLineChars="0"/>
              <w:jc w:val="both"/>
              <w:rPr>
                <w:rFonts w:ascii="宋体" w:hAnsi="宋体" w:cs="宋体"/>
                <w:kern w:val="0"/>
                <w:sz w:val="21"/>
                <w:szCs w:val="21"/>
              </w:rPr>
            </w:pPr>
            <w:r>
              <w:rPr>
                <w:rFonts w:hint="eastAsia" w:ascii="宋体" w:hAnsi="宋体" w:eastAsia="宋体" w:cs="宋体"/>
                <w:b/>
                <w:bCs/>
                <w:kern w:val="0"/>
                <w:sz w:val="28"/>
                <w:szCs w:val="28"/>
                <w:lang w:eastAsia="zh-CN"/>
              </w:rPr>
              <w:t>服务领域</w:t>
            </w:r>
          </w:p>
        </w:tc>
        <w:tc>
          <w:tcPr>
            <w:tcW w:w="2039" w:type="dxa"/>
            <w:tcBorders>
              <w:top w:val="single" w:color="auto" w:sz="4" w:space="0"/>
              <w:left w:val="single" w:color="auto" w:sz="4" w:space="0"/>
              <w:bottom w:val="single" w:color="auto" w:sz="4" w:space="0"/>
              <w:right w:val="single" w:color="auto" w:sz="4" w:space="0"/>
            </w:tcBorders>
            <w:vAlign w:val="center"/>
          </w:tcPr>
          <w:p>
            <w:pPr>
              <w:widowControl/>
              <w:ind w:left="0" w:leftChars="0" w:firstLine="281" w:firstLineChars="100"/>
              <w:jc w:val="left"/>
              <w:rPr>
                <w:rFonts w:ascii="宋体" w:hAnsi="宋体" w:cs="宋体"/>
                <w:kern w:val="0"/>
                <w:sz w:val="21"/>
                <w:szCs w:val="21"/>
              </w:rPr>
            </w:pPr>
            <w:r>
              <w:rPr>
                <w:rFonts w:hint="eastAsia" w:ascii="宋体" w:hAnsi="宋体" w:eastAsia="宋体" w:cs="宋体"/>
                <w:b/>
                <w:bCs/>
                <w:kern w:val="0"/>
                <w:sz w:val="28"/>
                <w:szCs w:val="28"/>
                <w:lang w:eastAsia="zh-CN"/>
              </w:rPr>
              <w:t>工作子项</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ind w:left="0" w:leftChars="0" w:firstLine="281" w:firstLineChars="100"/>
              <w:jc w:val="left"/>
              <w:rPr>
                <w:rFonts w:ascii="宋体" w:hAnsi="宋体" w:cs="宋体"/>
                <w:kern w:val="0"/>
                <w:sz w:val="21"/>
                <w:szCs w:val="21"/>
              </w:rPr>
            </w:pPr>
            <w:r>
              <w:rPr>
                <w:rFonts w:hint="eastAsia" w:ascii="宋体" w:hAnsi="宋体" w:eastAsia="宋体" w:cs="宋体"/>
                <w:b/>
                <w:bCs/>
                <w:kern w:val="0"/>
                <w:sz w:val="28"/>
                <w:szCs w:val="28"/>
                <w:lang w:eastAsia="zh-CN"/>
              </w:rPr>
              <w:t>服务内容</w:t>
            </w:r>
          </w:p>
        </w:tc>
      </w:tr>
      <w:tr>
        <w:tblPrEx>
          <w:tblCellMar>
            <w:top w:w="0" w:type="dxa"/>
            <w:left w:w="108" w:type="dxa"/>
            <w:bottom w:w="0" w:type="dxa"/>
            <w:right w:w="108" w:type="dxa"/>
          </w:tblCellMar>
        </w:tblPrEx>
        <w:trPr>
          <w:trHeight w:val="258" w:hRule="atLeast"/>
        </w:trPr>
        <w:tc>
          <w:tcPr>
            <w:tcW w:w="1621"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firstLineChars="200"/>
              <w:jc w:val="left"/>
              <w:rPr>
                <w:rFonts w:ascii="宋体" w:hAnsi="宋体" w:cs="宋体"/>
                <w:kern w:val="0"/>
                <w:sz w:val="21"/>
                <w:szCs w:val="21"/>
              </w:rPr>
            </w:pPr>
            <w:r>
              <w:rPr>
                <w:rFonts w:hint="eastAsia" w:ascii="宋体" w:hAnsi="宋体" w:cs="宋体"/>
                <w:kern w:val="0"/>
                <w:sz w:val="21"/>
                <w:szCs w:val="21"/>
              </w:rPr>
              <w:t>终端维护</w:t>
            </w:r>
          </w:p>
        </w:tc>
        <w:tc>
          <w:tcPr>
            <w:tcW w:w="2039"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firstLineChars="200"/>
              <w:jc w:val="left"/>
              <w:rPr>
                <w:rFonts w:ascii="宋体" w:hAnsi="宋体" w:cs="宋体"/>
                <w:kern w:val="0"/>
                <w:sz w:val="21"/>
                <w:szCs w:val="21"/>
              </w:rPr>
            </w:pPr>
            <w:r>
              <w:rPr>
                <w:rFonts w:hint="eastAsia" w:ascii="宋体" w:hAnsi="宋体" w:cs="宋体"/>
                <w:kern w:val="0"/>
                <w:sz w:val="21"/>
                <w:szCs w:val="21"/>
              </w:rPr>
              <w:t>终端电脑</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hint="eastAsia" w:ascii="宋体" w:hAnsi="宋体" w:cs="宋体"/>
                <w:kern w:val="0"/>
                <w:sz w:val="21"/>
                <w:szCs w:val="21"/>
              </w:rPr>
            </w:pPr>
            <w:r>
              <w:rPr>
                <w:rFonts w:hint="eastAsia" w:ascii="宋体" w:hAnsi="宋体" w:cs="宋体"/>
                <w:kern w:val="0"/>
                <w:sz w:val="21"/>
                <w:szCs w:val="21"/>
              </w:rPr>
              <w:t>重装电脑</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hint="eastAsia" w:ascii="宋体" w:hAnsi="宋体" w:cs="宋体"/>
                <w:kern w:val="0"/>
                <w:sz w:val="21"/>
                <w:szCs w:val="21"/>
              </w:rPr>
            </w:pPr>
            <w:r>
              <w:rPr>
                <w:rFonts w:hint="eastAsia" w:ascii="宋体" w:hAnsi="宋体" w:cs="宋体"/>
                <w:kern w:val="0"/>
                <w:sz w:val="21"/>
                <w:szCs w:val="21"/>
              </w:rPr>
              <w:t>数据恢复</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处理终端电脑各类问题（包括软件、硬件）</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restart"/>
            <w:tcBorders>
              <w:top w:val="single" w:color="auto" w:sz="4" w:space="0"/>
              <w:left w:val="single" w:color="auto" w:sz="4" w:space="0"/>
              <w:bottom w:val="single" w:color="auto" w:sz="4" w:space="0"/>
              <w:right w:val="single" w:color="auto" w:sz="4" w:space="0"/>
            </w:tcBorders>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打印机</w:t>
            </w:r>
          </w:p>
        </w:tc>
        <w:tc>
          <w:tcPr>
            <w:tcW w:w="4595" w:type="dxa"/>
            <w:tcBorders>
              <w:top w:val="single" w:color="auto" w:sz="4" w:space="0"/>
              <w:left w:val="single" w:color="auto" w:sz="4" w:space="0"/>
              <w:bottom w:val="single" w:color="auto" w:sz="4" w:space="0"/>
              <w:right w:val="single" w:color="auto" w:sz="4" w:space="0"/>
            </w:tcBorders>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打印机各类故障解决</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right w:val="single" w:color="auto" w:sz="4" w:space="0"/>
            </w:tcBorders>
            <w:vAlign w:val="center"/>
          </w:tcPr>
          <w:p>
            <w:pPr>
              <w:widowControl/>
              <w:spacing w:line="360" w:lineRule="auto"/>
              <w:ind w:firstLine="420" w:firstLineChars="20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打印机账号配置</w:t>
            </w:r>
          </w:p>
        </w:tc>
      </w:tr>
      <w:tr>
        <w:tblPrEx>
          <w:tblCellMar>
            <w:top w:w="0" w:type="dxa"/>
            <w:left w:w="108" w:type="dxa"/>
            <w:bottom w:w="0" w:type="dxa"/>
            <w:right w:w="108" w:type="dxa"/>
          </w:tblCellMar>
        </w:tblPrEx>
        <w:trPr>
          <w:trHeight w:val="258" w:hRule="atLeast"/>
        </w:trPr>
        <w:tc>
          <w:tcPr>
            <w:tcW w:w="1621" w:type="dxa"/>
            <w:vMerge w:val="continue"/>
            <w:tcBorders>
              <w:left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restart"/>
            <w:tcBorders>
              <w:top w:val="single" w:color="auto" w:sz="4" w:space="0"/>
              <w:left w:val="single" w:color="auto" w:sz="4" w:space="0"/>
              <w:bottom w:val="single" w:color="auto" w:sz="4" w:space="0"/>
              <w:right w:val="single" w:color="auto" w:sz="4" w:space="0"/>
            </w:tcBorders>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电话</w:t>
            </w:r>
          </w:p>
        </w:tc>
        <w:tc>
          <w:tcPr>
            <w:tcW w:w="4595" w:type="dxa"/>
            <w:tcBorders>
              <w:top w:val="single" w:color="auto" w:sz="4" w:space="0"/>
              <w:left w:val="single" w:color="auto" w:sz="4" w:space="0"/>
              <w:bottom w:val="single" w:color="auto" w:sz="4" w:space="0"/>
              <w:right w:val="single" w:color="auto" w:sz="4" w:space="0"/>
            </w:tcBorders>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电话各类故障解决</w:t>
            </w:r>
          </w:p>
        </w:tc>
      </w:tr>
      <w:tr>
        <w:tblPrEx>
          <w:tblCellMar>
            <w:top w:w="0" w:type="dxa"/>
            <w:left w:w="108" w:type="dxa"/>
            <w:bottom w:w="0" w:type="dxa"/>
            <w:right w:w="108" w:type="dxa"/>
          </w:tblCellMar>
        </w:tblPrEx>
        <w:trPr>
          <w:trHeight w:val="258" w:hRule="atLeast"/>
        </w:trPr>
        <w:tc>
          <w:tcPr>
            <w:tcW w:w="1621" w:type="dxa"/>
            <w:vMerge w:val="continue"/>
            <w:tcBorders>
              <w:left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电话号码新增、改动、删除</w:t>
            </w:r>
          </w:p>
        </w:tc>
      </w:tr>
      <w:tr>
        <w:tblPrEx>
          <w:tblCellMar>
            <w:top w:w="0" w:type="dxa"/>
            <w:left w:w="108" w:type="dxa"/>
            <w:bottom w:w="0" w:type="dxa"/>
            <w:right w:w="108" w:type="dxa"/>
          </w:tblCellMar>
        </w:tblPrEx>
        <w:trPr>
          <w:trHeight w:val="258" w:hRule="atLeast"/>
        </w:trPr>
        <w:tc>
          <w:tcPr>
            <w:tcW w:w="1621" w:type="dxa"/>
            <w:vMerge w:val="continue"/>
            <w:tcBorders>
              <w:left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restart"/>
            <w:tcBorders>
              <w:top w:val="single" w:color="auto" w:sz="4" w:space="0"/>
              <w:left w:val="single" w:color="auto" w:sz="4" w:space="0"/>
              <w:right w:val="single" w:color="auto" w:sz="4" w:space="0"/>
            </w:tcBorders>
            <w:vAlign w:val="center"/>
          </w:tcPr>
          <w:p>
            <w:pPr>
              <w:widowControl/>
              <w:spacing w:line="360" w:lineRule="auto"/>
              <w:ind w:firstLine="420" w:firstLineChars="200"/>
              <w:jc w:val="left"/>
              <w:rPr>
                <w:rFonts w:ascii="宋体" w:hAnsi="宋体" w:cs="宋体"/>
                <w:kern w:val="0"/>
                <w:sz w:val="21"/>
                <w:szCs w:val="21"/>
              </w:rPr>
            </w:pPr>
            <w:r>
              <w:rPr>
                <w:rFonts w:hint="eastAsia" w:ascii="宋体" w:hAnsi="宋体" w:cs="宋体"/>
                <w:kern w:val="0"/>
                <w:sz w:val="21"/>
                <w:szCs w:val="21"/>
              </w:rPr>
              <w:t>会议室设备</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firstLineChars="200"/>
              <w:jc w:val="left"/>
              <w:rPr>
                <w:rFonts w:hint="eastAsia" w:ascii="宋体" w:hAnsi="宋体" w:cs="宋体"/>
                <w:kern w:val="0"/>
                <w:sz w:val="21"/>
                <w:szCs w:val="21"/>
              </w:rPr>
            </w:pPr>
            <w:r>
              <w:rPr>
                <w:rFonts w:hint="eastAsia" w:ascii="宋体" w:hAnsi="宋体" w:cs="宋体"/>
                <w:kern w:val="0"/>
                <w:sz w:val="21"/>
                <w:szCs w:val="21"/>
              </w:rPr>
              <w:t>投影仪设备维护</w:t>
            </w:r>
          </w:p>
        </w:tc>
      </w:tr>
      <w:tr>
        <w:tblPrEx>
          <w:tblCellMar>
            <w:top w:w="0" w:type="dxa"/>
            <w:left w:w="108" w:type="dxa"/>
            <w:bottom w:w="0" w:type="dxa"/>
            <w:right w:w="108" w:type="dxa"/>
          </w:tblCellMar>
        </w:tblPrEx>
        <w:trPr>
          <w:trHeight w:val="258" w:hRule="atLeast"/>
        </w:trPr>
        <w:tc>
          <w:tcPr>
            <w:tcW w:w="1621" w:type="dxa"/>
            <w:vMerge w:val="continue"/>
            <w:tcBorders>
              <w:left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left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firstLineChars="200"/>
              <w:jc w:val="left"/>
              <w:rPr>
                <w:rFonts w:hint="eastAsia" w:ascii="宋体" w:hAnsi="宋体" w:cs="宋体"/>
                <w:kern w:val="0"/>
                <w:sz w:val="21"/>
                <w:szCs w:val="21"/>
              </w:rPr>
            </w:pPr>
            <w:r>
              <w:rPr>
                <w:rFonts w:hint="eastAsia" w:ascii="宋体" w:hAnsi="宋体" w:cs="宋体"/>
                <w:kern w:val="0"/>
                <w:sz w:val="21"/>
                <w:szCs w:val="21"/>
              </w:rPr>
              <w:t>视频设备维护</w:t>
            </w:r>
          </w:p>
        </w:tc>
      </w:tr>
      <w:tr>
        <w:tblPrEx>
          <w:tblCellMar>
            <w:top w:w="0" w:type="dxa"/>
            <w:left w:w="108" w:type="dxa"/>
            <w:bottom w:w="0" w:type="dxa"/>
            <w:right w:w="108" w:type="dxa"/>
          </w:tblCellMar>
        </w:tblPrEx>
        <w:trPr>
          <w:trHeight w:val="258" w:hRule="atLeast"/>
        </w:trPr>
        <w:tc>
          <w:tcPr>
            <w:tcW w:w="1621" w:type="dxa"/>
            <w:vMerge w:val="continue"/>
            <w:tcBorders>
              <w:left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left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firstLineChars="200"/>
              <w:jc w:val="left"/>
              <w:rPr>
                <w:rFonts w:hint="eastAsia" w:ascii="宋体" w:hAnsi="宋体" w:cs="宋体"/>
                <w:kern w:val="0"/>
                <w:sz w:val="21"/>
                <w:szCs w:val="21"/>
              </w:rPr>
            </w:pPr>
            <w:r>
              <w:rPr>
                <w:rFonts w:hint="eastAsia" w:ascii="宋体" w:hAnsi="宋体" w:cs="宋体"/>
                <w:kern w:val="0"/>
                <w:sz w:val="21"/>
                <w:szCs w:val="21"/>
              </w:rPr>
              <w:t>电脑设备维护</w:t>
            </w:r>
          </w:p>
        </w:tc>
      </w:tr>
      <w:tr>
        <w:tblPrEx>
          <w:tblCellMar>
            <w:top w:w="0" w:type="dxa"/>
            <w:left w:w="108" w:type="dxa"/>
            <w:bottom w:w="0" w:type="dxa"/>
            <w:right w:w="108" w:type="dxa"/>
          </w:tblCellMar>
        </w:tblPrEx>
        <w:trPr>
          <w:trHeight w:val="258" w:hRule="atLeast"/>
        </w:trPr>
        <w:tc>
          <w:tcPr>
            <w:tcW w:w="1621" w:type="dxa"/>
            <w:vMerge w:val="continue"/>
            <w:tcBorders>
              <w:left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firstLineChars="200"/>
              <w:jc w:val="left"/>
              <w:rPr>
                <w:rFonts w:hint="eastAsia" w:ascii="宋体" w:hAnsi="宋体" w:cs="宋体"/>
                <w:kern w:val="0"/>
                <w:sz w:val="21"/>
                <w:szCs w:val="21"/>
              </w:rPr>
            </w:pPr>
            <w:r>
              <w:rPr>
                <w:rFonts w:hint="eastAsia" w:ascii="宋体" w:hAnsi="宋体" w:cs="宋体"/>
                <w:kern w:val="0"/>
                <w:sz w:val="21"/>
                <w:szCs w:val="21"/>
              </w:rPr>
              <w:t>电视设备维护</w:t>
            </w:r>
          </w:p>
        </w:tc>
      </w:tr>
      <w:tr>
        <w:tblPrEx>
          <w:tblCellMar>
            <w:top w:w="0" w:type="dxa"/>
            <w:left w:w="108" w:type="dxa"/>
            <w:bottom w:w="0" w:type="dxa"/>
            <w:right w:w="108" w:type="dxa"/>
          </w:tblCellMar>
        </w:tblPrEx>
        <w:trPr>
          <w:trHeight w:val="258" w:hRule="atLeast"/>
        </w:trPr>
        <w:tc>
          <w:tcPr>
            <w:tcW w:w="1621" w:type="dxa"/>
            <w:vMerge w:val="continue"/>
            <w:tcBorders>
              <w:left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restart"/>
            <w:tcBorders>
              <w:top w:val="single" w:color="auto" w:sz="4" w:space="0"/>
              <w:left w:val="single" w:color="auto" w:sz="4" w:space="0"/>
              <w:right w:val="single" w:color="auto" w:sz="4" w:space="0"/>
            </w:tcBorders>
            <w:vAlign w:val="center"/>
          </w:tcPr>
          <w:p>
            <w:pPr>
              <w:widowControl/>
              <w:spacing w:line="360" w:lineRule="auto"/>
              <w:ind w:firstLine="420" w:firstLineChars="200"/>
              <w:jc w:val="left"/>
              <w:rPr>
                <w:rFonts w:hint="eastAsia" w:ascii="宋体" w:hAnsi="宋体" w:eastAsia="宋体" w:cs="宋体"/>
                <w:kern w:val="0"/>
                <w:sz w:val="21"/>
                <w:szCs w:val="21"/>
                <w:lang w:val="en-US" w:eastAsia="zh-CN"/>
              </w:rPr>
            </w:pPr>
            <w:r>
              <w:rPr>
                <w:rFonts w:hint="eastAsia" w:ascii="宋体" w:hAnsi="宋体" w:cs="宋体"/>
                <w:kern w:val="0"/>
                <w:sz w:val="21"/>
                <w:szCs w:val="21"/>
                <w:lang w:eastAsia="zh-CN"/>
              </w:rPr>
              <w:t>安全</w:t>
            </w:r>
            <w:r>
              <w:rPr>
                <w:rFonts w:hint="eastAsia" w:ascii="宋体" w:hAnsi="宋体" w:cs="宋体"/>
                <w:kern w:val="0"/>
                <w:sz w:val="21"/>
                <w:szCs w:val="21"/>
                <w:lang w:val="en-US" w:eastAsia="zh-CN"/>
              </w:rPr>
              <w:t>U盘</w:t>
            </w:r>
          </w:p>
        </w:tc>
        <w:tc>
          <w:tcPr>
            <w:tcW w:w="4595" w:type="dxa"/>
            <w:tcBorders>
              <w:top w:val="single" w:color="auto" w:sz="4" w:space="0"/>
              <w:left w:val="single" w:color="auto" w:sz="4" w:space="0"/>
              <w:bottom w:val="single" w:color="auto" w:sz="4" w:space="0"/>
              <w:right w:val="single" w:color="auto" w:sz="4" w:space="0"/>
            </w:tcBorders>
          </w:tcPr>
          <w:p>
            <w:pPr>
              <w:widowControl/>
              <w:spacing w:line="360" w:lineRule="auto"/>
              <w:ind w:firstLine="420"/>
              <w:jc w:val="left"/>
              <w:rPr>
                <w:rFonts w:hint="eastAsia" w:ascii="宋体" w:hAnsi="宋体" w:eastAsia="宋体" w:cs="宋体"/>
                <w:kern w:val="0"/>
                <w:sz w:val="21"/>
                <w:szCs w:val="21"/>
                <w:lang w:val="en-US" w:eastAsia="zh-CN"/>
              </w:rPr>
            </w:pPr>
            <w:r>
              <w:rPr>
                <w:rFonts w:hint="eastAsia" w:ascii="宋体" w:hAnsi="宋体" w:cs="宋体"/>
                <w:kern w:val="0"/>
                <w:sz w:val="21"/>
                <w:szCs w:val="21"/>
                <w:lang w:eastAsia="zh-CN"/>
              </w:rPr>
              <w:t>安全</w:t>
            </w:r>
            <w:r>
              <w:rPr>
                <w:rFonts w:hint="eastAsia" w:ascii="宋体" w:hAnsi="宋体" w:cs="宋体"/>
                <w:kern w:val="0"/>
                <w:sz w:val="21"/>
                <w:szCs w:val="21"/>
                <w:lang w:val="en-US" w:eastAsia="zh-CN"/>
              </w:rPr>
              <w:t>U盘打标签</w:t>
            </w:r>
          </w:p>
        </w:tc>
      </w:tr>
      <w:tr>
        <w:tblPrEx>
          <w:tblCellMar>
            <w:top w:w="0" w:type="dxa"/>
            <w:left w:w="108" w:type="dxa"/>
            <w:bottom w:w="0" w:type="dxa"/>
            <w:right w:w="108" w:type="dxa"/>
          </w:tblCellMar>
        </w:tblPrEx>
        <w:trPr>
          <w:trHeight w:val="258" w:hRule="atLeast"/>
        </w:trPr>
        <w:tc>
          <w:tcPr>
            <w:tcW w:w="1621" w:type="dxa"/>
            <w:vMerge w:val="continue"/>
            <w:tcBorders>
              <w:left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tcPr>
          <w:p>
            <w:pPr>
              <w:widowControl/>
              <w:spacing w:line="360" w:lineRule="auto"/>
              <w:ind w:firstLine="420"/>
              <w:jc w:val="left"/>
              <w:rPr>
                <w:rFonts w:hint="eastAsia" w:ascii="宋体" w:hAnsi="宋体" w:eastAsia="宋体" w:cs="宋体"/>
                <w:kern w:val="0"/>
                <w:sz w:val="21"/>
                <w:szCs w:val="21"/>
                <w:lang w:val="en-US" w:eastAsia="zh-CN"/>
              </w:rPr>
            </w:pPr>
            <w:r>
              <w:rPr>
                <w:rFonts w:hint="eastAsia" w:ascii="宋体" w:hAnsi="宋体" w:cs="宋体"/>
                <w:kern w:val="0"/>
                <w:sz w:val="21"/>
                <w:szCs w:val="21"/>
                <w:lang w:eastAsia="zh-CN"/>
              </w:rPr>
              <w:t>安全</w:t>
            </w:r>
            <w:r>
              <w:rPr>
                <w:rFonts w:hint="eastAsia" w:ascii="宋体" w:hAnsi="宋体" w:cs="宋体"/>
                <w:kern w:val="0"/>
                <w:sz w:val="21"/>
                <w:szCs w:val="21"/>
                <w:lang w:val="en-US" w:eastAsia="zh-CN"/>
              </w:rPr>
              <w:t>U盘各类问题处理</w:t>
            </w:r>
          </w:p>
        </w:tc>
      </w:tr>
      <w:tr>
        <w:tblPrEx>
          <w:tblCellMar>
            <w:top w:w="0" w:type="dxa"/>
            <w:left w:w="108" w:type="dxa"/>
            <w:bottom w:w="0" w:type="dxa"/>
            <w:right w:w="108" w:type="dxa"/>
          </w:tblCellMar>
        </w:tblPrEx>
        <w:trPr>
          <w:trHeight w:val="258" w:hRule="atLeast"/>
        </w:trPr>
        <w:tc>
          <w:tcPr>
            <w:tcW w:w="1621" w:type="dxa"/>
            <w:vMerge w:val="continue"/>
            <w:tcBorders>
              <w:left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restart"/>
            <w:tcBorders>
              <w:top w:val="single" w:color="auto" w:sz="4" w:space="0"/>
              <w:left w:val="single" w:color="auto" w:sz="4" w:space="0"/>
              <w:right w:val="single" w:color="auto" w:sz="4" w:space="0"/>
            </w:tcBorders>
            <w:vAlign w:val="center"/>
          </w:tcPr>
          <w:p>
            <w:pPr>
              <w:widowControl/>
              <w:spacing w:line="360" w:lineRule="auto"/>
              <w:ind w:firstLine="420" w:firstLineChars="200"/>
              <w:jc w:val="left"/>
              <w:rPr>
                <w:rFonts w:hint="eastAsia" w:ascii="宋体" w:hAnsi="宋体" w:eastAsia="宋体" w:cs="宋体"/>
                <w:kern w:val="0"/>
                <w:sz w:val="21"/>
                <w:szCs w:val="21"/>
                <w:lang w:eastAsia="zh-CN"/>
              </w:rPr>
            </w:pPr>
            <w:r>
              <w:rPr>
                <w:rFonts w:hint="eastAsia" w:ascii="宋体" w:hAnsi="宋体" w:cs="宋体"/>
                <w:kern w:val="0"/>
                <w:sz w:val="21"/>
                <w:szCs w:val="21"/>
                <w:lang w:eastAsia="zh-CN"/>
              </w:rPr>
              <w:t>操作系统</w:t>
            </w:r>
          </w:p>
        </w:tc>
        <w:tc>
          <w:tcPr>
            <w:tcW w:w="4595" w:type="dxa"/>
            <w:tcBorders>
              <w:top w:val="single" w:color="auto" w:sz="4" w:space="0"/>
              <w:left w:val="single" w:color="auto" w:sz="4" w:space="0"/>
              <w:bottom w:val="single" w:color="auto" w:sz="4" w:space="0"/>
              <w:right w:val="single" w:color="auto" w:sz="4" w:space="0"/>
            </w:tcBorders>
          </w:tcPr>
          <w:p>
            <w:pPr>
              <w:widowControl/>
              <w:spacing w:line="360" w:lineRule="auto"/>
              <w:ind w:firstLine="420"/>
              <w:jc w:val="left"/>
              <w:rPr>
                <w:rFonts w:hint="eastAsia" w:ascii="宋体" w:hAnsi="宋体" w:eastAsia="宋体" w:cs="宋体"/>
                <w:kern w:val="0"/>
                <w:sz w:val="21"/>
                <w:szCs w:val="21"/>
                <w:lang w:eastAsia="zh-CN"/>
              </w:rPr>
            </w:pPr>
            <w:r>
              <w:rPr>
                <w:rFonts w:hint="eastAsia" w:ascii="宋体" w:hAnsi="宋体" w:cs="宋体"/>
                <w:kern w:val="0"/>
                <w:sz w:val="21"/>
                <w:szCs w:val="21"/>
                <w:lang w:eastAsia="zh-CN"/>
              </w:rPr>
              <w:t>系统安装</w:t>
            </w:r>
          </w:p>
        </w:tc>
      </w:tr>
      <w:tr>
        <w:tblPrEx>
          <w:tblCellMar>
            <w:top w:w="0" w:type="dxa"/>
            <w:left w:w="108" w:type="dxa"/>
            <w:bottom w:w="0" w:type="dxa"/>
            <w:right w:w="108" w:type="dxa"/>
          </w:tblCellMar>
        </w:tblPrEx>
        <w:trPr>
          <w:trHeight w:val="258" w:hRule="atLeast"/>
        </w:trPr>
        <w:tc>
          <w:tcPr>
            <w:tcW w:w="1621" w:type="dxa"/>
            <w:vMerge w:val="continue"/>
            <w:tcBorders>
              <w:left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left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tcPr>
          <w:p>
            <w:pPr>
              <w:widowControl/>
              <w:spacing w:line="360" w:lineRule="auto"/>
              <w:ind w:firstLine="420"/>
              <w:jc w:val="left"/>
              <w:rPr>
                <w:rFonts w:hint="eastAsia" w:ascii="宋体" w:hAnsi="宋体" w:eastAsia="宋体" w:cs="宋体"/>
                <w:kern w:val="0"/>
                <w:sz w:val="21"/>
                <w:szCs w:val="21"/>
                <w:lang w:eastAsia="zh-CN"/>
              </w:rPr>
            </w:pPr>
            <w:r>
              <w:rPr>
                <w:rFonts w:hint="eastAsia" w:ascii="宋体" w:hAnsi="宋体" w:cs="宋体"/>
                <w:kern w:val="0"/>
                <w:sz w:val="21"/>
                <w:szCs w:val="21"/>
                <w:lang w:eastAsia="zh-CN"/>
              </w:rPr>
              <w:t>补丁更新</w:t>
            </w:r>
          </w:p>
        </w:tc>
      </w:tr>
      <w:tr>
        <w:tblPrEx>
          <w:tblCellMar>
            <w:top w:w="0" w:type="dxa"/>
            <w:left w:w="108" w:type="dxa"/>
            <w:bottom w:w="0" w:type="dxa"/>
            <w:right w:w="108" w:type="dxa"/>
          </w:tblCellMar>
        </w:tblPrEx>
        <w:trPr>
          <w:trHeight w:val="258" w:hRule="atLeast"/>
        </w:trPr>
        <w:tc>
          <w:tcPr>
            <w:tcW w:w="1621" w:type="dxa"/>
            <w:vMerge w:val="continue"/>
            <w:tcBorders>
              <w:left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hint="eastAsia" w:ascii="宋体" w:hAnsi="宋体" w:eastAsia="宋体" w:cs="宋体"/>
                <w:kern w:val="0"/>
                <w:sz w:val="21"/>
                <w:szCs w:val="21"/>
                <w:lang w:eastAsia="zh-CN"/>
              </w:rPr>
            </w:pPr>
            <w:r>
              <w:rPr>
                <w:rFonts w:hint="eastAsia" w:ascii="宋体" w:hAnsi="宋体" w:cs="宋体"/>
                <w:kern w:val="0"/>
                <w:sz w:val="21"/>
                <w:szCs w:val="21"/>
                <w:lang w:eastAsia="zh-CN"/>
              </w:rPr>
              <w:t>存储</w:t>
            </w:r>
          </w:p>
        </w:tc>
        <w:tc>
          <w:tcPr>
            <w:tcW w:w="4595" w:type="dxa"/>
            <w:tcBorders>
              <w:top w:val="nil"/>
              <w:left w:val="nil"/>
              <w:bottom w:val="single" w:color="auto" w:sz="4" w:space="0"/>
              <w:right w:val="single" w:color="auto" w:sz="4" w:space="0"/>
            </w:tcBorders>
            <w:vAlign w:val="center"/>
          </w:tcPr>
          <w:p>
            <w:pPr>
              <w:widowControl/>
              <w:spacing w:line="360" w:lineRule="auto"/>
              <w:ind w:firstLine="420"/>
              <w:jc w:val="left"/>
              <w:rPr>
                <w:rFonts w:hint="eastAsia" w:ascii="宋体" w:hAnsi="宋体" w:eastAsia="宋体" w:cs="宋体"/>
                <w:kern w:val="0"/>
                <w:sz w:val="21"/>
                <w:szCs w:val="21"/>
                <w:lang w:eastAsia="zh-CN"/>
              </w:rPr>
            </w:pPr>
            <w:r>
              <w:rPr>
                <w:rFonts w:hint="eastAsia" w:ascii="宋体" w:hAnsi="宋体" w:cs="宋体"/>
                <w:kern w:val="0"/>
                <w:sz w:val="21"/>
                <w:szCs w:val="21"/>
                <w:lang w:eastAsia="zh-CN"/>
              </w:rPr>
              <w:t>存储数据恢复</w:t>
            </w:r>
          </w:p>
        </w:tc>
      </w:tr>
      <w:tr>
        <w:tblPrEx>
          <w:tblCellMar>
            <w:top w:w="0" w:type="dxa"/>
            <w:left w:w="108" w:type="dxa"/>
            <w:bottom w:w="0" w:type="dxa"/>
            <w:right w:w="108" w:type="dxa"/>
          </w:tblCellMar>
        </w:tblPrEx>
        <w:trPr>
          <w:trHeight w:val="258" w:hRule="atLeast"/>
        </w:trPr>
        <w:tc>
          <w:tcPr>
            <w:tcW w:w="1621" w:type="dxa"/>
            <w:vMerge w:val="continue"/>
            <w:tcBorders>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nil"/>
              <w:left w:val="nil"/>
              <w:bottom w:val="single" w:color="auto" w:sz="4" w:space="0"/>
              <w:right w:val="single" w:color="auto" w:sz="4" w:space="0"/>
            </w:tcBorders>
            <w:vAlign w:val="center"/>
          </w:tcPr>
          <w:p>
            <w:pPr>
              <w:widowControl/>
              <w:spacing w:line="360" w:lineRule="auto"/>
              <w:ind w:firstLine="420"/>
              <w:jc w:val="left"/>
              <w:rPr>
                <w:rFonts w:hint="eastAsia" w:ascii="宋体" w:hAnsi="宋体" w:eastAsia="宋体" w:cs="宋体"/>
                <w:kern w:val="0"/>
                <w:sz w:val="21"/>
                <w:szCs w:val="21"/>
                <w:lang w:eastAsia="zh-CN"/>
              </w:rPr>
            </w:pPr>
            <w:r>
              <w:rPr>
                <w:rFonts w:hint="eastAsia" w:ascii="宋体" w:hAnsi="宋体" w:cs="宋体"/>
                <w:kern w:val="0"/>
                <w:sz w:val="21"/>
                <w:szCs w:val="21"/>
                <w:lang w:eastAsia="zh-CN"/>
              </w:rPr>
              <w:t>存储设备修复</w:t>
            </w:r>
          </w:p>
        </w:tc>
      </w:tr>
      <w:tr>
        <w:tblPrEx>
          <w:tblCellMar>
            <w:top w:w="0" w:type="dxa"/>
            <w:left w:w="108" w:type="dxa"/>
            <w:bottom w:w="0" w:type="dxa"/>
            <w:right w:w="108" w:type="dxa"/>
          </w:tblCellMar>
        </w:tblPrEx>
        <w:trPr>
          <w:trHeight w:val="258" w:hRule="atLeast"/>
        </w:trPr>
        <w:tc>
          <w:tcPr>
            <w:tcW w:w="1621"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基础平台</w:t>
            </w:r>
          </w:p>
        </w:tc>
        <w:tc>
          <w:tcPr>
            <w:tcW w:w="20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防火墙</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防火墙配置及维护</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p>
        </w:tc>
        <w:tc>
          <w:tcPr>
            <w:tcW w:w="20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网络交换机</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网络交换机配置及维护</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p>
        </w:tc>
        <w:tc>
          <w:tcPr>
            <w:tcW w:w="2039"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AD域控制器</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账号开通、注销</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密码更改</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屏保推送</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360天擎杀毒软件</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病毒库更新</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调度客户端杀毒</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统计分析病毒木马感染情况</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center"/>
              <w:rPr>
                <w:rFonts w:ascii="宋体" w:hAnsi="宋体" w:cs="宋体"/>
                <w:kern w:val="0"/>
                <w:sz w:val="21"/>
                <w:szCs w:val="21"/>
              </w:rPr>
            </w:pPr>
            <w:r>
              <w:rPr>
                <w:rFonts w:hint="eastAsia" w:ascii="宋体" w:hAnsi="宋体" w:cs="宋体"/>
                <w:kern w:val="0"/>
                <w:sz w:val="21"/>
                <w:szCs w:val="21"/>
                <w:lang w:eastAsia="zh-CN"/>
              </w:rPr>
              <w:t>天融信</w:t>
            </w:r>
            <w:r>
              <w:rPr>
                <w:rFonts w:hint="eastAsia" w:ascii="宋体" w:hAnsi="宋体" w:cs="宋体"/>
                <w:kern w:val="0"/>
                <w:sz w:val="21"/>
                <w:szCs w:val="21"/>
                <w:lang w:val="en-US" w:eastAsia="zh-CN"/>
              </w:rPr>
              <w:t>DLP</w:t>
            </w:r>
            <w:r>
              <w:rPr>
                <w:rFonts w:hint="eastAsia" w:ascii="宋体" w:hAnsi="宋体" w:cs="宋体"/>
                <w:kern w:val="0"/>
                <w:sz w:val="21"/>
                <w:szCs w:val="21"/>
              </w:rPr>
              <w:t>桌面管理</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统一规范终端电脑的各类参数</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统一分发终端软件</w:t>
            </w:r>
          </w:p>
        </w:tc>
      </w:tr>
      <w:tr>
        <w:tblPrEx>
          <w:tblCellMar>
            <w:top w:w="0" w:type="dxa"/>
            <w:left w:w="108" w:type="dxa"/>
            <w:bottom w:w="0" w:type="dxa"/>
            <w:right w:w="108" w:type="dxa"/>
          </w:tblCellMar>
        </w:tblPrEx>
        <w:trPr>
          <w:trHeight w:val="545"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协助二线工程师解决终端软件问题</w:t>
            </w:r>
          </w:p>
        </w:tc>
      </w:tr>
      <w:tr>
        <w:tblPrEx>
          <w:tblCellMar>
            <w:top w:w="0" w:type="dxa"/>
            <w:left w:w="108" w:type="dxa"/>
            <w:bottom w:w="0" w:type="dxa"/>
            <w:right w:w="108" w:type="dxa"/>
          </w:tblCellMar>
        </w:tblPrEx>
        <w:trPr>
          <w:trHeight w:val="545"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center"/>
              <w:rPr>
                <w:rFonts w:ascii="宋体" w:hAnsi="宋体" w:cs="宋体"/>
                <w:kern w:val="0"/>
                <w:sz w:val="21"/>
                <w:szCs w:val="21"/>
              </w:rPr>
            </w:pPr>
            <w:r>
              <w:rPr>
                <w:rFonts w:hint="eastAsia" w:ascii="宋体" w:hAnsi="宋体" w:cs="宋体"/>
                <w:kern w:val="0"/>
                <w:sz w:val="21"/>
                <w:szCs w:val="21"/>
              </w:rPr>
              <w:t>ukey应用及RA注册管理系统</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firstLineChars="200"/>
              <w:jc w:val="left"/>
              <w:rPr>
                <w:rFonts w:hint="eastAsia" w:ascii="宋体" w:hAnsi="宋体" w:cs="宋体"/>
                <w:kern w:val="0"/>
                <w:sz w:val="21"/>
                <w:szCs w:val="21"/>
              </w:rPr>
            </w:pPr>
            <w:r>
              <w:rPr>
                <w:rFonts w:hint="eastAsia" w:ascii="宋体" w:hAnsi="宋体" w:cs="宋体"/>
                <w:kern w:val="0"/>
                <w:sz w:val="21"/>
                <w:szCs w:val="21"/>
              </w:rPr>
              <w:t>Ukey制作维护</w:t>
            </w:r>
          </w:p>
        </w:tc>
      </w:tr>
      <w:tr>
        <w:tblPrEx>
          <w:tblCellMar>
            <w:top w:w="0" w:type="dxa"/>
            <w:left w:w="108" w:type="dxa"/>
            <w:bottom w:w="0" w:type="dxa"/>
            <w:right w:w="108" w:type="dxa"/>
          </w:tblCellMar>
        </w:tblPrEx>
        <w:trPr>
          <w:trHeight w:val="545"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firstLineChars="200"/>
              <w:jc w:val="left"/>
              <w:rPr>
                <w:rFonts w:hint="eastAsia" w:ascii="宋体" w:hAnsi="宋体" w:cs="宋体"/>
                <w:kern w:val="0"/>
                <w:sz w:val="21"/>
                <w:szCs w:val="21"/>
              </w:rPr>
            </w:pPr>
            <w:r>
              <w:rPr>
                <w:rFonts w:hint="eastAsia" w:ascii="宋体" w:hAnsi="宋体" w:cs="宋体"/>
                <w:kern w:val="0"/>
                <w:sz w:val="21"/>
                <w:szCs w:val="21"/>
              </w:rPr>
              <w:t>Ukey驱动等安装培训</w:t>
            </w:r>
          </w:p>
        </w:tc>
      </w:tr>
      <w:tr>
        <w:tblPrEx>
          <w:tblCellMar>
            <w:top w:w="0" w:type="dxa"/>
            <w:left w:w="108" w:type="dxa"/>
            <w:bottom w:w="0" w:type="dxa"/>
            <w:right w:w="108" w:type="dxa"/>
          </w:tblCellMar>
        </w:tblPrEx>
        <w:trPr>
          <w:trHeight w:val="545"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firstLineChars="200"/>
              <w:jc w:val="left"/>
              <w:rPr>
                <w:rFonts w:hint="eastAsia" w:ascii="宋体" w:hAnsi="宋体" w:cs="宋体"/>
                <w:kern w:val="0"/>
                <w:sz w:val="21"/>
                <w:szCs w:val="21"/>
              </w:rPr>
            </w:pPr>
            <w:r>
              <w:rPr>
                <w:rFonts w:hint="eastAsia" w:ascii="宋体" w:hAnsi="宋体" w:cs="宋体"/>
                <w:kern w:val="0"/>
                <w:sz w:val="21"/>
                <w:szCs w:val="21"/>
              </w:rPr>
              <w:t>RA注册管理系统更新维护</w:t>
            </w:r>
          </w:p>
        </w:tc>
      </w:tr>
      <w:tr>
        <w:tblPrEx>
          <w:tblCellMar>
            <w:top w:w="0" w:type="dxa"/>
            <w:left w:w="108" w:type="dxa"/>
            <w:bottom w:w="0" w:type="dxa"/>
            <w:right w:w="108" w:type="dxa"/>
          </w:tblCellMar>
        </w:tblPrEx>
        <w:trPr>
          <w:trHeight w:val="545"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firstLineChars="200"/>
              <w:jc w:val="left"/>
              <w:rPr>
                <w:rFonts w:hint="eastAsia" w:ascii="宋体" w:hAnsi="宋体" w:eastAsia="宋体" w:cs="宋体"/>
                <w:kern w:val="0"/>
                <w:sz w:val="21"/>
                <w:szCs w:val="21"/>
                <w:lang w:val="en-US" w:eastAsia="zh-CN"/>
              </w:rPr>
            </w:pPr>
            <w:r>
              <w:rPr>
                <w:rFonts w:hint="eastAsia" w:ascii="宋体" w:hAnsi="宋体" w:cs="宋体"/>
                <w:kern w:val="0"/>
                <w:sz w:val="21"/>
                <w:szCs w:val="21"/>
                <w:lang w:val="en-US" w:eastAsia="zh-CN"/>
              </w:rPr>
              <w:t>内外网网络</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hint="eastAsia" w:ascii="宋体" w:hAnsi="宋体" w:eastAsia="宋体" w:cs="宋体"/>
                <w:kern w:val="0"/>
                <w:sz w:val="21"/>
                <w:szCs w:val="21"/>
                <w:lang w:eastAsia="zh-CN"/>
              </w:rPr>
            </w:pPr>
            <w:r>
              <w:rPr>
                <w:rFonts w:hint="eastAsia" w:ascii="宋体" w:hAnsi="宋体" w:cs="宋体"/>
                <w:kern w:val="0"/>
                <w:sz w:val="21"/>
                <w:szCs w:val="21"/>
                <w:lang w:eastAsia="zh-CN"/>
              </w:rPr>
              <w:t>内外网维护</w:t>
            </w:r>
          </w:p>
        </w:tc>
      </w:tr>
      <w:tr>
        <w:tblPrEx>
          <w:tblCellMar>
            <w:top w:w="0" w:type="dxa"/>
            <w:left w:w="108" w:type="dxa"/>
            <w:bottom w:w="0" w:type="dxa"/>
            <w:right w:w="108" w:type="dxa"/>
          </w:tblCellMar>
        </w:tblPrEx>
        <w:trPr>
          <w:trHeight w:val="545"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hint="eastAsia" w:ascii="宋体" w:hAnsi="宋体" w:eastAsia="宋体" w:cs="宋体"/>
                <w:kern w:val="0"/>
                <w:sz w:val="21"/>
                <w:szCs w:val="21"/>
                <w:lang w:eastAsia="zh-CN"/>
              </w:rPr>
            </w:pPr>
            <w:r>
              <w:rPr>
                <w:rFonts w:hint="eastAsia" w:ascii="宋体" w:hAnsi="宋体" w:cs="宋体"/>
                <w:kern w:val="0"/>
                <w:sz w:val="21"/>
                <w:szCs w:val="21"/>
                <w:lang w:eastAsia="zh-CN"/>
              </w:rPr>
              <w:t>网络变更修复</w:t>
            </w:r>
          </w:p>
        </w:tc>
      </w:tr>
      <w:tr>
        <w:tblPrEx>
          <w:tblCellMar>
            <w:top w:w="0" w:type="dxa"/>
            <w:left w:w="108" w:type="dxa"/>
            <w:bottom w:w="0" w:type="dxa"/>
            <w:right w:w="108" w:type="dxa"/>
          </w:tblCellMar>
        </w:tblPrEx>
        <w:trPr>
          <w:trHeight w:val="545"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firstLineChars="200"/>
              <w:jc w:val="left"/>
              <w:rPr>
                <w:rFonts w:hint="eastAsia" w:ascii="宋体" w:hAnsi="宋体" w:eastAsia="宋体" w:cs="宋体"/>
                <w:kern w:val="0"/>
                <w:sz w:val="21"/>
                <w:szCs w:val="21"/>
                <w:lang w:eastAsia="zh-CN"/>
              </w:rPr>
            </w:pPr>
            <w:r>
              <w:rPr>
                <w:rFonts w:hint="eastAsia" w:ascii="宋体" w:hAnsi="宋体" w:cs="宋体"/>
                <w:kern w:val="0"/>
                <w:sz w:val="21"/>
                <w:szCs w:val="21"/>
                <w:lang w:eastAsia="zh-CN"/>
              </w:rPr>
              <w:t>网络安全保障</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hint="eastAsia" w:ascii="宋体" w:hAnsi="宋体" w:eastAsia="宋体" w:cs="宋体"/>
                <w:kern w:val="0"/>
                <w:sz w:val="21"/>
                <w:szCs w:val="21"/>
                <w:lang w:eastAsia="zh-CN"/>
              </w:rPr>
            </w:pPr>
            <w:r>
              <w:rPr>
                <w:rFonts w:hint="eastAsia" w:ascii="宋体" w:hAnsi="宋体" w:cs="宋体"/>
                <w:kern w:val="0"/>
                <w:sz w:val="21"/>
                <w:szCs w:val="21"/>
                <w:lang w:eastAsia="zh-CN"/>
              </w:rPr>
              <w:t>特殊时期值班</w:t>
            </w:r>
          </w:p>
        </w:tc>
      </w:tr>
      <w:tr>
        <w:tblPrEx>
          <w:tblCellMar>
            <w:top w:w="0" w:type="dxa"/>
            <w:left w:w="108" w:type="dxa"/>
            <w:bottom w:w="0" w:type="dxa"/>
            <w:right w:w="108" w:type="dxa"/>
          </w:tblCellMar>
        </w:tblPrEx>
        <w:trPr>
          <w:trHeight w:val="545"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hint="eastAsia" w:ascii="宋体" w:hAnsi="宋体" w:eastAsia="宋体" w:cs="宋体"/>
                <w:kern w:val="0"/>
                <w:sz w:val="21"/>
                <w:szCs w:val="21"/>
                <w:lang w:eastAsia="zh-CN"/>
              </w:rPr>
            </w:pPr>
            <w:r>
              <w:rPr>
                <w:rFonts w:hint="eastAsia" w:ascii="宋体" w:hAnsi="宋体" w:cs="宋体"/>
                <w:kern w:val="0"/>
                <w:sz w:val="21"/>
                <w:szCs w:val="21"/>
                <w:lang w:eastAsia="zh-CN"/>
              </w:rPr>
              <w:t>网络安全维护</w:t>
            </w:r>
          </w:p>
        </w:tc>
      </w:tr>
      <w:tr>
        <w:tblPrEx>
          <w:tblCellMar>
            <w:top w:w="0" w:type="dxa"/>
            <w:left w:w="108" w:type="dxa"/>
            <w:bottom w:w="0" w:type="dxa"/>
            <w:right w:w="108" w:type="dxa"/>
          </w:tblCellMar>
        </w:tblPrEx>
        <w:trPr>
          <w:trHeight w:val="258" w:hRule="atLeast"/>
        </w:trPr>
        <w:tc>
          <w:tcPr>
            <w:tcW w:w="1621"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应用系统</w:t>
            </w:r>
          </w:p>
        </w:tc>
        <w:tc>
          <w:tcPr>
            <w:tcW w:w="2039"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center"/>
              <w:rPr>
                <w:rFonts w:ascii="宋体" w:hAnsi="宋体" w:cs="宋体"/>
                <w:kern w:val="0"/>
                <w:sz w:val="21"/>
                <w:szCs w:val="21"/>
              </w:rPr>
            </w:pPr>
            <w:r>
              <w:rPr>
                <w:rFonts w:hint="eastAsia" w:ascii="宋体" w:hAnsi="宋体" w:cs="宋体"/>
                <w:kern w:val="0"/>
                <w:sz w:val="21"/>
                <w:szCs w:val="21"/>
              </w:rPr>
              <w:t>4A平台应用系统</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账户管理</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应用过程中的问题解决</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协同办公系统</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账号创建、注销</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系统办公日常故障</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内邮件系统</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账户管理（申请、开通注销等）</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外邮件系统</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账户管理（申请、开通注销等）</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center"/>
              <w:rPr>
                <w:rFonts w:ascii="宋体" w:hAnsi="宋体" w:cs="宋体"/>
                <w:kern w:val="0"/>
                <w:sz w:val="21"/>
                <w:szCs w:val="21"/>
              </w:rPr>
            </w:pPr>
            <w:r>
              <w:rPr>
                <w:rFonts w:hint="eastAsia" w:ascii="宋体" w:hAnsi="宋体" w:cs="宋体"/>
                <w:kern w:val="0"/>
                <w:sz w:val="21"/>
                <w:szCs w:val="21"/>
              </w:rPr>
              <w:t>短信平台</w:t>
            </w: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账户管理</w:t>
            </w:r>
          </w:p>
        </w:tc>
      </w:tr>
      <w:tr>
        <w:tblPrEx>
          <w:tblCellMar>
            <w:top w:w="0" w:type="dxa"/>
            <w:left w:w="108" w:type="dxa"/>
            <w:bottom w:w="0" w:type="dxa"/>
            <w:right w:w="108" w:type="dxa"/>
          </w:tblCellMar>
        </w:tblPrEx>
        <w:trPr>
          <w:trHeight w:val="258" w:hRule="atLeast"/>
        </w:trPr>
        <w:tc>
          <w:tcPr>
            <w:tcW w:w="16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20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left"/>
              <w:rPr>
                <w:rFonts w:ascii="宋体" w:hAnsi="宋体" w:cs="宋体"/>
                <w:kern w:val="0"/>
                <w:sz w:val="21"/>
                <w:szCs w:val="21"/>
              </w:rPr>
            </w:pPr>
          </w:p>
        </w:tc>
        <w:tc>
          <w:tcPr>
            <w:tcW w:w="4595"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jc w:val="left"/>
              <w:rPr>
                <w:rFonts w:ascii="宋体" w:hAnsi="宋体" w:cs="宋体"/>
                <w:kern w:val="0"/>
                <w:sz w:val="21"/>
                <w:szCs w:val="21"/>
              </w:rPr>
            </w:pPr>
            <w:r>
              <w:rPr>
                <w:rFonts w:hint="eastAsia" w:ascii="宋体" w:hAnsi="宋体" w:cs="宋体"/>
                <w:kern w:val="0"/>
                <w:sz w:val="21"/>
                <w:szCs w:val="21"/>
              </w:rPr>
              <w:t>应用过程中的问题解决</w:t>
            </w:r>
          </w:p>
        </w:tc>
      </w:tr>
    </w:tbl>
    <w:p>
      <w:pPr>
        <w:spacing w:line="360" w:lineRule="auto"/>
        <w:ind w:firstLine="480"/>
      </w:pPr>
    </w:p>
    <w:p>
      <w:pPr>
        <w:pStyle w:val="5"/>
        <w:numPr>
          <w:ilvl w:val="3"/>
          <w:numId w:val="1"/>
        </w:numPr>
        <w:spacing w:line="360" w:lineRule="auto"/>
      </w:pPr>
      <w:r>
        <w:rPr>
          <w:rFonts w:hint="eastAsia"/>
        </w:rPr>
        <w:t>设备维护</w:t>
      </w:r>
    </w:p>
    <w:p>
      <w:pPr>
        <w:spacing w:line="360" w:lineRule="auto"/>
        <w:ind w:firstLine="480"/>
      </w:pPr>
      <w:r>
        <w:rPr>
          <w:rFonts w:hint="eastAsia"/>
        </w:rPr>
        <w:t>针对甲方所有设备开展维护工作。</w:t>
      </w:r>
      <w:r>
        <w:t>乙方应根据甲方</w:t>
      </w:r>
      <w:r>
        <w:rPr>
          <w:rFonts w:hint="eastAsia"/>
        </w:rPr>
        <w:t>设备</w:t>
      </w:r>
      <w:r>
        <w:t>情况提交详细服务解决方案，并对以下列出的服务项目作出相应的承诺和保证</w:t>
      </w:r>
      <w:r>
        <w:rPr>
          <w:rFonts w:hint="eastAsia"/>
        </w:rPr>
        <w:t>。</w:t>
      </w:r>
      <w:r>
        <w:t xml:space="preserve"> </w:t>
      </w:r>
    </w:p>
    <w:tbl>
      <w:tblPr>
        <w:tblStyle w:val="15"/>
        <w:tblW w:w="8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496"/>
        <w:gridCol w:w="6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88" w:type="dxa"/>
            <w:tcBorders>
              <w:bottom w:val="single" w:color="auto" w:sz="4" w:space="0"/>
            </w:tcBorders>
            <w:shd w:val="clear" w:color="auto" w:fill="003366"/>
          </w:tcPr>
          <w:p>
            <w:pPr>
              <w:widowControl/>
              <w:spacing w:before="156" w:beforeLines="50" w:after="156" w:afterLines="50" w:line="360" w:lineRule="auto"/>
              <w:ind w:firstLine="0" w:firstLineChars="0"/>
              <w:rPr>
                <w:rFonts w:ascii="宋体" w:hAnsi="宋体" w:cs="宋体"/>
                <w:b/>
                <w:kern w:val="0"/>
              </w:rPr>
            </w:pPr>
            <w:r>
              <w:rPr>
                <w:rFonts w:hint="eastAsia" w:ascii="宋体" w:hAnsi="宋体" w:cs="宋体"/>
                <w:b/>
                <w:kern w:val="0"/>
              </w:rPr>
              <w:t>序号</w:t>
            </w:r>
          </w:p>
        </w:tc>
        <w:tc>
          <w:tcPr>
            <w:tcW w:w="1496" w:type="dxa"/>
            <w:tcBorders>
              <w:bottom w:val="single" w:color="auto" w:sz="4" w:space="0"/>
            </w:tcBorders>
            <w:shd w:val="clear" w:color="auto" w:fill="003366"/>
          </w:tcPr>
          <w:p>
            <w:pPr>
              <w:widowControl/>
              <w:spacing w:before="156" w:beforeLines="50" w:after="156" w:afterLines="50" w:line="360" w:lineRule="auto"/>
              <w:ind w:firstLine="0" w:firstLineChars="0"/>
              <w:rPr>
                <w:rFonts w:ascii="宋体" w:hAnsi="宋体" w:cs="宋体"/>
                <w:b/>
                <w:kern w:val="0"/>
              </w:rPr>
            </w:pPr>
            <w:r>
              <w:rPr>
                <w:rFonts w:hint="eastAsia" w:ascii="宋体" w:hAnsi="宋体" w:cs="宋体"/>
                <w:b/>
                <w:kern w:val="0"/>
              </w:rPr>
              <w:t>服务项目</w:t>
            </w:r>
          </w:p>
        </w:tc>
        <w:tc>
          <w:tcPr>
            <w:tcW w:w="6180" w:type="dxa"/>
            <w:tcBorders>
              <w:bottom w:val="single" w:color="auto" w:sz="4" w:space="0"/>
            </w:tcBorders>
            <w:shd w:val="clear" w:color="auto" w:fill="003366"/>
          </w:tcPr>
          <w:p>
            <w:pPr>
              <w:widowControl/>
              <w:spacing w:before="156" w:beforeLines="50" w:after="156" w:afterLines="50" w:line="360" w:lineRule="auto"/>
              <w:ind w:firstLine="0" w:firstLineChars="0"/>
              <w:rPr>
                <w:rFonts w:ascii="宋体" w:hAnsi="宋体" w:cs="宋体"/>
                <w:b/>
                <w:kern w:val="0"/>
              </w:rPr>
            </w:pPr>
            <w:r>
              <w:rPr>
                <w:rFonts w:hint="eastAsia" w:ascii="宋体" w:hAnsi="宋体"/>
                <w:b/>
              </w:rPr>
              <w:t>具体描述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88" w:type="dxa"/>
          </w:tcPr>
          <w:p>
            <w:pPr>
              <w:pStyle w:val="30"/>
              <w:rPr>
                <w:rFonts w:ascii="宋体" w:hAnsi="宋体"/>
              </w:rPr>
            </w:pPr>
            <w:r>
              <w:rPr>
                <w:rFonts w:hint="eastAsia" w:ascii="宋体" w:hAnsi="宋体"/>
              </w:rPr>
              <w:t>1</w:t>
            </w:r>
          </w:p>
        </w:tc>
        <w:tc>
          <w:tcPr>
            <w:tcW w:w="1496" w:type="dxa"/>
          </w:tcPr>
          <w:p>
            <w:pPr>
              <w:pStyle w:val="30"/>
              <w:rPr>
                <w:rFonts w:ascii="宋体" w:hAnsi="宋体"/>
              </w:rPr>
            </w:pPr>
            <w:r>
              <w:rPr>
                <w:rFonts w:hint="eastAsia" w:ascii="宋体" w:hAnsi="宋体"/>
              </w:rPr>
              <w:t>高级</w:t>
            </w:r>
            <w:r>
              <w:rPr>
                <w:rFonts w:ascii="宋体" w:hAnsi="宋体"/>
              </w:rPr>
              <w:t>故障诊断及检修</w:t>
            </w:r>
          </w:p>
        </w:tc>
        <w:tc>
          <w:tcPr>
            <w:tcW w:w="6180" w:type="dxa"/>
          </w:tcPr>
          <w:p>
            <w:pPr>
              <w:pStyle w:val="30"/>
              <w:numPr>
                <w:ilvl w:val="0"/>
                <w:numId w:val="4"/>
              </w:numPr>
              <w:rPr>
                <w:rFonts w:ascii="宋体" w:hAnsi="宋体"/>
              </w:rPr>
            </w:pPr>
            <w:r>
              <w:rPr>
                <w:rFonts w:hint="eastAsia" w:ascii="宋体" w:hAnsi="宋体"/>
                <w:color w:val="000000"/>
                <w:szCs w:val="21"/>
              </w:rPr>
              <w:t>针对系统、设备发生的一级、二级故障进行响应，分别在规定时间内进行维修、恢复服务</w:t>
            </w:r>
            <w:r>
              <w:rPr>
                <w:rFonts w:hint="eastAsia" w:ascii="宋体" w:hAnsi="宋体"/>
              </w:rPr>
              <w:t>。其中紧急重大故障要求15分钟内到达现场处理。</w:t>
            </w:r>
          </w:p>
          <w:p>
            <w:pPr>
              <w:pStyle w:val="30"/>
              <w:numPr>
                <w:ilvl w:val="0"/>
                <w:numId w:val="4"/>
              </w:numPr>
              <w:rPr>
                <w:rFonts w:ascii="宋体" w:hAnsi="宋体"/>
              </w:rPr>
            </w:pPr>
            <w:r>
              <w:rPr>
                <w:rFonts w:hint="eastAsia" w:ascii="宋体" w:hAnsi="宋体"/>
              </w:rPr>
              <w:t>要求提供相当于原厂技术服务水平的服务。</w:t>
            </w:r>
          </w:p>
          <w:p>
            <w:pPr>
              <w:pStyle w:val="30"/>
              <w:numPr>
                <w:ilvl w:val="0"/>
                <w:numId w:val="4"/>
              </w:numPr>
              <w:rPr>
                <w:rFonts w:ascii="宋体" w:hAnsi="宋体"/>
              </w:rPr>
            </w:pPr>
            <w:r>
              <w:rPr>
                <w:rFonts w:hint="eastAsia" w:ascii="宋体" w:hAnsi="宋体"/>
              </w:rPr>
              <w:t>乙方必须提供</w:t>
            </w:r>
            <w:r>
              <w:rPr>
                <w:rFonts w:ascii="宋体" w:hAnsi="宋体"/>
              </w:rPr>
              <w:t>电话或现场技术咨询和技术支持服务</w:t>
            </w: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88" w:type="dxa"/>
          </w:tcPr>
          <w:p>
            <w:pPr>
              <w:pStyle w:val="30"/>
              <w:rPr>
                <w:rFonts w:ascii="宋体" w:hAnsi="宋体"/>
              </w:rPr>
            </w:pPr>
            <w:r>
              <w:rPr>
                <w:rFonts w:hint="eastAsia" w:ascii="宋体" w:hAnsi="宋体"/>
              </w:rPr>
              <w:t>2</w:t>
            </w:r>
          </w:p>
        </w:tc>
        <w:tc>
          <w:tcPr>
            <w:tcW w:w="1496" w:type="dxa"/>
          </w:tcPr>
          <w:p>
            <w:pPr>
              <w:pStyle w:val="30"/>
              <w:rPr>
                <w:rFonts w:ascii="宋体" w:hAnsi="宋体"/>
              </w:rPr>
            </w:pPr>
            <w:r>
              <w:rPr>
                <w:rFonts w:hint="eastAsia" w:ascii="宋体" w:hAnsi="宋体"/>
              </w:rPr>
              <w:t>设备调优</w:t>
            </w:r>
          </w:p>
        </w:tc>
        <w:tc>
          <w:tcPr>
            <w:tcW w:w="6180" w:type="dxa"/>
          </w:tcPr>
          <w:p>
            <w:pPr>
              <w:pStyle w:val="30"/>
              <w:numPr>
                <w:ilvl w:val="0"/>
                <w:numId w:val="4"/>
              </w:numPr>
              <w:rPr>
                <w:rFonts w:ascii="宋体" w:hAnsi="宋体"/>
                <w:color w:val="000000"/>
                <w:szCs w:val="21"/>
              </w:rPr>
            </w:pPr>
            <w:r>
              <w:rPr>
                <w:rFonts w:hint="eastAsia" w:ascii="宋体" w:hAnsi="宋体"/>
              </w:rPr>
              <w:t>针对长期出现资源瓶颈的设备进行分析，提出解决方案或优化方案。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88" w:type="dxa"/>
          </w:tcPr>
          <w:p>
            <w:pPr>
              <w:pStyle w:val="30"/>
              <w:rPr>
                <w:rFonts w:ascii="宋体" w:hAnsi="宋体"/>
              </w:rPr>
            </w:pPr>
            <w:r>
              <w:rPr>
                <w:rFonts w:hint="eastAsia" w:ascii="宋体" w:hAnsi="宋体"/>
              </w:rPr>
              <w:t>3</w:t>
            </w:r>
          </w:p>
        </w:tc>
        <w:tc>
          <w:tcPr>
            <w:tcW w:w="1496" w:type="dxa"/>
          </w:tcPr>
          <w:p>
            <w:pPr>
              <w:pStyle w:val="30"/>
              <w:rPr>
                <w:rFonts w:ascii="宋体" w:hAnsi="宋体"/>
              </w:rPr>
            </w:pPr>
            <w:r>
              <w:rPr>
                <w:rFonts w:hint="eastAsia" w:ascii="宋体" w:hAnsi="宋体"/>
              </w:rPr>
              <w:t>特保服务</w:t>
            </w:r>
          </w:p>
        </w:tc>
        <w:tc>
          <w:tcPr>
            <w:tcW w:w="6180" w:type="dxa"/>
          </w:tcPr>
          <w:p>
            <w:pPr>
              <w:pStyle w:val="30"/>
              <w:numPr>
                <w:ilvl w:val="0"/>
                <w:numId w:val="5"/>
              </w:numPr>
              <w:rPr>
                <w:rFonts w:ascii="宋体" w:hAnsi="宋体"/>
              </w:rPr>
            </w:pPr>
            <w:r>
              <w:rPr>
                <w:rFonts w:hint="eastAsia" w:ascii="宋体" w:hAnsi="宋体"/>
              </w:rPr>
              <w:t>按照公司要求，对于特殊时期必须保障设备运行的，乙方必须根据甲方要求驻场值守和服务，完成特殊时期保障任务。</w:t>
            </w:r>
          </w:p>
          <w:p>
            <w:pPr>
              <w:pStyle w:val="30"/>
              <w:numPr>
                <w:ilvl w:val="0"/>
                <w:numId w:val="5"/>
              </w:numPr>
              <w:rPr>
                <w:rFonts w:ascii="宋体" w:hAnsi="宋体"/>
              </w:rPr>
            </w:pPr>
            <w:r>
              <w:rPr>
                <w:rFonts w:hint="eastAsia" w:ascii="宋体" w:hAnsi="宋体"/>
              </w:rPr>
              <w:t>需预计每年安排约有2个月的特保时间。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88" w:type="dxa"/>
          </w:tcPr>
          <w:p>
            <w:pPr>
              <w:pStyle w:val="30"/>
              <w:rPr>
                <w:rFonts w:ascii="宋体" w:hAnsi="宋体"/>
              </w:rPr>
            </w:pPr>
            <w:r>
              <w:rPr>
                <w:rFonts w:hint="eastAsia" w:ascii="宋体" w:hAnsi="宋体"/>
              </w:rPr>
              <w:t>4</w:t>
            </w:r>
          </w:p>
        </w:tc>
        <w:tc>
          <w:tcPr>
            <w:tcW w:w="1496" w:type="dxa"/>
          </w:tcPr>
          <w:p>
            <w:pPr>
              <w:pStyle w:val="30"/>
              <w:rPr>
                <w:rFonts w:ascii="宋体" w:hAnsi="宋体"/>
              </w:rPr>
            </w:pPr>
            <w:r>
              <w:rPr>
                <w:rFonts w:ascii="宋体" w:hAnsi="宋体"/>
              </w:rPr>
              <w:t>系统补丁通知及推荐</w:t>
            </w:r>
          </w:p>
        </w:tc>
        <w:tc>
          <w:tcPr>
            <w:tcW w:w="6180" w:type="dxa"/>
          </w:tcPr>
          <w:p>
            <w:pPr>
              <w:pStyle w:val="30"/>
              <w:numPr>
                <w:ilvl w:val="0"/>
                <w:numId w:val="5"/>
              </w:numPr>
            </w:pPr>
            <w:r>
              <w:rPr>
                <w:rFonts w:hint="eastAsia"/>
              </w:rPr>
              <w:t>预防式补丁服务：乙方在已知</w:t>
            </w:r>
            <w:r>
              <w:rPr>
                <w:rFonts w:hint="eastAsia"/>
                <w:lang w:eastAsia="zh-CN"/>
              </w:rPr>
              <w:t>终端、</w:t>
            </w:r>
            <w:r>
              <w:rPr>
                <w:rFonts w:hint="eastAsia"/>
              </w:rPr>
              <w:t>服务器</w:t>
            </w:r>
            <w:r>
              <w:rPr>
                <w:rFonts w:hint="eastAsia"/>
                <w:lang w:eastAsia="zh-CN"/>
              </w:rPr>
              <w:t>等</w:t>
            </w:r>
            <w:r>
              <w:rPr>
                <w:rFonts w:hint="eastAsia"/>
              </w:rPr>
              <w:t>缺陷可能导致潜在问题的情况下，将通过配置管理或巡检等方式对用户服务器进行增补软件分析并提出版本升级建议，并由用户进行相关业务、客户影响分析后确认进行。</w:t>
            </w:r>
          </w:p>
          <w:p>
            <w:pPr>
              <w:pStyle w:val="30"/>
              <w:numPr>
                <w:ilvl w:val="0"/>
                <w:numId w:val="5"/>
              </w:numPr>
              <w:rPr>
                <w:rFonts w:ascii="宋体" w:hAnsi="宋体"/>
              </w:rPr>
            </w:pPr>
            <w:r>
              <w:rPr>
                <w:rFonts w:hint="eastAsia"/>
              </w:rPr>
              <w:t>响应式补丁服务：当设备出现故障后，乙方在双方工程师对故障进行分析并确认是软件缺陷所导致的故障，乙方将提供针对该软件缺陷的软件补丁程序，并由用户进行相关业务、客户影响分析后确认进行。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88" w:type="dxa"/>
          </w:tcPr>
          <w:p>
            <w:pPr>
              <w:pStyle w:val="30"/>
              <w:rPr>
                <w:rFonts w:ascii="宋体" w:hAnsi="宋体"/>
              </w:rPr>
            </w:pPr>
            <w:r>
              <w:rPr>
                <w:rFonts w:hint="eastAsia" w:ascii="宋体" w:hAnsi="宋体"/>
              </w:rPr>
              <w:t>5</w:t>
            </w:r>
          </w:p>
        </w:tc>
        <w:tc>
          <w:tcPr>
            <w:tcW w:w="1496" w:type="dxa"/>
          </w:tcPr>
          <w:p>
            <w:pPr>
              <w:pStyle w:val="30"/>
              <w:rPr>
                <w:rFonts w:ascii="宋体" w:hAnsi="宋体"/>
              </w:rPr>
            </w:pPr>
            <w:r>
              <w:rPr>
                <w:rFonts w:hint="eastAsia" w:ascii="宋体" w:hAnsi="宋体"/>
                <w:lang w:eastAsia="zh-CN"/>
              </w:rPr>
              <w:t>机房设备</w:t>
            </w:r>
            <w:r>
              <w:rPr>
                <w:rFonts w:hint="eastAsia" w:ascii="宋体" w:hAnsi="宋体"/>
              </w:rPr>
              <w:t>巡检</w:t>
            </w:r>
          </w:p>
        </w:tc>
        <w:tc>
          <w:tcPr>
            <w:tcW w:w="6180" w:type="dxa"/>
          </w:tcPr>
          <w:p>
            <w:pPr>
              <w:pStyle w:val="30"/>
              <w:numPr>
                <w:ilvl w:val="0"/>
                <w:numId w:val="5"/>
              </w:numPr>
              <w:rPr>
                <w:rFonts w:ascii="宋体" w:hAnsi="宋体"/>
              </w:rPr>
            </w:pPr>
            <w:r>
              <w:rPr>
                <w:rFonts w:hint="eastAsia" w:ascii="宋体" w:hAnsi="宋体"/>
                <w:lang w:eastAsia="zh-CN"/>
              </w:rPr>
              <w:t>根据客户要求定期</w:t>
            </w:r>
            <w:r>
              <w:rPr>
                <w:rFonts w:hint="eastAsia" w:ascii="宋体" w:hAnsi="宋体"/>
              </w:rPr>
              <w:t>提供健康巡检，对</w:t>
            </w:r>
            <w:r>
              <w:rPr>
                <w:rFonts w:hint="eastAsia" w:ascii="宋体" w:hAnsi="宋体"/>
                <w:lang w:eastAsia="zh-CN"/>
              </w:rPr>
              <w:t>机房环境、</w:t>
            </w:r>
            <w:r>
              <w:rPr>
                <w:rFonts w:hint="eastAsia" w:ascii="宋体" w:hAnsi="宋体"/>
              </w:rPr>
              <w:t>设备硬件、系统运行状况进行检查，排除隐含错误或安全隐患，并提交巡检报告。</w:t>
            </w:r>
          </w:p>
          <w:p>
            <w:pPr>
              <w:pStyle w:val="30"/>
              <w:numPr>
                <w:ilvl w:val="0"/>
                <w:numId w:val="5"/>
              </w:numPr>
              <w:rPr>
                <w:rFonts w:ascii="宋体" w:hAnsi="宋体"/>
              </w:rPr>
            </w:pPr>
            <w:r>
              <w:rPr>
                <w:rFonts w:ascii="宋体" w:hAnsi="宋体"/>
              </w:rPr>
              <w:t>巡检的具体时间</w:t>
            </w:r>
            <w:r>
              <w:rPr>
                <w:rFonts w:hint="eastAsia" w:ascii="宋体" w:hAnsi="宋体"/>
              </w:rPr>
              <w:t>由双方协商确定</w:t>
            </w:r>
            <w:r>
              <w:rPr>
                <w:rFonts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88" w:type="dxa"/>
          </w:tcPr>
          <w:p>
            <w:pPr>
              <w:pStyle w:val="30"/>
              <w:rPr>
                <w:rFonts w:ascii="宋体" w:hAnsi="宋体"/>
              </w:rPr>
            </w:pPr>
            <w:r>
              <w:rPr>
                <w:rFonts w:hint="eastAsia" w:ascii="宋体" w:hAnsi="宋体"/>
              </w:rPr>
              <w:t>6</w:t>
            </w:r>
          </w:p>
        </w:tc>
        <w:tc>
          <w:tcPr>
            <w:tcW w:w="1496" w:type="dxa"/>
          </w:tcPr>
          <w:p>
            <w:pPr>
              <w:pStyle w:val="30"/>
              <w:rPr>
                <w:rFonts w:ascii="宋体" w:hAnsi="宋体"/>
              </w:rPr>
            </w:pPr>
            <w:r>
              <w:rPr>
                <w:rFonts w:ascii="宋体" w:hAnsi="宋体"/>
              </w:rPr>
              <w:t>培训服务</w:t>
            </w:r>
          </w:p>
        </w:tc>
        <w:tc>
          <w:tcPr>
            <w:tcW w:w="6180" w:type="dxa"/>
          </w:tcPr>
          <w:p>
            <w:pPr>
              <w:pStyle w:val="30"/>
              <w:numPr>
                <w:ilvl w:val="0"/>
                <w:numId w:val="5"/>
              </w:numPr>
              <w:rPr>
                <w:rFonts w:ascii="宋体" w:hAnsi="宋体"/>
              </w:rPr>
            </w:pPr>
            <w:r>
              <w:rPr>
                <w:rFonts w:ascii="宋体" w:hAnsi="宋体"/>
              </w:rPr>
              <w:t>乙方</w:t>
            </w:r>
            <w:r>
              <w:rPr>
                <w:rFonts w:hint="eastAsia" w:ascii="宋体" w:hAnsi="宋体"/>
                <w:lang w:eastAsia="zh-CN"/>
              </w:rPr>
              <w:t>根据</w:t>
            </w:r>
            <w:r>
              <w:rPr>
                <w:rFonts w:hint="eastAsia" w:ascii="宋体" w:hAnsi="宋体"/>
              </w:rPr>
              <w:t>甲方</w:t>
            </w:r>
            <w:r>
              <w:rPr>
                <w:rFonts w:hint="eastAsia" w:ascii="宋体" w:hAnsi="宋体"/>
                <w:lang w:eastAsia="zh-CN"/>
              </w:rPr>
              <w:t>要求</w:t>
            </w:r>
            <w:r>
              <w:rPr>
                <w:rFonts w:ascii="宋体" w:hAnsi="宋体"/>
              </w:rPr>
              <w:t>进行</w:t>
            </w:r>
            <w:r>
              <w:rPr>
                <w:rFonts w:hint="eastAsia" w:ascii="宋体" w:hAnsi="宋体"/>
              </w:rPr>
              <w:t>运行维护</w:t>
            </w:r>
            <w:r>
              <w:rPr>
                <w:rFonts w:ascii="宋体" w:hAnsi="宋体"/>
              </w:rPr>
              <w:t>技术培训，并定期与</w:t>
            </w:r>
            <w:r>
              <w:rPr>
                <w:rFonts w:hint="eastAsia" w:ascii="宋体" w:hAnsi="宋体"/>
              </w:rPr>
              <w:t>甲方</w:t>
            </w:r>
            <w:r>
              <w:rPr>
                <w:rFonts w:ascii="宋体" w:hAnsi="宋体"/>
              </w:rPr>
              <w:t>技术人员进行技术交流</w:t>
            </w:r>
            <w:r>
              <w:rPr>
                <w:rFonts w:hint="eastAsia" w:ascii="宋体" w:hAnsi="宋体"/>
              </w:rPr>
              <w:t>。</w:t>
            </w:r>
          </w:p>
        </w:tc>
      </w:tr>
    </w:tbl>
    <w:p>
      <w:pPr>
        <w:pStyle w:val="5"/>
        <w:numPr>
          <w:ilvl w:val="0"/>
          <w:numId w:val="0"/>
        </w:numPr>
        <w:spacing w:line="360" w:lineRule="auto"/>
        <w:ind w:leftChars="0"/>
      </w:pPr>
    </w:p>
    <w:p>
      <w:pPr>
        <w:pStyle w:val="5"/>
        <w:numPr>
          <w:ilvl w:val="3"/>
          <w:numId w:val="1"/>
        </w:numPr>
        <w:spacing w:line="360" w:lineRule="auto"/>
      </w:pPr>
      <w:r>
        <w:rPr>
          <w:rFonts w:hint="eastAsia"/>
        </w:rPr>
        <w:t>终端基础平台应用系统运行维护</w:t>
      </w:r>
    </w:p>
    <w:p>
      <w:pPr>
        <w:pStyle w:val="7"/>
        <w:spacing w:before="120" w:line="360" w:lineRule="auto"/>
        <w:ind w:firstLine="561"/>
        <w:rPr>
          <w:szCs w:val="24"/>
        </w:rPr>
      </w:pPr>
      <w:r>
        <w:rPr>
          <w:rFonts w:hint="eastAsia"/>
        </w:rPr>
        <w:t>终端基础平台应用系统</w:t>
      </w:r>
      <w:r>
        <w:rPr>
          <w:rFonts w:hint="eastAsia"/>
          <w:szCs w:val="24"/>
        </w:rPr>
        <w:t>运行维护包括：</w:t>
      </w:r>
      <w:r>
        <w:rPr>
          <w:rFonts w:hint="eastAsia" w:hAnsi="宋体" w:asciiTheme="minorHAnsi" w:eastAsiaTheme="minorEastAsia" w:cstheme="minorBidi"/>
          <w:szCs w:val="22"/>
        </w:rPr>
        <w:t>终端电脑、打印机、电话、会议室设备、安全U盘、操作系统、存储，防火墙、网络交换机、AD域控制器、360天擎杀毒软件、天融信DLP桌面管理、ukey应用及RA注册管理系统、内外网网络、网络安全保障</w:t>
      </w:r>
      <w:r>
        <w:rPr>
          <w:rFonts w:hint="eastAsia" w:ascii="宋体" w:hAnsi="宋体" w:cs="宋体"/>
          <w:bCs/>
        </w:rPr>
        <w:t>等</w:t>
      </w:r>
      <w:r>
        <w:rPr>
          <w:rFonts w:hint="eastAsia"/>
          <w:szCs w:val="24"/>
        </w:rPr>
        <w:t>。工作包括日常运行维护、修正性维护，并按照</w:t>
      </w:r>
      <w:r>
        <w:rPr>
          <w:rFonts w:hint="eastAsia"/>
          <w:szCs w:val="24"/>
          <w:lang w:eastAsia="zh-CN"/>
        </w:rPr>
        <w:t>南方电网数字传媒科技有限公司</w:t>
      </w:r>
      <w:r>
        <w:rPr>
          <w:rFonts w:hint="eastAsia"/>
          <w:szCs w:val="24"/>
        </w:rPr>
        <w:t>信息管理制度做好日常记录。</w:t>
      </w:r>
    </w:p>
    <w:p>
      <w:pPr>
        <w:pStyle w:val="5"/>
        <w:numPr>
          <w:ilvl w:val="3"/>
          <w:numId w:val="1"/>
        </w:numPr>
        <w:spacing w:line="360" w:lineRule="auto"/>
      </w:pPr>
      <w:r>
        <w:rPr>
          <w:rFonts w:hint="eastAsia"/>
        </w:rPr>
        <w:t>信息安全保障</w:t>
      </w:r>
    </w:p>
    <w:p>
      <w:pPr>
        <w:pStyle w:val="7"/>
        <w:spacing w:before="120" w:line="360" w:lineRule="auto"/>
        <w:ind w:firstLine="561"/>
        <w:rPr>
          <w:szCs w:val="24"/>
        </w:rPr>
      </w:pPr>
      <w:r>
        <w:rPr>
          <w:rFonts w:hint="eastAsia"/>
          <w:szCs w:val="24"/>
        </w:rPr>
        <w:t>乙方必须按照甲方及其上级单位颁发的管理制度、修理维护规范、操作指导等相关规则制度定期不定期检查服务器、网络设备、系统设置等是否符合安全规范，使得每次的等保评测、安全巡查等安全检查都只有较少的问题，并对等保评测、安全巡查等产生的问题及时整改。</w:t>
      </w:r>
    </w:p>
    <w:p>
      <w:pPr>
        <w:pStyle w:val="7"/>
        <w:spacing w:before="120" w:line="360" w:lineRule="auto"/>
        <w:ind w:firstLine="561"/>
        <w:rPr>
          <w:szCs w:val="24"/>
        </w:rPr>
      </w:pPr>
      <w:r>
        <w:rPr>
          <w:rFonts w:hint="eastAsia"/>
          <w:szCs w:val="24"/>
        </w:rPr>
        <w:t>乙方积极配合甲方进行应急演练，为甲方编写应急演练预案和脚本，协助演练的顺利进行。</w:t>
      </w:r>
    </w:p>
    <w:p>
      <w:pPr>
        <w:pStyle w:val="4"/>
        <w:numPr>
          <w:ilvl w:val="2"/>
          <w:numId w:val="1"/>
        </w:numPr>
        <w:spacing w:line="360" w:lineRule="auto"/>
      </w:pPr>
      <w:bookmarkStart w:id="22" w:name="_Toc4968"/>
      <w:r>
        <w:t>服务方式</w:t>
      </w:r>
      <w:bookmarkEnd w:id="22"/>
    </w:p>
    <w:p>
      <w:pPr>
        <w:pStyle w:val="26"/>
        <w:spacing w:line="360" w:lineRule="auto"/>
        <w:ind w:left="0" w:firstLine="420"/>
      </w:pPr>
      <w:r>
        <w:t>乙方</w:t>
      </w:r>
      <w:r>
        <w:rPr>
          <w:rFonts w:hint="eastAsia"/>
        </w:rPr>
        <w:t>在服务</w:t>
      </w:r>
      <w:r>
        <w:t>期内提供</w:t>
      </w:r>
      <w:r>
        <w:rPr>
          <w:rFonts w:hint="eastAsia"/>
        </w:rPr>
        <w:t>技术服务支撑团队，提供至少每周</w:t>
      </w:r>
      <w:r>
        <w:rPr>
          <w:rFonts w:hint="eastAsia"/>
          <w:lang w:val="en-US" w:eastAsia="zh-CN"/>
        </w:rPr>
        <w:t>3</w:t>
      </w:r>
      <w:r>
        <w:rPr>
          <w:rFonts w:hint="eastAsia"/>
        </w:rPr>
        <w:t>人</w:t>
      </w:r>
      <w:r>
        <w:t>×</w:t>
      </w:r>
      <w:r>
        <w:rPr>
          <w:rFonts w:hint="eastAsia"/>
        </w:rPr>
        <w:t>5天</w:t>
      </w:r>
      <w:r>
        <w:t>×</w:t>
      </w:r>
      <w:r>
        <w:rPr>
          <w:rFonts w:hint="eastAsia"/>
        </w:rPr>
        <w:t>8小时高级故障处理服务，即</w:t>
      </w:r>
      <w:r>
        <w:t>乙方</w:t>
      </w:r>
      <w:r>
        <w:rPr>
          <w:rFonts w:hint="eastAsia"/>
        </w:rPr>
        <w:t>需要至少派</w:t>
      </w:r>
      <w:r>
        <w:rPr>
          <w:rFonts w:hint="eastAsia"/>
          <w:lang w:val="en-US" w:eastAsia="zh-CN"/>
        </w:rPr>
        <w:t>3</w:t>
      </w:r>
      <w:r>
        <w:rPr>
          <w:rFonts w:hint="eastAsia"/>
        </w:rPr>
        <w:t>位工程师为甲方提供</w:t>
      </w:r>
      <w:r>
        <w:rPr>
          <w:rFonts w:hint="eastAsia"/>
          <w:szCs w:val="24"/>
        </w:rPr>
        <w:t>维护服务</w:t>
      </w:r>
      <w:r>
        <w:rPr>
          <w:rFonts w:hint="eastAsia"/>
        </w:rPr>
        <w:t>，服务时间包括由于设备需要在非工作时间才能停机或者其他原因所造成的加班时间；提供每周7天</w:t>
      </w:r>
      <w:r>
        <w:t>×</w:t>
      </w:r>
      <w:r>
        <w:rPr>
          <w:rFonts w:hint="eastAsia"/>
        </w:rPr>
        <w:t>24小时电话支持和现场相应服务，维护甲方设备时遇到问题，或出现严重故障、甲方要求到场时，需派遣技术专家到场支持。</w:t>
      </w:r>
    </w:p>
    <w:p>
      <w:pPr>
        <w:pStyle w:val="26"/>
        <w:spacing w:line="360" w:lineRule="auto"/>
        <w:ind w:left="0" w:firstLine="420"/>
      </w:pPr>
      <w:r>
        <w:t>在技术支持服务时，乙方应</w:t>
      </w:r>
      <w:r>
        <w:rPr>
          <w:rFonts w:hint="eastAsia"/>
        </w:rPr>
        <w:t>按照响应时间要求</w:t>
      </w:r>
      <w:r>
        <w:t>，在最短的时间内到达设备使用现场解决问题</w:t>
      </w:r>
      <w:r>
        <w:rPr>
          <w:rFonts w:hint="eastAsia"/>
        </w:rPr>
        <w:t>，</w:t>
      </w:r>
      <w:r>
        <w:t>并提供对所有技术支持、服务请求、故障报修、技术咨询的单点专员联系，对所有问题的记录、分派、跟踪和管理、分析和报告。</w:t>
      </w:r>
    </w:p>
    <w:p>
      <w:pPr>
        <w:pStyle w:val="5"/>
        <w:numPr>
          <w:ilvl w:val="3"/>
          <w:numId w:val="1"/>
        </w:numPr>
        <w:spacing w:line="360" w:lineRule="auto"/>
      </w:pPr>
      <w:bookmarkStart w:id="23" w:name="_Toc76472181"/>
      <w:bookmarkStart w:id="24" w:name="_Toc75082782"/>
      <w:r>
        <w:rPr>
          <w:rFonts w:hint="eastAsia"/>
        </w:rPr>
        <w:t>现场支持</w:t>
      </w:r>
    </w:p>
    <w:p>
      <w:pPr>
        <w:pStyle w:val="26"/>
        <w:spacing w:line="360" w:lineRule="auto"/>
        <w:ind w:left="0" w:firstLine="420" w:firstLineChars="175"/>
      </w:pPr>
      <w:r>
        <w:t>乙方应</w:t>
      </w:r>
      <w:r>
        <w:rPr>
          <w:rFonts w:hint="eastAsia"/>
        </w:rPr>
        <w:t>根据故障级别，采取相应的现场支持解决策略，为故障系统提供现场故障处理服务。响应时间与修复时间见下表：</w:t>
      </w:r>
    </w:p>
    <w:tbl>
      <w:tblPr>
        <w:tblStyle w:val="15"/>
        <w:tblW w:w="8253"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1771"/>
        <w:gridCol w:w="1622"/>
        <w:gridCol w:w="1620"/>
        <w:gridCol w:w="1620"/>
        <w:gridCol w:w="162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cantSplit/>
          <w:jc w:val="center"/>
        </w:trPr>
        <w:tc>
          <w:tcPr>
            <w:tcW w:w="1771" w:type="dxa"/>
            <w:vAlign w:val="center"/>
          </w:tcPr>
          <w:p>
            <w:pPr>
              <w:spacing w:line="360" w:lineRule="auto"/>
              <w:ind w:firstLine="0" w:firstLineChars="0"/>
              <w:rPr>
                <w:rFonts w:ascii="宋体" w:cs="Arial"/>
                <w:sz w:val="22"/>
                <w:szCs w:val="22"/>
              </w:rPr>
            </w:pPr>
            <w:r>
              <w:rPr>
                <w:rFonts w:hint="eastAsia" w:ascii="宋体" w:cs="Arial"/>
                <w:sz w:val="22"/>
                <w:szCs w:val="22"/>
              </w:rPr>
              <w:t>故障级别</w:t>
            </w:r>
          </w:p>
        </w:tc>
        <w:tc>
          <w:tcPr>
            <w:tcW w:w="1622" w:type="dxa"/>
            <w:vAlign w:val="center"/>
          </w:tcPr>
          <w:p>
            <w:pPr>
              <w:spacing w:line="360" w:lineRule="auto"/>
              <w:ind w:firstLine="0" w:firstLineChars="0"/>
              <w:rPr>
                <w:rFonts w:ascii="宋体" w:cs="Arial"/>
                <w:sz w:val="22"/>
                <w:szCs w:val="22"/>
              </w:rPr>
            </w:pPr>
            <w:r>
              <w:rPr>
                <w:rFonts w:hint="eastAsia" w:ascii="宋体" w:cs="Arial"/>
                <w:sz w:val="22"/>
                <w:szCs w:val="22"/>
              </w:rPr>
              <w:t>P1级故障</w:t>
            </w:r>
          </w:p>
        </w:tc>
        <w:tc>
          <w:tcPr>
            <w:tcW w:w="1620" w:type="dxa"/>
            <w:vAlign w:val="center"/>
          </w:tcPr>
          <w:p>
            <w:pPr>
              <w:spacing w:line="360" w:lineRule="auto"/>
              <w:ind w:firstLine="0" w:firstLineChars="0"/>
              <w:rPr>
                <w:rFonts w:ascii="宋体" w:cs="Arial"/>
                <w:sz w:val="22"/>
                <w:szCs w:val="22"/>
              </w:rPr>
            </w:pPr>
            <w:r>
              <w:rPr>
                <w:rFonts w:hint="eastAsia" w:ascii="宋体" w:cs="Arial"/>
                <w:sz w:val="22"/>
                <w:szCs w:val="22"/>
              </w:rPr>
              <w:t>P2级故障</w:t>
            </w:r>
          </w:p>
        </w:tc>
        <w:tc>
          <w:tcPr>
            <w:tcW w:w="1620" w:type="dxa"/>
            <w:vAlign w:val="center"/>
          </w:tcPr>
          <w:p>
            <w:pPr>
              <w:spacing w:line="360" w:lineRule="auto"/>
              <w:ind w:firstLine="0" w:firstLineChars="0"/>
              <w:rPr>
                <w:rFonts w:ascii="宋体" w:cs="Arial"/>
                <w:sz w:val="22"/>
                <w:szCs w:val="22"/>
              </w:rPr>
            </w:pPr>
            <w:r>
              <w:rPr>
                <w:rFonts w:hint="eastAsia" w:ascii="宋体" w:cs="Arial"/>
                <w:sz w:val="22"/>
                <w:szCs w:val="22"/>
              </w:rPr>
              <w:t>P3级故障</w:t>
            </w:r>
          </w:p>
        </w:tc>
        <w:tc>
          <w:tcPr>
            <w:tcW w:w="1620" w:type="dxa"/>
            <w:vAlign w:val="center"/>
          </w:tcPr>
          <w:p>
            <w:pPr>
              <w:spacing w:line="360" w:lineRule="auto"/>
              <w:ind w:firstLine="0" w:firstLineChars="0"/>
              <w:rPr>
                <w:rFonts w:ascii="宋体" w:cs="Arial"/>
                <w:sz w:val="22"/>
                <w:szCs w:val="22"/>
              </w:rPr>
            </w:pPr>
            <w:r>
              <w:rPr>
                <w:rFonts w:hint="eastAsia" w:ascii="宋体" w:cs="Arial"/>
                <w:sz w:val="22"/>
                <w:szCs w:val="22"/>
              </w:rPr>
              <w:t>P4级故障</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cantSplit/>
          <w:jc w:val="center"/>
        </w:trPr>
        <w:tc>
          <w:tcPr>
            <w:tcW w:w="1771" w:type="dxa"/>
            <w:vMerge w:val="restart"/>
            <w:vAlign w:val="center"/>
          </w:tcPr>
          <w:p>
            <w:pPr>
              <w:spacing w:line="360" w:lineRule="auto"/>
              <w:ind w:firstLine="0" w:firstLineChars="0"/>
              <w:rPr>
                <w:rFonts w:ascii="宋体" w:cs="Arial"/>
                <w:sz w:val="22"/>
                <w:szCs w:val="22"/>
              </w:rPr>
            </w:pPr>
            <w:r>
              <w:rPr>
                <w:rFonts w:hint="eastAsia" w:ascii="宋体" w:cs="Arial"/>
                <w:sz w:val="22"/>
                <w:szCs w:val="22"/>
              </w:rPr>
              <w:t>响应时间</w:t>
            </w:r>
          </w:p>
        </w:tc>
        <w:tc>
          <w:tcPr>
            <w:tcW w:w="1622" w:type="dxa"/>
            <w:vAlign w:val="center"/>
          </w:tcPr>
          <w:p>
            <w:pPr>
              <w:spacing w:line="360" w:lineRule="auto"/>
              <w:ind w:firstLine="0" w:firstLineChars="0"/>
              <w:rPr>
                <w:rFonts w:ascii="宋体" w:cs="Arial"/>
                <w:sz w:val="22"/>
                <w:szCs w:val="22"/>
              </w:rPr>
            </w:pPr>
            <w:r>
              <w:rPr>
                <w:rFonts w:hint="eastAsia" w:ascii="宋体" w:cs="Arial"/>
                <w:sz w:val="22"/>
                <w:szCs w:val="22"/>
              </w:rPr>
              <w:t>即时响应</w:t>
            </w:r>
          </w:p>
        </w:tc>
        <w:tc>
          <w:tcPr>
            <w:tcW w:w="1620" w:type="dxa"/>
            <w:vAlign w:val="center"/>
          </w:tcPr>
          <w:p>
            <w:pPr>
              <w:spacing w:line="360" w:lineRule="auto"/>
              <w:ind w:firstLine="0" w:firstLineChars="0"/>
              <w:rPr>
                <w:rFonts w:ascii="宋体" w:cs="Arial"/>
                <w:sz w:val="22"/>
                <w:szCs w:val="22"/>
              </w:rPr>
            </w:pPr>
            <w:r>
              <w:rPr>
                <w:rFonts w:hint="eastAsia" w:ascii="宋体" w:cs="Arial"/>
                <w:sz w:val="22"/>
                <w:szCs w:val="22"/>
              </w:rPr>
              <w:t>即时响应</w:t>
            </w:r>
          </w:p>
        </w:tc>
        <w:tc>
          <w:tcPr>
            <w:tcW w:w="1620" w:type="dxa"/>
            <w:vAlign w:val="center"/>
          </w:tcPr>
          <w:p>
            <w:pPr>
              <w:spacing w:line="360" w:lineRule="auto"/>
              <w:ind w:firstLine="0" w:firstLineChars="0"/>
              <w:rPr>
                <w:rFonts w:ascii="宋体" w:cs="Arial"/>
                <w:sz w:val="22"/>
                <w:szCs w:val="22"/>
              </w:rPr>
            </w:pPr>
            <w:r>
              <w:rPr>
                <w:rFonts w:hint="eastAsia" w:ascii="宋体" w:cs="Arial"/>
                <w:sz w:val="22"/>
                <w:szCs w:val="22"/>
              </w:rPr>
              <w:t>≤2小时</w:t>
            </w:r>
          </w:p>
        </w:tc>
        <w:tc>
          <w:tcPr>
            <w:tcW w:w="1620" w:type="dxa"/>
            <w:vAlign w:val="center"/>
          </w:tcPr>
          <w:p>
            <w:pPr>
              <w:spacing w:line="360" w:lineRule="auto"/>
              <w:ind w:firstLine="0" w:firstLineChars="0"/>
              <w:rPr>
                <w:rFonts w:ascii="宋体" w:cs="Arial"/>
                <w:sz w:val="22"/>
                <w:szCs w:val="22"/>
              </w:rPr>
            </w:pPr>
            <w:r>
              <w:rPr>
                <w:rFonts w:hint="eastAsia" w:ascii="宋体" w:cs="Arial"/>
                <w:sz w:val="22"/>
                <w:szCs w:val="22"/>
              </w:rPr>
              <w:t>≤4小时</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cantSplit/>
          <w:jc w:val="center"/>
        </w:trPr>
        <w:tc>
          <w:tcPr>
            <w:tcW w:w="1771" w:type="dxa"/>
            <w:vMerge w:val="continue"/>
            <w:vAlign w:val="center"/>
          </w:tcPr>
          <w:p>
            <w:pPr>
              <w:spacing w:line="360" w:lineRule="auto"/>
              <w:ind w:firstLine="0" w:firstLineChars="0"/>
              <w:rPr>
                <w:sz w:val="22"/>
                <w:szCs w:val="22"/>
              </w:rPr>
            </w:pPr>
          </w:p>
        </w:tc>
        <w:tc>
          <w:tcPr>
            <w:tcW w:w="6482" w:type="dxa"/>
            <w:gridSpan w:val="4"/>
            <w:vAlign w:val="center"/>
          </w:tcPr>
          <w:p>
            <w:pPr>
              <w:spacing w:line="360" w:lineRule="auto"/>
              <w:ind w:firstLine="0" w:firstLineChars="0"/>
              <w:rPr>
                <w:rFonts w:ascii="宋体" w:cs="Arial"/>
                <w:sz w:val="22"/>
                <w:szCs w:val="22"/>
              </w:rPr>
            </w:pPr>
            <w:r>
              <w:rPr>
                <w:rFonts w:hint="eastAsia" w:ascii="宋体" w:cs="Arial"/>
                <w:sz w:val="22"/>
                <w:szCs w:val="22"/>
              </w:rPr>
              <w:t>甲方提出故障处理申请，乙方应第一时间响应甲方的需求。</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cantSplit/>
          <w:jc w:val="center"/>
        </w:trPr>
        <w:tc>
          <w:tcPr>
            <w:tcW w:w="1771" w:type="dxa"/>
            <w:vMerge w:val="restart"/>
            <w:vAlign w:val="center"/>
          </w:tcPr>
          <w:p>
            <w:pPr>
              <w:spacing w:line="360" w:lineRule="auto"/>
              <w:ind w:firstLine="0" w:firstLineChars="0"/>
              <w:rPr>
                <w:rFonts w:ascii="宋体" w:cs="Arial"/>
                <w:sz w:val="22"/>
                <w:szCs w:val="22"/>
              </w:rPr>
            </w:pPr>
            <w:r>
              <w:rPr>
                <w:rFonts w:hint="eastAsia" w:ascii="宋体" w:cs="Arial"/>
                <w:sz w:val="22"/>
                <w:szCs w:val="22"/>
              </w:rPr>
              <w:t>故障确诊时间</w:t>
            </w:r>
          </w:p>
        </w:tc>
        <w:tc>
          <w:tcPr>
            <w:tcW w:w="1622" w:type="dxa"/>
            <w:vAlign w:val="center"/>
          </w:tcPr>
          <w:p>
            <w:pPr>
              <w:spacing w:line="360" w:lineRule="auto"/>
              <w:ind w:firstLine="0" w:firstLineChars="0"/>
              <w:rPr>
                <w:rFonts w:ascii="宋体" w:cs="Arial"/>
                <w:sz w:val="22"/>
                <w:szCs w:val="22"/>
              </w:rPr>
            </w:pPr>
            <w:r>
              <w:rPr>
                <w:rFonts w:hint="eastAsia" w:ascii="宋体" w:cs="Arial"/>
                <w:sz w:val="22"/>
                <w:szCs w:val="22"/>
              </w:rPr>
              <w:t>≤2小时</w:t>
            </w:r>
          </w:p>
        </w:tc>
        <w:tc>
          <w:tcPr>
            <w:tcW w:w="1620" w:type="dxa"/>
            <w:vAlign w:val="center"/>
          </w:tcPr>
          <w:p>
            <w:pPr>
              <w:spacing w:line="360" w:lineRule="auto"/>
              <w:ind w:firstLine="0" w:firstLineChars="0"/>
              <w:rPr>
                <w:rFonts w:ascii="宋体" w:cs="Arial"/>
                <w:sz w:val="22"/>
                <w:szCs w:val="22"/>
              </w:rPr>
            </w:pPr>
            <w:r>
              <w:rPr>
                <w:rFonts w:hint="eastAsia" w:ascii="宋体" w:cs="Arial"/>
                <w:sz w:val="22"/>
                <w:szCs w:val="22"/>
              </w:rPr>
              <w:t>≤2小时</w:t>
            </w:r>
          </w:p>
        </w:tc>
        <w:tc>
          <w:tcPr>
            <w:tcW w:w="1620" w:type="dxa"/>
            <w:vAlign w:val="center"/>
          </w:tcPr>
          <w:p>
            <w:pPr>
              <w:spacing w:line="360" w:lineRule="auto"/>
              <w:ind w:firstLine="0" w:firstLineChars="0"/>
              <w:rPr>
                <w:rFonts w:ascii="宋体" w:cs="Arial"/>
                <w:sz w:val="22"/>
                <w:szCs w:val="22"/>
              </w:rPr>
            </w:pPr>
            <w:r>
              <w:rPr>
                <w:rFonts w:hint="eastAsia" w:ascii="宋体" w:cs="Arial"/>
                <w:sz w:val="22"/>
                <w:szCs w:val="22"/>
              </w:rPr>
              <w:t>≤12小时</w:t>
            </w:r>
          </w:p>
        </w:tc>
        <w:tc>
          <w:tcPr>
            <w:tcW w:w="1620" w:type="dxa"/>
            <w:vAlign w:val="center"/>
          </w:tcPr>
          <w:p>
            <w:pPr>
              <w:spacing w:line="360" w:lineRule="auto"/>
              <w:ind w:firstLine="0" w:firstLineChars="0"/>
              <w:rPr>
                <w:rFonts w:ascii="宋体" w:cs="Arial"/>
                <w:sz w:val="22"/>
                <w:szCs w:val="22"/>
              </w:rPr>
            </w:pPr>
            <w:r>
              <w:rPr>
                <w:rFonts w:hint="eastAsia" w:ascii="宋体" w:cs="Arial"/>
                <w:sz w:val="22"/>
                <w:szCs w:val="22"/>
              </w:rPr>
              <w:t>≤24小时</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cantSplit/>
          <w:trHeight w:val="822" w:hRule="atLeast"/>
          <w:jc w:val="center"/>
        </w:trPr>
        <w:tc>
          <w:tcPr>
            <w:tcW w:w="1771" w:type="dxa"/>
            <w:vMerge w:val="continue"/>
            <w:vAlign w:val="center"/>
          </w:tcPr>
          <w:p>
            <w:pPr>
              <w:spacing w:line="360" w:lineRule="auto"/>
              <w:ind w:firstLine="0" w:firstLineChars="0"/>
              <w:rPr>
                <w:sz w:val="22"/>
                <w:szCs w:val="22"/>
              </w:rPr>
            </w:pPr>
          </w:p>
        </w:tc>
        <w:tc>
          <w:tcPr>
            <w:tcW w:w="6482" w:type="dxa"/>
            <w:gridSpan w:val="4"/>
            <w:vAlign w:val="center"/>
          </w:tcPr>
          <w:p>
            <w:pPr>
              <w:spacing w:line="360" w:lineRule="auto"/>
              <w:ind w:firstLine="0" w:firstLineChars="0"/>
              <w:rPr>
                <w:rFonts w:ascii="宋体" w:cs="Arial"/>
                <w:sz w:val="22"/>
                <w:szCs w:val="22"/>
              </w:rPr>
            </w:pPr>
            <w:r>
              <w:rPr>
                <w:rFonts w:hint="eastAsia" w:ascii="宋体" w:cs="Arial"/>
                <w:sz w:val="22"/>
                <w:szCs w:val="22"/>
              </w:rPr>
              <w:t>如果远程诊断无法确诊，乙方应派现场工程师将启程前往设备现场完成故障确诊。</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cantSplit/>
          <w:jc w:val="center"/>
        </w:trPr>
        <w:tc>
          <w:tcPr>
            <w:tcW w:w="1771" w:type="dxa"/>
            <w:vMerge w:val="restart"/>
            <w:vAlign w:val="center"/>
          </w:tcPr>
          <w:p>
            <w:pPr>
              <w:spacing w:line="360" w:lineRule="auto"/>
              <w:ind w:firstLine="0" w:firstLineChars="0"/>
              <w:rPr>
                <w:rFonts w:ascii="宋体" w:cs="Arial"/>
                <w:sz w:val="22"/>
                <w:szCs w:val="22"/>
              </w:rPr>
            </w:pPr>
            <w:r>
              <w:rPr>
                <w:rFonts w:hint="eastAsia" w:ascii="宋体" w:cs="Arial"/>
                <w:sz w:val="22"/>
                <w:szCs w:val="22"/>
              </w:rPr>
              <w:t>抵达现场时间</w:t>
            </w:r>
          </w:p>
        </w:tc>
        <w:tc>
          <w:tcPr>
            <w:tcW w:w="1622" w:type="dxa"/>
            <w:vAlign w:val="center"/>
          </w:tcPr>
          <w:p>
            <w:pPr>
              <w:spacing w:line="360" w:lineRule="auto"/>
              <w:ind w:firstLine="0" w:firstLineChars="0"/>
              <w:rPr>
                <w:rFonts w:ascii="宋体" w:cs="Arial"/>
                <w:sz w:val="22"/>
                <w:szCs w:val="22"/>
              </w:rPr>
            </w:pPr>
            <w:r>
              <w:rPr>
                <w:rFonts w:hint="eastAsia" w:ascii="宋体" w:cs="Arial"/>
                <w:sz w:val="22"/>
                <w:szCs w:val="22"/>
              </w:rPr>
              <w:t>≤15分钟</w:t>
            </w:r>
          </w:p>
        </w:tc>
        <w:tc>
          <w:tcPr>
            <w:tcW w:w="1620" w:type="dxa"/>
            <w:vAlign w:val="center"/>
          </w:tcPr>
          <w:p>
            <w:pPr>
              <w:spacing w:line="360" w:lineRule="auto"/>
              <w:ind w:firstLine="0" w:firstLineChars="0"/>
              <w:rPr>
                <w:rFonts w:ascii="宋体" w:cs="Arial"/>
                <w:sz w:val="22"/>
                <w:szCs w:val="22"/>
              </w:rPr>
            </w:pPr>
            <w:r>
              <w:rPr>
                <w:rFonts w:hint="eastAsia" w:ascii="宋体" w:cs="Arial"/>
                <w:sz w:val="22"/>
                <w:szCs w:val="22"/>
              </w:rPr>
              <w:t>≤1小时</w:t>
            </w:r>
          </w:p>
        </w:tc>
        <w:tc>
          <w:tcPr>
            <w:tcW w:w="1620" w:type="dxa"/>
            <w:vAlign w:val="center"/>
          </w:tcPr>
          <w:p>
            <w:pPr>
              <w:spacing w:line="360" w:lineRule="auto"/>
              <w:ind w:firstLine="0" w:firstLineChars="0"/>
              <w:rPr>
                <w:rFonts w:ascii="宋体" w:cs="Arial"/>
                <w:sz w:val="22"/>
                <w:szCs w:val="22"/>
              </w:rPr>
            </w:pPr>
            <w:r>
              <w:rPr>
                <w:rFonts w:hint="eastAsia" w:ascii="宋体" w:cs="Arial"/>
                <w:sz w:val="22"/>
                <w:szCs w:val="22"/>
              </w:rPr>
              <w:t>≤4小时</w:t>
            </w:r>
          </w:p>
        </w:tc>
        <w:tc>
          <w:tcPr>
            <w:tcW w:w="1620" w:type="dxa"/>
            <w:vAlign w:val="center"/>
          </w:tcPr>
          <w:p>
            <w:pPr>
              <w:spacing w:line="360" w:lineRule="auto"/>
              <w:ind w:firstLine="0" w:firstLineChars="0"/>
              <w:rPr>
                <w:rFonts w:ascii="宋体" w:cs="Arial"/>
                <w:sz w:val="22"/>
                <w:szCs w:val="22"/>
              </w:rPr>
            </w:pPr>
            <w:r>
              <w:rPr>
                <w:rFonts w:hint="eastAsia" w:ascii="宋体" w:cs="Arial"/>
                <w:sz w:val="22"/>
                <w:szCs w:val="22"/>
              </w:rPr>
              <w:t>≤8小时</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cantSplit/>
          <w:trHeight w:val="408" w:hRule="atLeast"/>
          <w:jc w:val="center"/>
        </w:trPr>
        <w:tc>
          <w:tcPr>
            <w:tcW w:w="1771" w:type="dxa"/>
            <w:vMerge w:val="continue"/>
            <w:vAlign w:val="center"/>
          </w:tcPr>
          <w:p>
            <w:pPr>
              <w:spacing w:line="360" w:lineRule="auto"/>
              <w:ind w:firstLine="0" w:firstLineChars="0"/>
              <w:rPr>
                <w:sz w:val="22"/>
                <w:szCs w:val="22"/>
              </w:rPr>
            </w:pPr>
          </w:p>
        </w:tc>
        <w:tc>
          <w:tcPr>
            <w:tcW w:w="6482" w:type="dxa"/>
            <w:gridSpan w:val="4"/>
            <w:vAlign w:val="center"/>
          </w:tcPr>
          <w:p>
            <w:pPr>
              <w:spacing w:line="360" w:lineRule="auto"/>
              <w:ind w:firstLine="0" w:firstLineChars="0"/>
              <w:rPr>
                <w:rFonts w:ascii="宋体" w:cs="Arial"/>
                <w:sz w:val="22"/>
                <w:szCs w:val="22"/>
              </w:rPr>
            </w:pPr>
            <w:r>
              <w:rPr>
                <w:rFonts w:hint="eastAsia" w:ascii="宋体" w:cs="Arial"/>
                <w:sz w:val="22"/>
                <w:szCs w:val="22"/>
              </w:rPr>
              <w:t>发生紧急重大故障时必须立刻到达现场处理。</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cantSplit/>
          <w:jc w:val="center"/>
        </w:trPr>
        <w:tc>
          <w:tcPr>
            <w:tcW w:w="1771" w:type="dxa"/>
            <w:vMerge w:val="restart"/>
            <w:vAlign w:val="center"/>
          </w:tcPr>
          <w:p>
            <w:pPr>
              <w:spacing w:line="360" w:lineRule="auto"/>
              <w:ind w:firstLine="0" w:firstLineChars="0"/>
              <w:rPr>
                <w:rFonts w:ascii="宋体" w:cs="Arial"/>
                <w:sz w:val="22"/>
                <w:szCs w:val="22"/>
              </w:rPr>
            </w:pPr>
            <w:r>
              <w:rPr>
                <w:rFonts w:hint="eastAsia" w:ascii="宋体" w:cs="Arial"/>
                <w:sz w:val="22"/>
                <w:szCs w:val="22"/>
              </w:rPr>
              <w:t>排除故障时间</w:t>
            </w:r>
          </w:p>
        </w:tc>
        <w:tc>
          <w:tcPr>
            <w:tcW w:w="1622" w:type="dxa"/>
            <w:vAlign w:val="center"/>
          </w:tcPr>
          <w:p>
            <w:pPr>
              <w:spacing w:line="360" w:lineRule="auto"/>
              <w:ind w:firstLine="0" w:firstLineChars="0"/>
              <w:rPr>
                <w:rFonts w:ascii="宋体" w:cs="Arial"/>
                <w:sz w:val="22"/>
                <w:szCs w:val="22"/>
              </w:rPr>
            </w:pPr>
            <w:r>
              <w:rPr>
                <w:rFonts w:hint="eastAsia" w:ascii="宋体" w:cs="Arial"/>
                <w:sz w:val="22"/>
                <w:szCs w:val="22"/>
              </w:rPr>
              <w:t>≤2小时</w:t>
            </w:r>
          </w:p>
        </w:tc>
        <w:tc>
          <w:tcPr>
            <w:tcW w:w="1620" w:type="dxa"/>
            <w:vAlign w:val="center"/>
          </w:tcPr>
          <w:p>
            <w:pPr>
              <w:spacing w:line="360" w:lineRule="auto"/>
              <w:ind w:firstLine="0" w:firstLineChars="0"/>
              <w:rPr>
                <w:rFonts w:ascii="宋体" w:cs="Arial"/>
                <w:sz w:val="22"/>
                <w:szCs w:val="22"/>
              </w:rPr>
            </w:pPr>
            <w:r>
              <w:rPr>
                <w:rFonts w:hint="eastAsia" w:ascii="宋体" w:cs="Arial"/>
                <w:sz w:val="22"/>
                <w:szCs w:val="22"/>
              </w:rPr>
              <w:t>≤4小时</w:t>
            </w:r>
          </w:p>
        </w:tc>
        <w:tc>
          <w:tcPr>
            <w:tcW w:w="1620" w:type="dxa"/>
            <w:vAlign w:val="center"/>
          </w:tcPr>
          <w:p>
            <w:pPr>
              <w:spacing w:line="360" w:lineRule="auto"/>
              <w:ind w:firstLine="0" w:firstLineChars="0"/>
              <w:rPr>
                <w:rFonts w:ascii="宋体" w:cs="Arial"/>
                <w:sz w:val="22"/>
                <w:szCs w:val="22"/>
              </w:rPr>
            </w:pPr>
            <w:r>
              <w:rPr>
                <w:rFonts w:hint="eastAsia" w:ascii="宋体" w:cs="Arial"/>
                <w:sz w:val="22"/>
                <w:szCs w:val="22"/>
              </w:rPr>
              <w:t>≤24小时</w:t>
            </w:r>
          </w:p>
        </w:tc>
        <w:tc>
          <w:tcPr>
            <w:tcW w:w="1620" w:type="dxa"/>
            <w:vAlign w:val="center"/>
          </w:tcPr>
          <w:p>
            <w:pPr>
              <w:spacing w:line="360" w:lineRule="auto"/>
              <w:ind w:firstLine="0" w:firstLineChars="0"/>
              <w:rPr>
                <w:rFonts w:ascii="宋体" w:cs="Arial"/>
                <w:sz w:val="22"/>
                <w:szCs w:val="22"/>
              </w:rPr>
            </w:pPr>
            <w:r>
              <w:rPr>
                <w:rFonts w:hint="eastAsia" w:ascii="宋体" w:cs="Arial"/>
                <w:sz w:val="22"/>
                <w:szCs w:val="22"/>
              </w:rPr>
              <w:t>≤48小时</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cantSplit/>
          <w:trHeight w:val="690" w:hRule="atLeast"/>
          <w:jc w:val="center"/>
        </w:trPr>
        <w:tc>
          <w:tcPr>
            <w:tcW w:w="1771" w:type="dxa"/>
            <w:vMerge w:val="continue"/>
          </w:tcPr>
          <w:p>
            <w:pPr>
              <w:spacing w:line="360" w:lineRule="auto"/>
              <w:ind w:firstLine="0" w:firstLineChars="0"/>
              <w:rPr>
                <w:sz w:val="22"/>
                <w:szCs w:val="22"/>
              </w:rPr>
            </w:pPr>
          </w:p>
        </w:tc>
        <w:tc>
          <w:tcPr>
            <w:tcW w:w="6482" w:type="dxa"/>
            <w:gridSpan w:val="4"/>
          </w:tcPr>
          <w:p>
            <w:pPr>
              <w:spacing w:line="360" w:lineRule="auto"/>
              <w:ind w:firstLine="0" w:firstLineChars="0"/>
              <w:rPr>
                <w:rFonts w:ascii="宋体" w:cs="Arial"/>
                <w:sz w:val="22"/>
                <w:szCs w:val="22"/>
              </w:rPr>
            </w:pPr>
            <w:r>
              <w:rPr>
                <w:rFonts w:hint="eastAsia" w:ascii="宋体" w:cs="Arial"/>
                <w:sz w:val="22"/>
                <w:szCs w:val="22"/>
              </w:rPr>
              <w:t>如需工程师抵达现场，上述时间以工程师抵达现场时间起算。</w:t>
            </w:r>
          </w:p>
          <w:p>
            <w:pPr>
              <w:spacing w:line="360" w:lineRule="auto"/>
              <w:ind w:firstLine="0" w:firstLineChars="0"/>
              <w:rPr>
                <w:rFonts w:ascii="宋体" w:cs="Arial"/>
                <w:sz w:val="22"/>
                <w:szCs w:val="22"/>
              </w:rPr>
            </w:pPr>
            <w:r>
              <w:rPr>
                <w:rFonts w:hint="eastAsia" w:ascii="宋体" w:cs="Arial"/>
                <w:sz w:val="22"/>
                <w:szCs w:val="22"/>
              </w:rPr>
              <w:t>如不需工程师抵达现场，上述时间以故障确诊后起算。</w:t>
            </w:r>
          </w:p>
        </w:tc>
      </w:tr>
    </w:tbl>
    <w:p>
      <w:pPr>
        <w:pStyle w:val="5"/>
        <w:numPr>
          <w:ilvl w:val="3"/>
          <w:numId w:val="1"/>
        </w:numPr>
        <w:spacing w:line="360" w:lineRule="auto"/>
      </w:pPr>
      <w:r>
        <w:t>远程服务</w:t>
      </w:r>
      <w:bookmarkEnd w:id="23"/>
      <w:bookmarkEnd w:id="24"/>
    </w:p>
    <w:p>
      <w:pPr>
        <w:pStyle w:val="26"/>
        <w:spacing w:line="360" w:lineRule="auto"/>
        <w:ind w:left="0" w:firstLine="480" w:firstLineChars="200"/>
      </w:pPr>
      <w:bookmarkStart w:id="25" w:name="_Toc14685186"/>
      <w:r>
        <w:rPr>
          <w:rFonts w:hint="eastAsia"/>
        </w:rPr>
        <w:t>乙方提供7天×24小时的热线电话、电子邮件技术支持服务</w:t>
      </w:r>
      <w:r>
        <w:t>，包括服务请求、远程故障诊断、技术咨询等服务。</w:t>
      </w:r>
      <w:bookmarkEnd w:id="25"/>
    </w:p>
    <w:p>
      <w:pPr>
        <w:pStyle w:val="5"/>
        <w:numPr>
          <w:ilvl w:val="3"/>
          <w:numId w:val="1"/>
        </w:numPr>
        <w:spacing w:line="360" w:lineRule="auto"/>
      </w:pPr>
      <w:bookmarkStart w:id="26" w:name="_Toc75082784"/>
      <w:bookmarkStart w:id="27" w:name="_Toc76472183"/>
      <w:r>
        <w:t>巡检服务</w:t>
      </w:r>
      <w:bookmarkEnd w:id="26"/>
      <w:bookmarkEnd w:id="27"/>
    </w:p>
    <w:p>
      <w:pPr>
        <w:pStyle w:val="26"/>
        <w:spacing w:line="360" w:lineRule="auto"/>
        <w:ind w:left="0" w:firstLine="480" w:firstLineChars="200"/>
      </w:pPr>
      <w:r>
        <w:t>至少提供每</w:t>
      </w:r>
      <w:r>
        <w:rPr>
          <w:rFonts w:hint="eastAsia"/>
        </w:rPr>
        <w:t>季度</w:t>
      </w:r>
      <w:r>
        <w:t>一次的</w:t>
      </w:r>
      <w:r>
        <w:rPr>
          <w:rFonts w:hint="eastAsia"/>
        </w:rPr>
        <w:t>服务器、存储设备、数据库、中间件软件</w:t>
      </w:r>
      <w:r>
        <w:t>巡检，并提交检查记录报告。通过系统健康检查对运行系统上的潜在的问题进行深入检查。在系统发生问题之前对系统上有关安全性、可管理性以及系统性能进行检查分析，并指出系统潜在的问题以及推荐解决方法。乙方应针对</w:t>
      </w:r>
      <w:r>
        <w:rPr>
          <w:rFonts w:hint="eastAsia"/>
        </w:rPr>
        <w:t>甲方</w:t>
      </w:r>
      <w:r>
        <w:t>提出的技术问题作出回复，并定期组织双方进行技术交流。巡检的具体时间</w:t>
      </w:r>
      <w:r>
        <w:rPr>
          <w:rFonts w:hint="eastAsia"/>
        </w:rPr>
        <w:t>须</w:t>
      </w:r>
      <w:r>
        <w:t>在合同中明确。</w:t>
      </w:r>
    </w:p>
    <w:p>
      <w:pPr>
        <w:pStyle w:val="5"/>
        <w:numPr>
          <w:ilvl w:val="3"/>
          <w:numId w:val="1"/>
        </w:numPr>
        <w:spacing w:line="360" w:lineRule="auto"/>
      </w:pPr>
      <w:bookmarkStart w:id="28" w:name="_Toc76472184"/>
      <w:r>
        <w:t>其他</w:t>
      </w:r>
      <w:bookmarkEnd w:id="28"/>
      <w:r>
        <w:rPr>
          <w:rFonts w:hint="eastAsia"/>
        </w:rPr>
        <w:t>服务</w:t>
      </w:r>
    </w:p>
    <w:p>
      <w:pPr>
        <w:pStyle w:val="26"/>
        <w:spacing w:line="360" w:lineRule="auto"/>
        <w:ind w:left="0" w:firstLine="480" w:firstLineChars="200"/>
      </w:pPr>
      <w:r>
        <w:rPr>
          <w:rFonts w:hint="eastAsia"/>
        </w:rPr>
        <w:t>针对服务器、存储设备、数据库及中间件软件，提供如下其他服务：</w:t>
      </w:r>
    </w:p>
    <w:p>
      <w:pPr>
        <w:pStyle w:val="26"/>
        <w:numPr>
          <w:ilvl w:val="0"/>
          <w:numId w:val="6"/>
        </w:numPr>
        <w:spacing w:line="360" w:lineRule="auto"/>
        <w:ind w:left="0" w:firstLine="420"/>
      </w:pPr>
      <w:r>
        <w:t>除以上服务方式外，还应协助完善工作日志，订立操作规程。并在技术服务后提交完整的技术文档</w:t>
      </w:r>
      <w:r>
        <w:rPr>
          <w:rFonts w:hint="eastAsia"/>
        </w:rPr>
        <w:t>。</w:t>
      </w:r>
    </w:p>
    <w:p>
      <w:pPr>
        <w:pStyle w:val="26"/>
        <w:numPr>
          <w:ilvl w:val="0"/>
          <w:numId w:val="6"/>
        </w:numPr>
        <w:spacing w:line="360" w:lineRule="auto"/>
        <w:ind w:left="0" w:firstLine="420"/>
      </w:pPr>
      <w:r>
        <w:rPr>
          <w:rFonts w:hint="eastAsia"/>
        </w:rPr>
        <w:t>乙方应定期提交项目实施工作相关报告；</w:t>
      </w:r>
    </w:p>
    <w:p>
      <w:pPr>
        <w:pStyle w:val="26"/>
        <w:numPr>
          <w:ilvl w:val="0"/>
          <w:numId w:val="6"/>
        </w:numPr>
        <w:spacing w:line="360" w:lineRule="auto"/>
        <w:ind w:left="0" w:firstLine="420"/>
      </w:pPr>
      <w:r>
        <w:rPr>
          <w:rFonts w:hint="eastAsia"/>
        </w:rPr>
        <w:t>乙方须在维护合同期内为甲方提供一定数量的数据库、中间件等专业课程培训。</w:t>
      </w:r>
    </w:p>
    <w:p>
      <w:pPr>
        <w:pStyle w:val="26"/>
        <w:numPr>
          <w:ilvl w:val="0"/>
          <w:numId w:val="6"/>
        </w:numPr>
        <w:spacing w:line="360" w:lineRule="auto"/>
        <w:ind w:left="0" w:firstLine="420"/>
      </w:pPr>
      <w:r>
        <w:rPr>
          <w:rFonts w:hint="eastAsia"/>
        </w:rPr>
        <w:t>乙方提供的其他服务支持内容请参考下表：</w:t>
      </w:r>
    </w:p>
    <w:tbl>
      <w:tblPr>
        <w:tblStyle w:val="15"/>
        <w:tblW w:w="8522" w:type="dxa"/>
        <w:jc w:val="center"/>
        <w:tblLayout w:type="fixed"/>
        <w:tblCellMar>
          <w:top w:w="0" w:type="dxa"/>
          <w:left w:w="108" w:type="dxa"/>
          <w:bottom w:w="0" w:type="dxa"/>
          <w:right w:w="108" w:type="dxa"/>
        </w:tblCellMar>
      </w:tblPr>
      <w:tblGrid>
        <w:gridCol w:w="676"/>
        <w:gridCol w:w="1560"/>
        <w:gridCol w:w="1982"/>
        <w:gridCol w:w="2269"/>
        <w:gridCol w:w="2035"/>
      </w:tblGrid>
      <w:tr>
        <w:tblPrEx>
          <w:tblCellMar>
            <w:top w:w="0" w:type="dxa"/>
            <w:left w:w="108" w:type="dxa"/>
            <w:bottom w:w="0" w:type="dxa"/>
            <w:right w:w="108" w:type="dxa"/>
          </w:tblCellMar>
        </w:tblPrEx>
        <w:trPr>
          <w:trHeight w:val="1370" w:hRule="atLeast"/>
          <w:jc w:val="center"/>
        </w:trPr>
        <w:tc>
          <w:tcPr>
            <w:tcW w:w="676" w:type="dxa"/>
            <w:vMerge w:val="restart"/>
            <w:tcBorders>
              <w:top w:val="single" w:color="auto" w:sz="4" w:space="0"/>
              <w:left w:val="single" w:color="auto" w:sz="4" w:space="0"/>
              <w:bottom w:val="nil"/>
              <w:right w:val="single" w:color="auto" w:sz="4" w:space="0"/>
            </w:tcBorders>
            <w:shd w:val="clear" w:color="auto" w:fill="666699"/>
            <w:vAlign w:val="center"/>
          </w:tcPr>
          <w:p>
            <w:pPr>
              <w:widowControl/>
              <w:spacing w:line="360" w:lineRule="auto"/>
              <w:ind w:firstLine="0" w:firstLineChars="0"/>
              <w:rPr>
                <w:rFonts w:ascii="宋体" w:hAnsi="宋体"/>
                <w:b/>
                <w:color w:val="FFFFFF"/>
                <w:kern w:val="0"/>
                <w:sz w:val="20"/>
              </w:rPr>
            </w:pPr>
            <w:r>
              <w:rPr>
                <w:rFonts w:hint="eastAsia" w:ascii="宋体" w:hAnsi="宋体"/>
                <w:b/>
                <w:color w:val="FFFFFF"/>
                <w:kern w:val="0"/>
                <w:sz w:val="20"/>
              </w:rPr>
              <w:t>IT支持服务</w:t>
            </w:r>
            <w:r>
              <w:rPr>
                <w:rFonts w:ascii="宋体" w:hAnsi="宋体"/>
                <w:b/>
                <w:color w:val="FFFFFF"/>
                <w:kern w:val="0"/>
                <w:sz w:val="20"/>
              </w:rPr>
              <w:t xml:space="preserve">       </w:t>
            </w:r>
          </w:p>
        </w:tc>
        <w:tc>
          <w:tcPr>
            <w:tcW w:w="1560" w:type="dxa"/>
            <w:tcBorders>
              <w:top w:val="single" w:color="auto" w:sz="4" w:space="0"/>
              <w:left w:val="nil"/>
              <w:bottom w:val="single" w:color="auto" w:sz="4" w:space="0"/>
              <w:right w:val="single" w:color="auto" w:sz="4" w:space="0"/>
              <w:tl2br w:val="single" w:color="auto" w:sz="4" w:space="0"/>
            </w:tcBorders>
            <w:shd w:val="clear" w:color="auto" w:fill="FFFFFF"/>
            <w:vAlign w:val="center"/>
          </w:tcPr>
          <w:p>
            <w:pPr>
              <w:widowControl/>
              <w:spacing w:line="360" w:lineRule="auto"/>
              <w:ind w:firstLine="0" w:firstLineChars="0"/>
              <w:jc w:val="right"/>
              <w:rPr>
                <w:rFonts w:ascii="宋体" w:hAnsi="宋体"/>
                <w:b/>
                <w:kern w:val="0"/>
                <w:sz w:val="20"/>
              </w:rPr>
            </w:pPr>
            <w:r>
              <w:rPr>
                <w:rFonts w:hint="eastAsia" w:ascii="宋体" w:hAnsi="宋体"/>
                <w:b/>
                <w:kern w:val="0"/>
                <w:sz w:val="20"/>
              </w:rPr>
              <w:t>服务对象</w:t>
            </w:r>
          </w:p>
          <w:p>
            <w:pPr>
              <w:widowControl/>
              <w:spacing w:line="360" w:lineRule="auto"/>
              <w:ind w:firstLine="0" w:firstLineChars="0"/>
              <w:rPr>
                <w:rFonts w:ascii="宋体" w:hAnsi="宋体"/>
                <w:b/>
                <w:kern w:val="0"/>
                <w:sz w:val="20"/>
              </w:rPr>
            </w:pPr>
            <w:r>
              <w:rPr>
                <w:rFonts w:hint="eastAsia" w:ascii="宋体" w:hAnsi="宋体"/>
                <w:b/>
                <w:kern w:val="0"/>
                <w:sz w:val="20"/>
              </w:rPr>
              <w:t>服务支持</w:t>
            </w:r>
          </w:p>
        </w:tc>
        <w:tc>
          <w:tcPr>
            <w:tcW w:w="1982"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b/>
                <w:kern w:val="0"/>
                <w:sz w:val="20"/>
              </w:rPr>
            </w:pPr>
            <w:r>
              <w:rPr>
                <w:rFonts w:hint="eastAsia" w:ascii="宋体" w:hAnsi="宋体"/>
                <w:b/>
                <w:kern w:val="0"/>
                <w:sz w:val="20"/>
              </w:rPr>
              <w:t>事件</w:t>
            </w:r>
          </w:p>
        </w:tc>
        <w:tc>
          <w:tcPr>
            <w:tcW w:w="2269"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b/>
                <w:kern w:val="0"/>
                <w:sz w:val="20"/>
              </w:rPr>
            </w:pPr>
            <w:r>
              <w:rPr>
                <w:rFonts w:ascii="宋体" w:hAnsi="宋体"/>
                <w:b/>
                <w:kern w:val="0"/>
                <w:sz w:val="20"/>
              </w:rPr>
              <w:t xml:space="preserve">  </w:t>
            </w:r>
            <w:r>
              <w:rPr>
                <w:rFonts w:hint="eastAsia" w:ascii="宋体" w:hAnsi="宋体"/>
                <w:b/>
                <w:kern w:val="0"/>
                <w:sz w:val="20"/>
              </w:rPr>
              <w:t>数据库</w:t>
            </w:r>
            <w:r>
              <w:rPr>
                <w:rFonts w:ascii="宋体" w:hAnsi="宋体"/>
                <w:b/>
                <w:kern w:val="0"/>
                <w:sz w:val="20"/>
              </w:rPr>
              <w:t>/</w:t>
            </w:r>
            <w:r>
              <w:rPr>
                <w:rFonts w:hint="eastAsia" w:ascii="宋体" w:hAnsi="宋体"/>
                <w:b/>
                <w:kern w:val="0"/>
                <w:sz w:val="20"/>
              </w:rPr>
              <w:t>中间件</w:t>
            </w:r>
          </w:p>
        </w:tc>
        <w:tc>
          <w:tcPr>
            <w:tcW w:w="2035"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b/>
                <w:kern w:val="0"/>
                <w:sz w:val="20"/>
              </w:rPr>
            </w:pPr>
            <w:r>
              <w:rPr>
                <w:rFonts w:hint="eastAsia" w:ascii="宋体" w:hAnsi="宋体"/>
                <w:b/>
                <w:kern w:val="0"/>
                <w:sz w:val="20"/>
              </w:rPr>
              <w:t>用户人员</w:t>
            </w:r>
          </w:p>
        </w:tc>
      </w:tr>
      <w:tr>
        <w:tblPrEx>
          <w:tblCellMar>
            <w:top w:w="0" w:type="dxa"/>
            <w:left w:w="108" w:type="dxa"/>
            <w:bottom w:w="0" w:type="dxa"/>
            <w:right w:w="108" w:type="dxa"/>
          </w:tblCellMar>
        </w:tblPrEx>
        <w:trPr>
          <w:trHeight w:val="720" w:hRule="atLeast"/>
          <w:jc w:val="center"/>
        </w:trPr>
        <w:tc>
          <w:tcPr>
            <w:tcW w:w="676" w:type="dxa"/>
            <w:vMerge w:val="continue"/>
            <w:tcBorders>
              <w:top w:val="nil"/>
              <w:left w:val="single" w:color="auto" w:sz="4" w:space="0"/>
              <w:bottom w:val="nil"/>
              <w:right w:val="single" w:color="auto" w:sz="4" w:space="0"/>
            </w:tcBorders>
            <w:shd w:val="clear" w:color="auto" w:fill="666699"/>
            <w:vAlign w:val="center"/>
          </w:tcPr>
          <w:p>
            <w:pPr>
              <w:widowControl/>
              <w:spacing w:line="360" w:lineRule="auto"/>
              <w:ind w:firstLine="402"/>
              <w:rPr>
                <w:rFonts w:ascii="宋体" w:hAnsi="宋体"/>
                <w:b/>
                <w:color w:val="FF0000"/>
                <w:kern w:val="0"/>
                <w:sz w:val="20"/>
              </w:rPr>
            </w:pPr>
          </w:p>
        </w:tc>
        <w:tc>
          <w:tcPr>
            <w:tcW w:w="1560"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b/>
                <w:kern w:val="0"/>
                <w:sz w:val="20"/>
              </w:rPr>
            </w:pPr>
            <w:r>
              <w:rPr>
                <w:rFonts w:hint="eastAsia" w:ascii="宋体" w:hAnsi="宋体"/>
                <w:b/>
                <w:kern w:val="0"/>
                <w:sz w:val="20"/>
              </w:rPr>
              <w:t>安全管理</w:t>
            </w:r>
          </w:p>
        </w:tc>
        <w:tc>
          <w:tcPr>
            <w:tcW w:w="1982"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kern w:val="0"/>
                <w:sz w:val="20"/>
              </w:rPr>
            </w:pPr>
            <w:r>
              <w:rPr>
                <w:rFonts w:hint="eastAsia" w:ascii="宋体" w:hAnsi="宋体"/>
                <w:kern w:val="0"/>
                <w:sz w:val="20"/>
              </w:rPr>
              <w:t>信息安全事件处理流程制定及执行</w:t>
            </w:r>
          </w:p>
        </w:tc>
        <w:tc>
          <w:tcPr>
            <w:tcW w:w="2269"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kern w:val="0"/>
                <w:sz w:val="20"/>
              </w:rPr>
            </w:pPr>
            <w:r>
              <w:rPr>
                <w:rFonts w:hint="eastAsia" w:ascii="宋体" w:hAnsi="宋体"/>
                <w:kern w:val="0"/>
                <w:sz w:val="20"/>
              </w:rPr>
              <w:t>各类软件的用户/权限/密码审查及监控、跟踪</w:t>
            </w:r>
          </w:p>
        </w:tc>
        <w:tc>
          <w:tcPr>
            <w:tcW w:w="2035"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kern w:val="0"/>
                <w:sz w:val="20"/>
              </w:rPr>
            </w:pPr>
            <w:r>
              <w:rPr>
                <w:rFonts w:hint="eastAsia" w:ascii="宋体" w:hAnsi="宋体"/>
                <w:kern w:val="0"/>
                <w:sz w:val="20"/>
              </w:rPr>
              <w:t>信息安全意识教育培训</w:t>
            </w:r>
          </w:p>
        </w:tc>
      </w:tr>
      <w:tr>
        <w:tblPrEx>
          <w:tblCellMar>
            <w:top w:w="0" w:type="dxa"/>
            <w:left w:w="108" w:type="dxa"/>
            <w:bottom w:w="0" w:type="dxa"/>
            <w:right w:w="108" w:type="dxa"/>
          </w:tblCellMar>
        </w:tblPrEx>
        <w:trPr>
          <w:trHeight w:val="480" w:hRule="atLeast"/>
          <w:jc w:val="center"/>
        </w:trPr>
        <w:tc>
          <w:tcPr>
            <w:tcW w:w="676" w:type="dxa"/>
            <w:vMerge w:val="continue"/>
            <w:tcBorders>
              <w:top w:val="nil"/>
              <w:left w:val="single" w:color="auto" w:sz="4" w:space="0"/>
              <w:bottom w:val="nil"/>
              <w:right w:val="single" w:color="auto" w:sz="4" w:space="0"/>
            </w:tcBorders>
            <w:shd w:val="clear" w:color="auto" w:fill="666699"/>
            <w:vAlign w:val="center"/>
          </w:tcPr>
          <w:p>
            <w:pPr>
              <w:widowControl/>
              <w:spacing w:line="360" w:lineRule="auto"/>
              <w:ind w:firstLine="402"/>
              <w:rPr>
                <w:rFonts w:ascii="宋体" w:hAnsi="宋体"/>
                <w:b/>
                <w:color w:val="FF0000"/>
                <w:kern w:val="0"/>
                <w:sz w:val="20"/>
              </w:rPr>
            </w:pPr>
          </w:p>
        </w:tc>
        <w:tc>
          <w:tcPr>
            <w:tcW w:w="1560"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b/>
                <w:kern w:val="0"/>
                <w:sz w:val="20"/>
              </w:rPr>
            </w:pPr>
            <w:r>
              <w:rPr>
                <w:rFonts w:hint="eastAsia" w:ascii="宋体" w:hAnsi="宋体"/>
                <w:b/>
                <w:kern w:val="0"/>
                <w:sz w:val="20"/>
              </w:rPr>
              <w:t>可用性管理</w:t>
            </w:r>
          </w:p>
        </w:tc>
        <w:tc>
          <w:tcPr>
            <w:tcW w:w="1982"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kern w:val="0"/>
                <w:sz w:val="20"/>
              </w:rPr>
            </w:pPr>
            <w:r>
              <w:rPr>
                <w:rFonts w:hint="eastAsia" w:ascii="宋体" w:hAnsi="宋体"/>
                <w:kern w:val="0"/>
                <w:sz w:val="20"/>
              </w:rPr>
              <w:t>紧急故障应急处理及分析</w:t>
            </w:r>
          </w:p>
        </w:tc>
        <w:tc>
          <w:tcPr>
            <w:tcW w:w="2269"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kern w:val="0"/>
                <w:sz w:val="20"/>
              </w:rPr>
            </w:pPr>
            <w:r>
              <w:rPr>
                <w:rFonts w:hint="eastAsia" w:ascii="宋体" w:hAnsi="宋体"/>
                <w:kern w:val="0"/>
                <w:sz w:val="20"/>
              </w:rPr>
              <w:t>恢复基础软件可用性</w:t>
            </w:r>
          </w:p>
        </w:tc>
        <w:tc>
          <w:tcPr>
            <w:tcW w:w="2035"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kern w:val="0"/>
                <w:sz w:val="20"/>
              </w:rPr>
            </w:pPr>
            <w:r>
              <w:rPr>
                <w:rFonts w:hint="eastAsia" w:ascii="宋体" w:hAnsi="宋体"/>
                <w:kern w:val="0"/>
                <w:sz w:val="20"/>
              </w:rPr>
              <w:t>配合优先恢复业务</w:t>
            </w:r>
          </w:p>
        </w:tc>
      </w:tr>
      <w:tr>
        <w:tblPrEx>
          <w:tblCellMar>
            <w:top w:w="0" w:type="dxa"/>
            <w:left w:w="108" w:type="dxa"/>
            <w:bottom w:w="0" w:type="dxa"/>
            <w:right w:w="108" w:type="dxa"/>
          </w:tblCellMar>
        </w:tblPrEx>
        <w:trPr>
          <w:trHeight w:val="1215" w:hRule="atLeast"/>
          <w:jc w:val="center"/>
        </w:trPr>
        <w:tc>
          <w:tcPr>
            <w:tcW w:w="676" w:type="dxa"/>
            <w:vMerge w:val="continue"/>
            <w:tcBorders>
              <w:top w:val="nil"/>
              <w:left w:val="single" w:color="auto" w:sz="4" w:space="0"/>
              <w:bottom w:val="nil"/>
              <w:right w:val="single" w:color="auto" w:sz="4" w:space="0"/>
            </w:tcBorders>
            <w:shd w:val="clear" w:color="auto" w:fill="666699"/>
            <w:vAlign w:val="center"/>
          </w:tcPr>
          <w:p>
            <w:pPr>
              <w:widowControl/>
              <w:spacing w:line="360" w:lineRule="auto"/>
              <w:ind w:firstLine="402"/>
              <w:rPr>
                <w:rFonts w:ascii="宋体" w:hAnsi="宋体"/>
                <w:b/>
                <w:color w:val="FF0000"/>
                <w:kern w:val="0"/>
                <w:sz w:val="20"/>
              </w:rPr>
            </w:pPr>
          </w:p>
        </w:tc>
        <w:tc>
          <w:tcPr>
            <w:tcW w:w="1560"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b/>
                <w:kern w:val="0"/>
                <w:sz w:val="20"/>
              </w:rPr>
            </w:pPr>
            <w:r>
              <w:rPr>
                <w:rFonts w:hint="eastAsia" w:ascii="宋体" w:hAnsi="宋体"/>
                <w:b/>
                <w:kern w:val="0"/>
                <w:sz w:val="20"/>
              </w:rPr>
              <w:t>定期处理</w:t>
            </w:r>
          </w:p>
        </w:tc>
        <w:tc>
          <w:tcPr>
            <w:tcW w:w="1982"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kern w:val="0"/>
                <w:sz w:val="20"/>
              </w:rPr>
            </w:pPr>
            <w:r>
              <w:rPr>
                <w:rFonts w:hint="eastAsia" w:ascii="宋体" w:hAnsi="宋体"/>
                <w:kern w:val="0"/>
                <w:sz w:val="20"/>
              </w:rPr>
              <w:t>检查系统配置信息</w:t>
            </w:r>
          </w:p>
        </w:tc>
        <w:tc>
          <w:tcPr>
            <w:tcW w:w="2269"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kern w:val="0"/>
                <w:sz w:val="20"/>
              </w:rPr>
            </w:pPr>
            <w:r>
              <w:rPr>
                <w:rFonts w:hint="eastAsia" w:ascii="宋体" w:hAnsi="宋体"/>
                <w:kern w:val="0"/>
                <w:sz w:val="20"/>
              </w:rPr>
              <w:t>双机切换演练及健康检查</w:t>
            </w:r>
          </w:p>
        </w:tc>
        <w:tc>
          <w:tcPr>
            <w:tcW w:w="2035"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kern w:val="0"/>
                <w:sz w:val="20"/>
              </w:rPr>
            </w:pPr>
            <w:r>
              <w:rPr>
                <w:rFonts w:hint="eastAsia" w:ascii="宋体" w:hAnsi="宋体"/>
                <w:kern w:val="0"/>
                <w:sz w:val="20"/>
              </w:rPr>
              <w:t>对已有演练计划进行实施</w:t>
            </w:r>
          </w:p>
        </w:tc>
      </w:tr>
      <w:tr>
        <w:tblPrEx>
          <w:tblCellMar>
            <w:top w:w="0" w:type="dxa"/>
            <w:left w:w="108" w:type="dxa"/>
            <w:bottom w:w="0" w:type="dxa"/>
            <w:right w:w="108" w:type="dxa"/>
          </w:tblCellMar>
        </w:tblPrEx>
        <w:trPr>
          <w:trHeight w:val="525" w:hRule="atLeast"/>
          <w:jc w:val="center"/>
        </w:trPr>
        <w:tc>
          <w:tcPr>
            <w:tcW w:w="676" w:type="dxa"/>
            <w:vMerge w:val="continue"/>
            <w:tcBorders>
              <w:top w:val="nil"/>
              <w:left w:val="single" w:color="auto" w:sz="4" w:space="0"/>
              <w:bottom w:val="single" w:color="auto" w:sz="4" w:space="0"/>
              <w:right w:val="single" w:color="auto" w:sz="4" w:space="0"/>
            </w:tcBorders>
            <w:shd w:val="clear" w:color="auto" w:fill="666699"/>
            <w:vAlign w:val="center"/>
          </w:tcPr>
          <w:p>
            <w:pPr>
              <w:widowControl/>
              <w:spacing w:line="360" w:lineRule="auto"/>
              <w:ind w:firstLine="402"/>
              <w:rPr>
                <w:rFonts w:ascii="宋体" w:hAnsi="宋体"/>
                <w:b/>
                <w:color w:val="FF0000"/>
                <w:kern w:val="0"/>
                <w:sz w:val="20"/>
              </w:rPr>
            </w:pPr>
          </w:p>
        </w:tc>
        <w:tc>
          <w:tcPr>
            <w:tcW w:w="1560"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b/>
                <w:kern w:val="0"/>
                <w:sz w:val="20"/>
              </w:rPr>
            </w:pPr>
            <w:r>
              <w:rPr>
                <w:rFonts w:hint="eastAsia" w:ascii="宋体" w:hAnsi="宋体"/>
                <w:b/>
                <w:kern w:val="0"/>
                <w:sz w:val="20"/>
              </w:rPr>
              <w:t>问题管理</w:t>
            </w:r>
          </w:p>
        </w:tc>
        <w:tc>
          <w:tcPr>
            <w:tcW w:w="1982"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kern w:val="0"/>
                <w:sz w:val="20"/>
              </w:rPr>
            </w:pPr>
            <w:r>
              <w:rPr>
                <w:rFonts w:hint="eastAsia" w:ascii="宋体" w:hAnsi="宋体"/>
                <w:kern w:val="0"/>
                <w:sz w:val="20"/>
              </w:rPr>
              <w:t>分析问题后的事件变更管理流程执行</w:t>
            </w:r>
          </w:p>
        </w:tc>
        <w:tc>
          <w:tcPr>
            <w:tcW w:w="2269"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kern w:val="0"/>
                <w:sz w:val="20"/>
              </w:rPr>
            </w:pPr>
            <w:r>
              <w:rPr>
                <w:rFonts w:hint="eastAsia" w:ascii="宋体" w:hAnsi="宋体"/>
                <w:kern w:val="0"/>
                <w:sz w:val="20"/>
              </w:rPr>
              <w:t>系统变更实施及补丁升级</w:t>
            </w:r>
          </w:p>
        </w:tc>
        <w:tc>
          <w:tcPr>
            <w:tcW w:w="2035" w:type="dxa"/>
            <w:tcBorders>
              <w:top w:val="single" w:color="auto" w:sz="4" w:space="0"/>
              <w:left w:val="nil"/>
              <w:bottom w:val="single" w:color="auto" w:sz="4" w:space="0"/>
              <w:right w:val="single" w:color="auto" w:sz="4" w:space="0"/>
            </w:tcBorders>
            <w:shd w:val="clear" w:color="auto" w:fill="FFFFFF"/>
            <w:vAlign w:val="center"/>
          </w:tcPr>
          <w:p>
            <w:pPr>
              <w:widowControl/>
              <w:spacing w:line="360" w:lineRule="auto"/>
              <w:ind w:firstLine="0" w:firstLineChars="0"/>
              <w:jc w:val="center"/>
              <w:rPr>
                <w:rFonts w:ascii="宋体" w:hAnsi="宋体"/>
                <w:kern w:val="0"/>
                <w:sz w:val="20"/>
              </w:rPr>
            </w:pPr>
            <w:r>
              <w:rPr>
                <w:rFonts w:hint="eastAsia" w:ascii="宋体" w:hAnsi="宋体"/>
                <w:kern w:val="0"/>
                <w:sz w:val="20"/>
              </w:rPr>
              <w:t>现场培训</w:t>
            </w:r>
          </w:p>
          <w:p>
            <w:pPr>
              <w:widowControl/>
              <w:spacing w:line="360" w:lineRule="auto"/>
              <w:ind w:firstLine="0" w:firstLineChars="0"/>
              <w:jc w:val="center"/>
              <w:rPr>
                <w:rFonts w:ascii="宋体" w:hAnsi="宋体"/>
                <w:kern w:val="0"/>
                <w:sz w:val="20"/>
              </w:rPr>
            </w:pPr>
            <w:r>
              <w:rPr>
                <w:rFonts w:hint="eastAsia" w:ascii="宋体" w:hAnsi="宋体"/>
                <w:kern w:val="0"/>
                <w:sz w:val="20"/>
              </w:rPr>
              <w:t>集中培训</w:t>
            </w:r>
          </w:p>
        </w:tc>
      </w:tr>
    </w:tbl>
    <w:p>
      <w:pPr>
        <w:pStyle w:val="26"/>
        <w:spacing w:line="360" w:lineRule="auto"/>
        <w:ind w:left="0" w:firstLine="420" w:firstLineChars="175"/>
      </w:pPr>
    </w:p>
    <w:p>
      <w:pPr>
        <w:pStyle w:val="4"/>
        <w:numPr>
          <w:ilvl w:val="2"/>
          <w:numId w:val="1"/>
        </w:numPr>
        <w:spacing w:line="360" w:lineRule="auto"/>
      </w:pPr>
      <w:bookmarkStart w:id="29" w:name="_Toc13488"/>
      <w:r>
        <w:rPr>
          <w:rFonts w:hint="eastAsia"/>
        </w:rPr>
        <w:t>服务要求</w:t>
      </w:r>
      <w:bookmarkEnd w:id="29"/>
    </w:p>
    <w:p>
      <w:pPr>
        <w:pStyle w:val="26"/>
        <w:numPr>
          <w:ilvl w:val="0"/>
          <w:numId w:val="7"/>
        </w:numPr>
        <w:spacing w:line="360" w:lineRule="auto"/>
        <w:ind w:left="0" w:firstLine="420"/>
      </w:pPr>
      <w:r>
        <w:rPr>
          <w:rFonts w:hint="eastAsia"/>
          <w:lang w:val="sv-SE"/>
        </w:rPr>
        <w:t>乙方</w:t>
      </w:r>
      <w:r>
        <w:rPr>
          <w:rFonts w:hint="eastAsia"/>
        </w:rPr>
        <w:t>必须按照甲方及其上级单位颁发的管理制度、修理维护规范、操作指导等相关规则制度开展修理维护服务。</w:t>
      </w:r>
    </w:p>
    <w:p>
      <w:pPr>
        <w:pStyle w:val="26"/>
        <w:numPr>
          <w:ilvl w:val="0"/>
          <w:numId w:val="7"/>
        </w:numPr>
        <w:spacing w:line="360" w:lineRule="auto"/>
        <w:ind w:left="0" w:firstLine="420"/>
      </w:pPr>
      <w:r>
        <w:rPr>
          <w:rFonts w:hint="eastAsia"/>
        </w:rPr>
        <w:t>为保障修理维护服务规范化的顺利执行，同时修理维护服务各个环节清晰可追述，甲方任何操作必须严格按照甲方相关流程进行操作，尽量减少对甲方正常业务的干扰，每步操作须有明确的成果反馈记录，禁止任何不按流程处理的任何操作，一经发现将严肃处理。</w:t>
      </w:r>
    </w:p>
    <w:p>
      <w:pPr>
        <w:pStyle w:val="26"/>
        <w:numPr>
          <w:ilvl w:val="0"/>
          <w:numId w:val="7"/>
        </w:numPr>
        <w:spacing w:line="360" w:lineRule="auto"/>
        <w:ind w:left="0" w:firstLine="420"/>
      </w:pPr>
      <w:r>
        <w:rPr>
          <w:rFonts w:hint="eastAsia"/>
        </w:rPr>
        <w:t>乙方必须对运维人员进行明确分工及职责定义，避免运维人员无序混乱工作，职责分工需符合运行单位运维工作要求。</w:t>
      </w:r>
    </w:p>
    <w:p>
      <w:pPr>
        <w:pStyle w:val="26"/>
        <w:numPr>
          <w:ilvl w:val="0"/>
          <w:numId w:val="7"/>
        </w:numPr>
        <w:spacing w:line="360" w:lineRule="auto"/>
        <w:ind w:left="0" w:firstLine="420"/>
      </w:pPr>
      <w:r>
        <w:rPr>
          <w:rFonts w:hint="eastAsia"/>
        </w:rPr>
        <w:t>乙方须谨慎和用心履行合同责任，并对其员工的过失承担责任。由于乙方服务不及时（没有按照合同约定时间规定）或服务操作不当，造成大量在线数据遭受不可恢复性损失，乙方应负责恢复数据，并承担所有费用。由于乙方原因服务不到位，乙方应向甲方作出书面解释，并提出整改措施。造成甲方损失的，乙方应承担全部责任。</w:t>
      </w:r>
    </w:p>
    <w:p>
      <w:pPr>
        <w:pStyle w:val="26"/>
        <w:numPr>
          <w:ilvl w:val="0"/>
          <w:numId w:val="7"/>
        </w:numPr>
        <w:spacing w:line="360" w:lineRule="auto"/>
        <w:ind w:left="0" w:firstLine="420"/>
      </w:pPr>
      <w:r>
        <w:rPr>
          <w:rFonts w:hint="eastAsia"/>
        </w:rPr>
        <w:t>鉴于甲方负责的信息系统及设备重要性以及安全保密性，乙方需保证服务期内修理维护团队人员稳定，避免人员流动对甲方的业务系统及设备造成安全隐患，特殊情况下人员变动需经甲方同意后方可变动，禁止未经甲方同意人员直接变动。</w:t>
      </w:r>
    </w:p>
    <w:p>
      <w:pPr>
        <w:pStyle w:val="26"/>
        <w:numPr>
          <w:ilvl w:val="0"/>
          <w:numId w:val="7"/>
        </w:numPr>
        <w:spacing w:line="360" w:lineRule="auto"/>
        <w:ind w:left="0" w:firstLine="420"/>
      </w:pPr>
      <w:r>
        <w:rPr>
          <w:rFonts w:hint="eastAsia"/>
        </w:rPr>
        <w:t>乙方所派出的服务人员，应能熟练胜任相关维护工作。甲方有对乙方所提供的实施人员进行面试的权力。如乙方人员业务能力如不符甲方要求，甲方有权要求乙方更换人员。服务人员资质要求如下：</w:t>
      </w:r>
    </w:p>
    <w:p>
      <w:pPr>
        <w:pStyle w:val="26"/>
        <w:numPr>
          <w:ilvl w:val="0"/>
          <w:numId w:val="8"/>
        </w:numPr>
        <w:spacing w:line="360" w:lineRule="auto"/>
        <w:ind w:left="1260"/>
      </w:pPr>
      <w:r>
        <w:rPr>
          <w:rFonts w:hint="eastAsia"/>
        </w:rPr>
        <w:t>大学专科或以上学历，有1年以上类似产品维护经验。</w:t>
      </w:r>
    </w:p>
    <w:p>
      <w:pPr>
        <w:pStyle w:val="26"/>
        <w:numPr>
          <w:ilvl w:val="0"/>
          <w:numId w:val="8"/>
        </w:numPr>
        <w:spacing w:line="360" w:lineRule="auto"/>
        <w:ind w:left="1260"/>
      </w:pPr>
      <w:r>
        <w:rPr>
          <w:rFonts w:hint="eastAsia"/>
        </w:rPr>
        <w:t>具有相应产品认证证书。</w:t>
      </w:r>
    </w:p>
    <w:p>
      <w:pPr>
        <w:pStyle w:val="26"/>
        <w:numPr>
          <w:ilvl w:val="0"/>
          <w:numId w:val="7"/>
        </w:numPr>
        <w:spacing w:line="360" w:lineRule="auto"/>
        <w:ind w:left="0" w:firstLine="420"/>
      </w:pPr>
      <w:r>
        <w:rPr>
          <w:rFonts w:hint="eastAsia"/>
        </w:rPr>
        <w:t>乙方技术服务团队每周向甲方项目管理部门提交维护工作周报，并抄送乙方项目管理部门。维护工作周报的内容必须包括：主要的已完成工作内容、未完成工作内容、故障处理报告、维护建议及工作计划安排。技术服务团队每月度对相关工作进行总结提炼，提交运行维护工作月报；技术服务团队每季度对相关工作进行总结提炼，提交运行维护工作季报；技术服务团队每年对全年工作进行总结，并对下一年度工作进行规划，提交运行维护工作年报，协助系统管理员完成系统年度维护总结。同时，乙方承担甲方相关维护文档的修编配合工作。</w:t>
      </w:r>
    </w:p>
    <w:p>
      <w:pPr>
        <w:pStyle w:val="26"/>
        <w:numPr>
          <w:ilvl w:val="0"/>
          <w:numId w:val="7"/>
        </w:numPr>
        <w:spacing w:line="360" w:lineRule="auto"/>
        <w:ind w:left="0" w:firstLine="420"/>
      </w:pPr>
      <w:r>
        <w:rPr>
          <w:rFonts w:hint="eastAsia"/>
        </w:rPr>
        <w:t>提供现场服务时，乙方将确保其现场人员遵守甲方及其上级单位颁发的有关安全规定，前提是乙方收到甲方提供的有关安全规定。乙方有为甲方保密的义务，未经甲方许可，乙方服务人员不得对甲方的业务经营数据进行增删、修改、复制、传送、记录；乙方不得向任何第三方泄露甲方业务数据内容或在公开场合引用甲方数据。</w:t>
      </w:r>
    </w:p>
    <w:p>
      <w:pPr>
        <w:pStyle w:val="26"/>
        <w:numPr>
          <w:ilvl w:val="0"/>
          <w:numId w:val="7"/>
        </w:numPr>
        <w:spacing w:line="360" w:lineRule="auto"/>
        <w:ind w:left="0" w:firstLine="420"/>
      </w:pPr>
      <w:r>
        <w:rPr>
          <w:rFonts w:hint="eastAsia"/>
        </w:rPr>
        <w:t>为保障服务质量及服务适应性，在服务期内，乙方需根据服务内容发生的变化进行适应性的改进，并在修理维护过程中根据甲方的要求进行服务改进。</w:t>
      </w:r>
    </w:p>
    <w:p>
      <w:pPr>
        <w:pStyle w:val="26"/>
        <w:numPr>
          <w:ilvl w:val="0"/>
          <w:numId w:val="7"/>
        </w:numPr>
        <w:spacing w:line="360" w:lineRule="auto"/>
        <w:ind w:left="0" w:firstLine="420"/>
      </w:pPr>
      <w:r>
        <w:rPr>
          <w:rFonts w:hint="eastAsia"/>
        </w:rPr>
        <w:t>服务质量要达到可衡量必须制定严格的服务SLA，乙方在服务期开始时须与甲方协商制定切实可行的服务SLA，并严格遵守SLA进行修理维护服务。</w:t>
      </w:r>
    </w:p>
    <w:p>
      <w:pPr>
        <w:pStyle w:val="26"/>
        <w:numPr>
          <w:ilvl w:val="0"/>
          <w:numId w:val="7"/>
        </w:numPr>
        <w:spacing w:line="360" w:lineRule="auto"/>
        <w:ind w:left="0" w:firstLine="420"/>
      </w:pPr>
      <w:r>
        <w:rPr>
          <w:rFonts w:hint="eastAsia"/>
        </w:rPr>
        <w:t>乙方客户经理应主动地和甲方共同协商、制定全年的支持服务计划。服务计划包括以下主要内容：</w:t>
      </w:r>
    </w:p>
    <w:p>
      <w:pPr>
        <w:numPr>
          <w:ilvl w:val="0"/>
          <w:numId w:val="9"/>
        </w:numPr>
        <w:spacing w:line="360" w:lineRule="auto"/>
        <w:ind w:left="780" w:firstLine="66" w:firstLineChars="0"/>
      </w:pPr>
      <w:r>
        <w:rPr>
          <w:rFonts w:hAnsi="宋体"/>
        </w:rPr>
        <w:t>业务</w:t>
      </w:r>
      <w:r>
        <w:t>/IT</w:t>
      </w:r>
      <w:r>
        <w:rPr>
          <w:rFonts w:hAnsi="宋体"/>
        </w:rPr>
        <w:t>系统概况，业务系统对服务的需求</w:t>
      </w:r>
    </w:p>
    <w:p>
      <w:pPr>
        <w:numPr>
          <w:ilvl w:val="0"/>
          <w:numId w:val="9"/>
        </w:numPr>
        <w:spacing w:line="360" w:lineRule="auto"/>
        <w:ind w:left="780" w:firstLine="66" w:firstLineChars="0"/>
      </w:pPr>
      <w:r>
        <w:rPr>
          <w:rFonts w:hAnsi="宋体"/>
        </w:rPr>
        <w:t>服务合同的工作内容，设备清单和响应服务级别</w:t>
      </w:r>
    </w:p>
    <w:p>
      <w:pPr>
        <w:numPr>
          <w:ilvl w:val="0"/>
          <w:numId w:val="9"/>
        </w:numPr>
        <w:spacing w:line="360" w:lineRule="auto"/>
        <w:ind w:left="780" w:firstLine="66" w:firstLineChars="0"/>
      </w:pPr>
      <w:r>
        <w:rPr>
          <w:rFonts w:hAnsi="宋体"/>
        </w:rPr>
        <w:t>乙方的工作团队和职责</w:t>
      </w:r>
    </w:p>
    <w:p>
      <w:pPr>
        <w:numPr>
          <w:ilvl w:val="0"/>
          <w:numId w:val="9"/>
        </w:numPr>
        <w:spacing w:line="360" w:lineRule="auto"/>
        <w:ind w:left="780" w:firstLine="66" w:firstLineChars="0"/>
      </w:pPr>
      <w:r>
        <w:rPr>
          <w:rFonts w:hAnsi="宋体"/>
        </w:rPr>
        <w:t>支持服务的流程</w:t>
      </w:r>
    </w:p>
    <w:p>
      <w:pPr>
        <w:numPr>
          <w:ilvl w:val="0"/>
          <w:numId w:val="9"/>
        </w:numPr>
        <w:spacing w:line="360" w:lineRule="auto"/>
        <w:ind w:left="780" w:firstLine="66" w:firstLineChars="0"/>
      </w:pPr>
      <w:r>
        <w:rPr>
          <w:rFonts w:hAnsi="宋体"/>
        </w:rPr>
        <w:t>运维服务活动的计划，包括：增值服务实施、服务总结报告、回顾会议、巡检、技术交流等</w:t>
      </w:r>
    </w:p>
    <w:p>
      <w:pPr>
        <w:numPr>
          <w:ilvl w:val="0"/>
          <w:numId w:val="9"/>
        </w:numPr>
        <w:spacing w:line="360" w:lineRule="auto"/>
        <w:ind w:left="780" w:firstLine="66" w:firstLineChars="0"/>
      </w:pPr>
      <w:r>
        <w:rPr>
          <w:rFonts w:hAnsi="宋体"/>
        </w:rPr>
        <w:t>服务计划双方的确认</w:t>
      </w:r>
    </w:p>
    <w:p>
      <w:pPr>
        <w:pStyle w:val="26"/>
        <w:numPr>
          <w:ilvl w:val="0"/>
          <w:numId w:val="7"/>
        </w:numPr>
        <w:spacing w:line="360" w:lineRule="auto"/>
        <w:ind w:left="0" w:firstLine="420"/>
      </w:pPr>
      <w:r>
        <w:rPr>
          <w:rFonts w:hint="eastAsia"/>
        </w:rPr>
        <w:t>乙方客户经理至少每季度会安排与甲方一起召开系统运行和服务情况定期总结回顾会议，内容包括但不限于：</w:t>
      </w:r>
    </w:p>
    <w:p>
      <w:pPr>
        <w:numPr>
          <w:ilvl w:val="0"/>
          <w:numId w:val="10"/>
        </w:numPr>
        <w:spacing w:line="360" w:lineRule="auto"/>
        <w:ind w:left="780" w:firstLine="66" w:firstLineChars="0"/>
        <w:rPr>
          <w:rFonts w:hAnsi="宋体"/>
        </w:rPr>
      </w:pPr>
      <w:r>
        <w:rPr>
          <w:rFonts w:hint="eastAsia" w:hAnsi="宋体"/>
        </w:rPr>
        <w:t>总结前一段时间服务实施的情况</w:t>
      </w:r>
    </w:p>
    <w:p>
      <w:pPr>
        <w:numPr>
          <w:ilvl w:val="0"/>
          <w:numId w:val="10"/>
        </w:numPr>
        <w:spacing w:line="360" w:lineRule="auto"/>
        <w:ind w:left="780" w:firstLine="66" w:firstLineChars="0"/>
        <w:rPr>
          <w:rFonts w:hAnsi="宋体"/>
        </w:rPr>
      </w:pPr>
      <w:r>
        <w:rPr>
          <w:rFonts w:hint="eastAsia" w:hAnsi="宋体"/>
        </w:rPr>
        <w:t>回顾升级问题/重要问题的处理过程</w:t>
      </w:r>
    </w:p>
    <w:p>
      <w:pPr>
        <w:numPr>
          <w:ilvl w:val="0"/>
          <w:numId w:val="10"/>
        </w:numPr>
        <w:spacing w:line="360" w:lineRule="auto"/>
        <w:ind w:left="780" w:firstLine="66" w:firstLineChars="0"/>
        <w:rPr>
          <w:rFonts w:hAnsi="宋体"/>
        </w:rPr>
      </w:pPr>
      <w:r>
        <w:rPr>
          <w:rFonts w:hint="eastAsia" w:hAnsi="宋体"/>
        </w:rPr>
        <w:t>听取运行单位对服务的反馈意见和服务需求</w:t>
      </w:r>
    </w:p>
    <w:p>
      <w:pPr>
        <w:numPr>
          <w:ilvl w:val="0"/>
          <w:numId w:val="10"/>
        </w:numPr>
        <w:spacing w:line="360" w:lineRule="auto"/>
        <w:ind w:left="780" w:firstLine="66" w:firstLineChars="0"/>
        <w:rPr>
          <w:rFonts w:hAnsi="宋体"/>
        </w:rPr>
      </w:pPr>
      <w:r>
        <w:rPr>
          <w:rFonts w:hint="eastAsia" w:hAnsi="宋体"/>
        </w:rPr>
        <w:t>同甲方运维经理们讨论服务改进措施</w:t>
      </w:r>
    </w:p>
    <w:p>
      <w:pPr>
        <w:numPr>
          <w:ilvl w:val="0"/>
          <w:numId w:val="10"/>
        </w:numPr>
        <w:spacing w:line="360" w:lineRule="auto"/>
        <w:ind w:left="780" w:firstLine="66" w:firstLineChars="0"/>
        <w:rPr>
          <w:rFonts w:hAnsi="宋体"/>
        </w:rPr>
      </w:pPr>
      <w:r>
        <w:rPr>
          <w:rFonts w:hint="eastAsia" w:hAnsi="宋体"/>
        </w:rPr>
        <w:t>讨论、修订服务计划。</w:t>
      </w:r>
    </w:p>
    <w:p>
      <w:pPr>
        <w:pStyle w:val="31"/>
        <w:numPr>
          <w:ilvl w:val="1"/>
          <w:numId w:val="1"/>
        </w:numPr>
        <w:spacing w:line="360" w:lineRule="auto"/>
        <w:rPr>
          <w:rFonts w:ascii="宋体"/>
        </w:rPr>
      </w:pPr>
      <w:bookmarkStart w:id="30" w:name="_Toc176017825"/>
      <w:bookmarkStart w:id="31" w:name="_Toc176017893"/>
      <w:bookmarkStart w:id="32" w:name="_Toc199006835"/>
      <w:bookmarkStart w:id="33" w:name="_Toc323744614"/>
      <w:bookmarkStart w:id="34" w:name="_Toc16786"/>
      <w:r>
        <w:rPr>
          <w:rFonts w:hint="eastAsia"/>
        </w:rPr>
        <w:t>项目交付项</w:t>
      </w:r>
      <w:bookmarkEnd w:id="30"/>
      <w:bookmarkEnd w:id="31"/>
      <w:bookmarkEnd w:id="32"/>
      <w:bookmarkEnd w:id="33"/>
      <w:bookmarkEnd w:id="34"/>
      <w:bookmarkStart w:id="35" w:name="_Toc199006838"/>
      <w:bookmarkEnd w:id="35"/>
      <w:bookmarkStart w:id="36" w:name="_Toc199006837"/>
      <w:bookmarkEnd w:id="36"/>
      <w:bookmarkStart w:id="37" w:name="_Toc199006840"/>
      <w:bookmarkEnd w:id="37"/>
      <w:bookmarkStart w:id="38" w:name="_Toc199006841"/>
      <w:bookmarkEnd w:id="38"/>
      <w:r>
        <w:rPr>
          <w:rFonts w:hint="eastAsia"/>
        </w:rPr>
        <w:t xml:space="preserve"> </w:t>
      </w:r>
    </w:p>
    <w:p>
      <w:pPr>
        <w:pStyle w:val="26"/>
        <w:numPr>
          <w:ilvl w:val="0"/>
          <w:numId w:val="11"/>
        </w:numPr>
        <w:rPr>
          <w:rFonts w:ascii="宋体"/>
        </w:rPr>
      </w:pPr>
      <w:r>
        <w:rPr>
          <w:rFonts w:hint="eastAsia" w:ascii="宋体"/>
          <w:lang w:eastAsia="zh-CN"/>
        </w:rPr>
        <w:t>服务项目</w:t>
      </w:r>
      <w:r>
        <w:rPr>
          <w:rFonts w:hint="eastAsia" w:ascii="宋体" w:hAnsi="宋体"/>
        </w:rPr>
        <w:t>季度工作报告</w:t>
      </w:r>
      <w:r>
        <w:rPr>
          <w:rFonts w:hint="eastAsia" w:ascii="宋体"/>
        </w:rPr>
        <w:t>；</w:t>
      </w:r>
    </w:p>
    <w:p>
      <w:pPr>
        <w:pStyle w:val="26"/>
        <w:numPr>
          <w:ilvl w:val="0"/>
          <w:numId w:val="11"/>
        </w:numPr>
        <w:rPr>
          <w:rFonts w:ascii="宋体"/>
        </w:rPr>
      </w:pPr>
      <w:r>
        <w:rPr>
          <w:rFonts w:hint="eastAsia" w:ascii="宋体"/>
          <w:lang w:eastAsia="zh-CN"/>
        </w:rPr>
        <w:t>机房及设备巡检报告；</w:t>
      </w:r>
    </w:p>
    <w:p>
      <w:pPr>
        <w:pStyle w:val="26"/>
        <w:numPr>
          <w:ilvl w:val="0"/>
          <w:numId w:val="11"/>
        </w:numPr>
        <w:rPr>
          <w:rFonts w:ascii="宋体"/>
        </w:rPr>
      </w:pPr>
      <w:r>
        <w:rPr>
          <w:rFonts w:hint="eastAsia" w:ascii="宋体"/>
          <w:lang w:eastAsia="zh-CN"/>
        </w:rPr>
        <w:t>服务项目工作</w:t>
      </w:r>
      <w:r>
        <w:rPr>
          <w:rFonts w:hint="eastAsia" w:ascii="宋体"/>
        </w:rPr>
        <w:t>总结报告；</w:t>
      </w:r>
    </w:p>
    <w:p>
      <w:pPr>
        <w:pStyle w:val="26"/>
        <w:numPr>
          <w:ilvl w:val="0"/>
          <w:numId w:val="11"/>
        </w:numPr>
        <w:rPr>
          <w:rFonts w:ascii="宋体"/>
        </w:rPr>
      </w:pPr>
      <w:r>
        <w:rPr>
          <w:rFonts w:hint="eastAsia" w:ascii="宋体"/>
        </w:rPr>
        <w:t>项目相关工作实施</w:t>
      </w:r>
      <w:r>
        <w:rPr>
          <w:rFonts w:hint="eastAsia" w:ascii="宋体"/>
          <w:lang w:eastAsia="zh-CN"/>
        </w:rPr>
        <w:t>培训</w:t>
      </w:r>
      <w:r>
        <w:rPr>
          <w:rFonts w:hint="eastAsia" w:ascii="宋体"/>
        </w:rPr>
        <w:t>文档（按实际情况）</w:t>
      </w:r>
      <w:r>
        <w:rPr>
          <w:rFonts w:hint="eastAsia" w:ascii="宋体"/>
          <w:lang w:eastAsia="zh-CN"/>
        </w:rPr>
        <w:t>；</w:t>
      </w:r>
    </w:p>
    <w:p>
      <w:pPr>
        <w:pStyle w:val="26"/>
        <w:numPr>
          <w:ilvl w:val="0"/>
          <w:numId w:val="0"/>
        </w:numPr>
        <w:rPr>
          <w:rFonts w:ascii="宋体"/>
        </w:rPr>
      </w:pPr>
    </w:p>
    <w:p>
      <w:pPr>
        <w:pStyle w:val="31"/>
        <w:numPr>
          <w:ilvl w:val="1"/>
          <w:numId w:val="1"/>
        </w:numPr>
        <w:spacing w:line="360" w:lineRule="auto"/>
      </w:pPr>
      <w:bookmarkStart w:id="39" w:name="_Toc323744615"/>
      <w:bookmarkStart w:id="40" w:name="_Toc15794"/>
      <w:bookmarkStart w:id="41" w:name="_Toc173310007"/>
      <w:bookmarkStart w:id="42" w:name="_Toc173306156"/>
      <w:bookmarkStart w:id="43" w:name="_Toc173310089"/>
      <w:bookmarkStart w:id="44" w:name="_Toc173310047"/>
      <w:bookmarkStart w:id="45" w:name="_Toc199006847"/>
      <w:bookmarkStart w:id="46" w:name="_Toc176017805"/>
      <w:bookmarkStart w:id="47" w:name="_Toc176017873"/>
      <w:r>
        <w:rPr>
          <w:rFonts w:hint="eastAsia"/>
        </w:rPr>
        <w:t>乙方考核与评价</w:t>
      </w:r>
      <w:bookmarkEnd w:id="39"/>
      <w:bookmarkEnd w:id="40"/>
    </w:p>
    <w:p>
      <w:pPr>
        <w:pStyle w:val="26"/>
        <w:spacing w:line="360" w:lineRule="auto"/>
        <w:ind w:left="0" w:firstLine="480" w:firstLineChars="200"/>
      </w:pPr>
      <w:r>
        <w:t>为实现</w:t>
      </w:r>
      <w:r>
        <w:rPr>
          <w:rFonts w:hint="eastAsia"/>
        </w:rPr>
        <w:t>对乙方的有效管理</w:t>
      </w:r>
      <w:r>
        <w:t>，提高管理制度和管理流程的执行力，绩效考核是非常重要的管理手段。</w:t>
      </w:r>
      <w:r>
        <w:rPr>
          <w:rFonts w:hint="eastAsia"/>
        </w:rPr>
        <w:t>甲方对</w:t>
      </w:r>
      <w:r>
        <w:t>服务</w:t>
      </w:r>
      <w:r>
        <w:rPr>
          <w:rFonts w:hint="eastAsia"/>
        </w:rPr>
        <w:t>商</w:t>
      </w:r>
      <w:r>
        <w:t>绩效考核</w:t>
      </w:r>
      <w:r>
        <w:rPr>
          <w:rFonts w:hint="eastAsia"/>
        </w:rPr>
        <w:t>关键业绩指标</w:t>
      </w:r>
      <w:r>
        <w:t>KPI</w:t>
      </w:r>
      <w:r>
        <w:rPr>
          <w:rFonts w:hint="eastAsia"/>
        </w:rPr>
        <w:t>(</w:t>
      </w:r>
      <w:r>
        <w:t>Key Performance Indicator</w:t>
      </w:r>
      <w:r>
        <w:rPr>
          <w:rFonts w:hint="eastAsia"/>
        </w:rPr>
        <w:t>)分成服务工作量，服务水平、信息安全支持、系统可用性、人员培训等五个方面。针对这五个方面，甲方通过相应的KPI对乙方进行考核，并制定相关制度保障KPI考核的有效执行。</w:t>
      </w:r>
    </w:p>
    <w:p>
      <w:pPr>
        <w:pStyle w:val="30"/>
        <w:jc w:val="center"/>
        <w:rPr>
          <w:rFonts w:ascii="Times New Roman" w:hAnsi="Times New Roman"/>
        </w:rPr>
      </w:pPr>
      <w:r>
        <w:rPr>
          <w:rFonts w:ascii="Times New Roman" w:hAnsi="宋体"/>
          <w:kern w:val="0"/>
        </w:rPr>
        <w:t>表：</w:t>
      </w:r>
      <w:r>
        <w:rPr>
          <w:rFonts w:ascii="Times New Roman" w:hAnsi="Times New Roman"/>
        </w:rPr>
        <w:t>IT</w:t>
      </w:r>
      <w:r>
        <w:rPr>
          <w:rFonts w:ascii="Times New Roman" w:hAnsi="宋体"/>
        </w:rPr>
        <w:t>维护服务商效考核指标</w:t>
      </w:r>
    </w:p>
    <w:tbl>
      <w:tblPr>
        <w:tblStyle w:val="15"/>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8"/>
        <w:gridCol w:w="4394"/>
        <w:gridCol w:w="19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998" w:type="dxa"/>
            <w:tcBorders>
              <w:bottom w:val="single" w:color="auto" w:sz="4" w:space="0"/>
            </w:tcBorders>
            <w:shd w:val="clear" w:color="auto" w:fill="003366"/>
            <w:vAlign w:val="center"/>
          </w:tcPr>
          <w:p>
            <w:pPr>
              <w:widowControl/>
              <w:spacing w:before="156" w:beforeLines="50" w:after="156" w:afterLines="50" w:line="360" w:lineRule="auto"/>
              <w:ind w:firstLine="0" w:firstLineChars="0"/>
              <w:jc w:val="center"/>
              <w:rPr>
                <w:rFonts w:ascii="宋体" w:hAnsi="宋体"/>
                <w:b/>
                <w:kern w:val="0"/>
                <w:sz w:val="21"/>
                <w:szCs w:val="21"/>
              </w:rPr>
            </w:pPr>
            <w:r>
              <w:rPr>
                <w:rFonts w:hint="eastAsia" w:ascii="宋体" w:hAnsi="宋体"/>
                <w:b/>
                <w:kern w:val="0"/>
                <w:sz w:val="21"/>
                <w:szCs w:val="21"/>
              </w:rPr>
              <w:t>指标类别</w:t>
            </w:r>
          </w:p>
        </w:tc>
        <w:tc>
          <w:tcPr>
            <w:tcW w:w="4394" w:type="dxa"/>
            <w:tcBorders>
              <w:bottom w:val="single" w:color="auto" w:sz="4" w:space="0"/>
            </w:tcBorders>
            <w:shd w:val="clear" w:color="auto" w:fill="003366"/>
            <w:vAlign w:val="center"/>
          </w:tcPr>
          <w:p>
            <w:pPr>
              <w:widowControl/>
              <w:spacing w:before="156" w:beforeLines="50" w:after="156" w:afterLines="50" w:line="360" w:lineRule="auto"/>
              <w:ind w:firstLine="0" w:firstLineChars="0"/>
              <w:jc w:val="center"/>
              <w:rPr>
                <w:rFonts w:ascii="宋体" w:hAnsi="宋体"/>
                <w:b/>
                <w:kern w:val="0"/>
                <w:sz w:val="21"/>
                <w:szCs w:val="21"/>
              </w:rPr>
            </w:pPr>
            <w:r>
              <w:rPr>
                <w:rFonts w:hint="eastAsia" w:ascii="宋体" w:hAnsi="宋体"/>
                <w:b/>
                <w:kern w:val="0"/>
                <w:sz w:val="21"/>
                <w:szCs w:val="21"/>
              </w:rPr>
              <w:t>考核指标</w:t>
            </w:r>
          </w:p>
        </w:tc>
        <w:tc>
          <w:tcPr>
            <w:tcW w:w="1937" w:type="dxa"/>
            <w:tcBorders>
              <w:bottom w:val="single" w:color="auto" w:sz="4" w:space="0"/>
            </w:tcBorders>
            <w:shd w:val="clear" w:color="auto" w:fill="003366"/>
            <w:vAlign w:val="center"/>
          </w:tcPr>
          <w:p>
            <w:pPr>
              <w:widowControl/>
              <w:spacing w:before="156" w:beforeLines="50" w:after="156" w:afterLines="50" w:line="360" w:lineRule="auto"/>
              <w:ind w:firstLine="0" w:firstLineChars="0"/>
              <w:jc w:val="center"/>
              <w:rPr>
                <w:rFonts w:ascii="宋体" w:hAnsi="宋体"/>
                <w:b/>
                <w:kern w:val="0"/>
                <w:sz w:val="21"/>
                <w:szCs w:val="21"/>
              </w:rPr>
            </w:pPr>
            <w:r>
              <w:rPr>
                <w:rFonts w:hint="eastAsia" w:ascii="宋体" w:hAnsi="宋体"/>
                <w:b/>
                <w:sz w:val="21"/>
                <w:szCs w:val="21"/>
              </w:rPr>
              <w:t>评价频度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998" w:type="dxa"/>
            <w:tcBorders>
              <w:bottom w:val="single" w:color="auto" w:sz="4" w:space="0"/>
            </w:tcBorders>
          </w:tcPr>
          <w:p>
            <w:pPr>
              <w:pStyle w:val="30"/>
              <w:rPr>
                <w:rFonts w:ascii="宋体" w:hAnsi="宋体"/>
                <w:b/>
                <w:sz w:val="21"/>
                <w:szCs w:val="21"/>
              </w:rPr>
            </w:pPr>
            <w:r>
              <w:rPr>
                <w:rFonts w:hint="eastAsia" w:ascii="宋体" w:hAnsi="宋体"/>
                <w:b/>
                <w:sz w:val="21"/>
                <w:szCs w:val="21"/>
              </w:rPr>
              <w:t>服务工作量</w:t>
            </w:r>
          </w:p>
        </w:tc>
        <w:tc>
          <w:tcPr>
            <w:tcW w:w="4394" w:type="dxa"/>
            <w:tcBorders>
              <w:bottom w:val="single" w:color="auto" w:sz="4" w:space="0"/>
            </w:tcBorders>
          </w:tcPr>
          <w:p>
            <w:pPr>
              <w:pStyle w:val="30"/>
              <w:rPr>
                <w:rFonts w:ascii="宋体" w:hAnsi="宋体"/>
                <w:sz w:val="21"/>
                <w:szCs w:val="21"/>
              </w:rPr>
            </w:pPr>
            <w:r>
              <w:rPr>
                <w:rFonts w:hint="eastAsia" w:ascii="宋体" w:hAnsi="宋体"/>
                <w:sz w:val="21"/>
                <w:szCs w:val="21"/>
              </w:rPr>
              <w:t>一定时期内各种技术支持响应次数。包括各种定期、例行和临时性的技术支持，非现场支持和现场支持要分开计算。</w:t>
            </w:r>
          </w:p>
        </w:tc>
        <w:tc>
          <w:tcPr>
            <w:tcW w:w="1937" w:type="dxa"/>
            <w:tcBorders>
              <w:bottom w:val="single" w:color="auto" w:sz="4" w:space="0"/>
            </w:tcBorders>
          </w:tcPr>
          <w:p>
            <w:pPr>
              <w:pStyle w:val="30"/>
              <w:rPr>
                <w:rFonts w:ascii="宋体" w:hAnsi="宋体"/>
                <w:b/>
                <w:sz w:val="21"/>
                <w:szCs w:val="21"/>
              </w:rPr>
            </w:pPr>
            <w:r>
              <w:rPr>
                <w:rFonts w:hint="eastAsia" w:ascii="宋体" w:hAnsi="宋体"/>
                <w:b/>
                <w:sz w:val="21"/>
                <w:szCs w:val="21"/>
              </w:rPr>
              <w:t>每季度</w:t>
            </w:r>
          </w:p>
          <w:p>
            <w:pPr>
              <w:pStyle w:val="30"/>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998" w:type="dxa"/>
          </w:tcPr>
          <w:p>
            <w:pPr>
              <w:pStyle w:val="30"/>
              <w:rPr>
                <w:rFonts w:ascii="宋体" w:hAnsi="宋体"/>
                <w:b/>
                <w:sz w:val="21"/>
                <w:szCs w:val="21"/>
              </w:rPr>
            </w:pPr>
            <w:r>
              <w:rPr>
                <w:rFonts w:hint="eastAsia" w:ascii="宋体" w:hAnsi="宋体"/>
                <w:b/>
                <w:sz w:val="21"/>
                <w:szCs w:val="21"/>
              </w:rPr>
              <w:t>服务水平质量</w:t>
            </w:r>
          </w:p>
        </w:tc>
        <w:tc>
          <w:tcPr>
            <w:tcW w:w="4394" w:type="dxa"/>
          </w:tcPr>
          <w:p>
            <w:pPr>
              <w:pStyle w:val="30"/>
              <w:rPr>
                <w:rFonts w:ascii="宋体" w:hAnsi="宋体"/>
                <w:sz w:val="21"/>
                <w:szCs w:val="21"/>
              </w:rPr>
            </w:pPr>
            <w:r>
              <w:rPr>
                <w:rFonts w:hint="eastAsia" w:ascii="宋体" w:hAnsi="宋体"/>
                <w:sz w:val="21"/>
                <w:szCs w:val="21"/>
              </w:rPr>
              <w:t>用户满意度</w:t>
            </w:r>
          </w:p>
        </w:tc>
        <w:tc>
          <w:tcPr>
            <w:tcW w:w="1937" w:type="dxa"/>
          </w:tcPr>
          <w:p>
            <w:pPr>
              <w:pStyle w:val="30"/>
              <w:rPr>
                <w:rFonts w:ascii="宋体" w:hAnsi="宋体"/>
                <w:b/>
                <w:sz w:val="21"/>
                <w:szCs w:val="21"/>
              </w:rPr>
            </w:pPr>
            <w:r>
              <w:rPr>
                <w:rFonts w:hint="eastAsia" w:ascii="宋体" w:hAnsi="宋体"/>
                <w:b/>
                <w:sz w:val="21"/>
                <w:szCs w:val="21"/>
              </w:rPr>
              <w:t>每季度</w:t>
            </w:r>
          </w:p>
          <w:p>
            <w:pPr>
              <w:pStyle w:val="30"/>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998" w:type="dxa"/>
            <w:vMerge w:val="restart"/>
          </w:tcPr>
          <w:p>
            <w:pPr>
              <w:pStyle w:val="30"/>
              <w:rPr>
                <w:rFonts w:ascii="宋体" w:hAnsi="宋体"/>
                <w:b/>
                <w:color w:val="000000"/>
                <w:sz w:val="21"/>
                <w:szCs w:val="21"/>
              </w:rPr>
            </w:pPr>
            <w:r>
              <w:rPr>
                <w:rFonts w:hint="eastAsia" w:ascii="宋体" w:hAnsi="宋体"/>
                <w:b/>
                <w:color w:val="000000"/>
                <w:sz w:val="21"/>
                <w:szCs w:val="21"/>
              </w:rPr>
              <w:t>信息突发事件支持力度</w:t>
            </w:r>
          </w:p>
        </w:tc>
        <w:tc>
          <w:tcPr>
            <w:tcW w:w="4394" w:type="dxa"/>
          </w:tcPr>
          <w:p>
            <w:pPr>
              <w:pStyle w:val="30"/>
              <w:rPr>
                <w:rFonts w:ascii="宋体" w:hAnsi="宋体"/>
                <w:color w:val="000000"/>
                <w:sz w:val="21"/>
                <w:szCs w:val="21"/>
              </w:rPr>
            </w:pPr>
            <w:r>
              <w:rPr>
                <w:rFonts w:hint="eastAsia" w:ascii="宋体" w:hAnsi="宋体"/>
                <w:color w:val="000000"/>
                <w:sz w:val="21"/>
                <w:szCs w:val="21"/>
              </w:rPr>
              <w:t>重大信息突发事件次数支持次数</w:t>
            </w:r>
          </w:p>
        </w:tc>
        <w:tc>
          <w:tcPr>
            <w:tcW w:w="1937" w:type="dxa"/>
          </w:tcPr>
          <w:p>
            <w:pPr>
              <w:pStyle w:val="30"/>
              <w:rPr>
                <w:rFonts w:ascii="宋体" w:hAnsi="宋体"/>
                <w:b/>
                <w:color w:val="000000"/>
                <w:sz w:val="21"/>
                <w:szCs w:val="21"/>
              </w:rPr>
            </w:pPr>
            <w:r>
              <w:rPr>
                <w:rFonts w:hint="eastAsia" w:ascii="宋体" w:hAnsi="宋体"/>
                <w:b/>
                <w:color w:val="000000"/>
                <w:sz w:val="21"/>
                <w:szCs w:val="21"/>
              </w:rPr>
              <w:t>每季度</w:t>
            </w:r>
          </w:p>
          <w:p>
            <w:pPr>
              <w:pStyle w:val="30"/>
              <w:rPr>
                <w:rFonts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998" w:type="dxa"/>
            <w:vMerge w:val="continue"/>
          </w:tcPr>
          <w:p>
            <w:pPr>
              <w:pStyle w:val="30"/>
              <w:rPr>
                <w:rFonts w:ascii="宋体" w:hAnsi="宋体"/>
                <w:color w:val="000000"/>
                <w:sz w:val="21"/>
                <w:szCs w:val="21"/>
              </w:rPr>
            </w:pPr>
          </w:p>
        </w:tc>
        <w:tc>
          <w:tcPr>
            <w:tcW w:w="4394" w:type="dxa"/>
          </w:tcPr>
          <w:p>
            <w:pPr>
              <w:pStyle w:val="30"/>
              <w:rPr>
                <w:rFonts w:ascii="宋体" w:hAnsi="宋体"/>
                <w:color w:val="000000"/>
                <w:sz w:val="21"/>
                <w:szCs w:val="21"/>
              </w:rPr>
            </w:pPr>
            <w:r>
              <w:rPr>
                <w:rFonts w:hint="eastAsia" w:ascii="宋体" w:hAnsi="宋体"/>
                <w:color w:val="000000"/>
                <w:sz w:val="21"/>
                <w:szCs w:val="21"/>
              </w:rPr>
              <w:t>信息系统潜在风险预警，预防提醒及时率</w:t>
            </w:r>
          </w:p>
        </w:tc>
        <w:tc>
          <w:tcPr>
            <w:tcW w:w="1937" w:type="dxa"/>
          </w:tcPr>
          <w:p>
            <w:pPr>
              <w:pStyle w:val="30"/>
              <w:rPr>
                <w:rFonts w:ascii="宋体" w:hAnsi="宋体"/>
                <w:b/>
                <w:color w:val="000000"/>
                <w:sz w:val="21"/>
                <w:szCs w:val="21"/>
              </w:rPr>
            </w:pPr>
            <w:r>
              <w:rPr>
                <w:rFonts w:hint="eastAsia" w:ascii="宋体" w:hAnsi="宋体"/>
                <w:b/>
                <w:color w:val="000000"/>
                <w:sz w:val="21"/>
                <w:szCs w:val="21"/>
              </w:rPr>
              <w:t>每季度</w:t>
            </w:r>
          </w:p>
          <w:p>
            <w:pPr>
              <w:pStyle w:val="30"/>
              <w:rPr>
                <w:rFonts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998" w:type="dxa"/>
          </w:tcPr>
          <w:p>
            <w:pPr>
              <w:pStyle w:val="30"/>
              <w:rPr>
                <w:rFonts w:ascii="宋体" w:hAnsi="宋体"/>
                <w:b/>
                <w:sz w:val="21"/>
                <w:szCs w:val="21"/>
              </w:rPr>
            </w:pPr>
            <w:r>
              <w:rPr>
                <w:rFonts w:hint="eastAsia" w:ascii="宋体" w:hAnsi="宋体"/>
                <w:b/>
                <w:sz w:val="21"/>
                <w:szCs w:val="21"/>
              </w:rPr>
              <w:t>系统平台可用性</w:t>
            </w:r>
          </w:p>
        </w:tc>
        <w:tc>
          <w:tcPr>
            <w:tcW w:w="4394" w:type="dxa"/>
          </w:tcPr>
          <w:p>
            <w:pPr>
              <w:pStyle w:val="30"/>
              <w:rPr>
                <w:rFonts w:ascii="宋体" w:hAnsi="宋体"/>
                <w:sz w:val="21"/>
                <w:szCs w:val="21"/>
              </w:rPr>
            </w:pPr>
            <w:r>
              <w:rPr>
                <w:rFonts w:hint="eastAsia" w:ascii="宋体" w:hAnsi="宋体"/>
                <w:sz w:val="21"/>
                <w:szCs w:val="21"/>
              </w:rPr>
              <w:t>（由服务商支持的）信息系统平台的月可用率，（即评价由IT修理维护服务商修理维护的系统部件的可用性，非修理维护商负责的系统的部件导致不可用的情况不计算为故障时间）</w:t>
            </w:r>
          </w:p>
        </w:tc>
        <w:tc>
          <w:tcPr>
            <w:tcW w:w="1937" w:type="dxa"/>
          </w:tcPr>
          <w:p>
            <w:pPr>
              <w:pStyle w:val="30"/>
              <w:rPr>
                <w:rFonts w:ascii="宋体" w:hAnsi="宋体"/>
                <w:b/>
                <w:sz w:val="21"/>
                <w:szCs w:val="21"/>
              </w:rPr>
            </w:pPr>
            <w:r>
              <w:rPr>
                <w:rFonts w:hint="eastAsia" w:ascii="宋体" w:hAnsi="宋体"/>
                <w:b/>
                <w:sz w:val="21"/>
                <w:szCs w:val="21"/>
              </w:rPr>
              <w:t>每月</w:t>
            </w:r>
          </w:p>
          <w:p>
            <w:pPr>
              <w:pStyle w:val="30"/>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998" w:type="dxa"/>
          </w:tcPr>
          <w:p>
            <w:pPr>
              <w:pStyle w:val="30"/>
              <w:rPr>
                <w:rFonts w:ascii="宋体" w:hAnsi="宋体"/>
                <w:b/>
                <w:sz w:val="21"/>
                <w:szCs w:val="21"/>
              </w:rPr>
            </w:pPr>
            <w:r>
              <w:rPr>
                <w:rFonts w:hint="eastAsia" w:ascii="宋体" w:hAnsi="宋体"/>
                <w:b/>
                <w:sz w:val="21"/>
                <w:szCs w:val="21"/>
              </w:rPr>
              <w:t>人员培训</w:t>
            </w:r>
          </w:p>
        </w:tc>
        <w:tc>
          <w:tcPr>
            <w:tcW w:w="4394" w:type="dxa"/>
          </w:tcPr>
          <w:p>
            <w:pPr>
              <w:pStyle w:val="30"/>
              <w:rPr>
                <w:rFonts w:ascii="宋体" w:hAnsi="宋体"/>
                <w:sz w:val="21"/>
                <w:szCs w:val="21"/>
              </w:rPr>
            </w:pPr>
            <w:r>
              <w:rPr>
                <w:rFonts w:hint="eastAsia" w:ascii="宋体" w:hAnsi="宋体"/>
                <w:sz w:val="21"/>
                <w:szCs w:val="21"/>
              </w:rPr>
              <w:t>IT运维服务商履行合同过程中，对运维人员培训的次数、覆盖的内容和培训质量。</w:t>
            </w:r>
          </w:p>
        </w:tc>
        <w:tc>
          <w:tcPr>
            <w:tcW w:w="1937" w:type="dxa"/>
          </w:tcPr>
          <w:p>
            <w:pPr>
              <w:pStyle w:val="30"/>
              <w:rPr>
                <w:rFonts w:ascii="宋体" w:hAnsi="宋体"/>
                <w:b/>
                <w:sz w:val="21"/>
                <w:szCs w:val="21"/>
              </w:rPr>
            </w:pPr>
            <w:r>
              <w:rPr>
                <w:rFonts w:hint="eastAsia" w:ascii="宋体" w:hAnsi="宋体"/>
                <w:b/>
                <w:sz w:val="21"/>
                <w:szCs w:val="21"/>
              </w:rPr>
              <w:t>每半年</w:t>
            </w:r>
          </w:p>
        </w:tc>
      </w:tr>
      <w:bookmarkEnd w:id="41"/>
      <w:bookmarkEnd w:id="42"/>
      <w:bookmarkEnd w:id="43"/>
      <w:bookmarkEnd w:id="44"/>
      <w:bookmarkEnd w:id="45"/>
      <w:bookmarkEnd w:id="46"/>
      <w:bookmarkEnd w:id="47"/>
    </w:tbl>
    <w:p>
      <w:pPr>
        <w:pStyle w:val="26"/>
        <w:spacing w:line="360" w:lineRule="auto"/>
        <w:ind w:left="0"/>
        <w:jc w:val="center"/>
        <w:rPr>
          <w:rFonts w:hint="eastAsia"/>
        </w:rPr>
      </w:pPr>
      <w:bookmarkStart w:id="48" w:name="_Toc323744616"/>
    </w:p>
    <w:p>
      <w:pPr>
        <w:pStyle w:val="26"/>
        <w:spacing w:line="360" w:lineRule="auto"/>
        <w:ind w:left="0"/>
        <w:jc w:val="center"/>
        <w:rPr>
          <w:rFonts w:hint="eastAsia"/>
        </w:rPr>
      </w:pPr>
      <w:r>
        <w:rPr>
          <w:rFonts w:hint="eastAsia"/>
        </w:rPr>
        <w:br w:type="page"/>
      </w:r>
    </w:p>
    <w:p>
      <w:pPr>
        <w:pStyle w:val="26"/>
        <w:spacing w:line="360" w:lineRule="auto"/>
        <w:ind w:left="0"/>
        <w:jc w:val="center"/>
        <w:rPr>
          <w:rFonts w:hint="eastAsia"/>
        </w:rPr>
      </w:pPr>
      <w:r>
        <w:rPr>
          <w:rFonts w:hint="eastAsia"/>
        </w:rPr>
        <w:t>表：服务指标考核表</w:t>
      </w:r>
    </w:p>
    <w:tbl>
      <w:tblPr>
        <w:tblStyle w:val="15"/>
        <w:tblW w:w="807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6"/>
        <w:gridCol w:w="6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 w:hRule="atLeast"/>
        </w:trPr>
        <w:tc>
          <w:tcPr>
            <w:tcW w:w="1336" w:type="dxa"/>
            <w:shd w:val="clear" w:color="auto" w:fill="003366"/>
          </w:tcPr>
          <w:p>
            <w:pPr>
              <w:spacing w:line="360" w:lineRule="auto"/>
              <w:ind w:right="50" w:rightChars="21" w:firstLine="482"/>
              <w:rPr>
                <w:rFonts w:ascii="宋体" w:hAnsi="宋体"/>
                <w:color w:val="FFFFFF"/>
              </w:rPr>
            </w:pPr>
            <w:r>
              <w:rPr>
                <w:rFonts w:hint="eastAsia" w:ascii="宋体" w:hAnsi="宋体"/>
                <w:b/>
                <w:color w:val="FFFFFF"/>
              </w:rPr>
              <w:t>序号</w:t>
            </w:r>
          </w:p>
        </w:tc>
        <w:tc>
          <w:tcPr>
            <w:tcW w:w="6743" w:type="dxa"/>
            <w:shd w:val="clear" w:color="auto" w:fill="003366"/>
          </w:tcPr>
          <w:p>
            <w:pPr>
              <w:spacing w:line="360" w:lineRule="auto"/>
              <w:ind w:right="50" w:rightChars="21" w:firstLine="0" w:firstLineChars="0"/>
              <w:rPr>
                <w:rFonts w:ascii="宋体" w:hAnsi="宋体"/>
                <w:color w:val="FFFFFF"/>
              </w:rPr>
            </w:pPr>
            <w:r>
              <w:rPr>
                <w:rFonts w:hint="eastAsia" w:ascii="宋体" w:hAnsi="宋体"/>
                <w:b/>
                <w:color w:val="FFFFFF"/>
              </w:rPr>
              <w:t>服务指标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 w:hRule="atLeast"/>
        </w:trPr>
        <w:tc>
          <w:tcPr>
            <w:tcW w:w="1336" w:type="dxa"/>
          </w:tcPr>
          <w:p>
            <w:pPr>
              <w:spacing w:line="360" w:lineRule="auto"/>
              <w:ind w:right="50" w:rightChars="21" w:firstLine="480"/>
              <w:rPr>
                <w:rFonts w:ascii="宋体" w:hAnsi="宋体"/>
              </w:rPr>
            </w:pPr>
            <w:r>
              <w:rPr>
                <w:rFonts w:hint="eastAsia" w:ascii="宋体" w:hAnsi="宋体"/>
              </w:rPr>
              <w:t>1</w:t>
            </w:r>
          </w:p>
        </w:tc>
        <w:tc>
          <w:tcPr>
            <w:tcW w:w="6743" w:type="dxa"/>
          </w:tcPr>
          <w:p>
            <w:pPr>
              <w:spacing w:line="360" w:lineRule="auto"/>
              <w:ind w:right="50" w:rightChars="21" w:firstLine="0" w:firstLineChars="0"/>
              <w:rPr>
                <w:rFonts w:ascii="宋体" w:hAnsi="宋体"/>
              </w:rPr>
            </w:pPr>
            <w:r>
              <w:rPr>
                <w:rFonts w:hint="eastAsia" w:ascii="宋体" w:hAnsi="宋体"/>
              </w:rPr>
              <w:t>故障响应时间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 w:hRule="atLeast"/>
        </w:trPr>
        <w:tc>
          <w:tcPr>
            <w:tcW w:w="1336" w:type="dxa"/>
          </w:tcPr>
          <w:p>
            <w:pPr>
              <w:spacing w:line="360" w:lineRule="auto"/>
              <w:ind w:right="50" w:rightChars="21" w:firstLine="480"/>
              <w:rPr>
                <w:rFonts w:ascii="宋体" w:hAnsi="宋体"/>
              </w:rPr>
            </w:pPr>
            <w:r>
              <w:rPr>
                <w:rFonts w:hint="eastAsia" w:ascii="宋体" w:hAnsi="宋体"/>
              </w:rPr>
              <w:t>2</w:t>
            </w:r>
          </w:p>
        </w:tc>
        <w:tc>
          <w:tcPr>
            <w:tcW w:w="6743" w:type="dxa"/>
          </w:tcPr>
          <w:p>
            <w:pPr>
              <w:spacing w:line="360" w:lineRule="auto"/>
              <w:ind w:right="50" w:rightChars="21" w:firstLine="0" w:firstLineChars="0"/>
              <w:rPr>
                <w:rFonts w:ascii="宋体" w:hAnsi="宋体"/>
              </w:rPr>
            </w:pPr>
            <w:r>
              <w:rPr>
                <w:rFonts w:hint="eastAsia" w:ascii="宋体" w:hAnsi="宋体"/>
              </w:rPr>
              <w:t>故障发生后，到达客户现场时间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 w:hRule="atLeast"/>
        </w:trPr>
        <w:tc>
          <w:tcPr>
            <w:tcW w:w="1336" w:type="dxa"/>
          </w:tcPr>
          <w:p>
            <w:pPr>
              <w:spacing w:line="360" w:lineRule="auto"/>
              <w:ind w:right="50" w:rightChars="21" w:firstLine="480"/>
              <w:rPr>
                <w:rFonts w:ascii="宋体" w:hAnsi="宋体"/>
              </w:rPr>
            </w:pPr>
            <w:r>
              <w:rPr>
                <w:rFonts w:hint="eastAsia" w:ascii="宋体" w:hAnsi="宋体"/>
              </w:rPr>
              <w:t>3</w:t>
            </w:r>
          </w:p>
        </w:tc>
        <w:tc>
          <w:tcPr>
            <w:tcW w:w="6743" w:type="dxa"/>
          </w:tcPr>
          <w:p>
            <w:pPr>
              <w:spacing w:line="360" w:lineRule="auto"/>
              <w:ind w:right="50" w:rightChars="21" w:firstLine="0" w:firstLineChars="0"/>
              <w:rPr>
                <w:rFonts w:ascii="宋体" w:hAnsi="宋体"/>
              </w:rPr>
            </w:pPr>
            <w:r>
              <w:rPr>
                <w:rFonts w:hint="eastAsia" w:ascii="宋体" w:hAnsi="宋体"/>
              </w:rPr>
              <w:t>解决故障的时间与速度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0" w:hRule="atLeast"/>
        </w:trPr>
        <w:tc>
          <w:tcPr>
            <w:tcW w:w="1336" w:type="dxa"/>
          </w:tcPr>
          <w:p>
            <w:pPr>
              <w:spacing w:line="360" w:lineRule="auto"/>
              <w:ind w:right="50" w:rightChars="21" w:firstLine="480"/>
              <w:rPr>
                <w:rFonts w:ascii="宋体" w:hAnsi="宋体"/>
              </w:rPr>
            </w:pPr>
            <w:r>
              <w:rPr>
                <w:rFonts w:hint="eastAsia" w:ascii="宋体" w:hAnsi="宋体"/>
              </w:rPr>
              <w:t>4</w:t>
            </w:r>
          </w:p>
        </w:tc>
        <w:tc>
          <w:tcPr>
            <w:tcW w:w="6743" w:type="dxa"/>
          </w:tcPr>
          <w:p>
            <w:pPr>
              <w:spacing w:line="360" w:lineRule="auto"/>
              <w:ind w:right="50" w:rightChars="21" w:firstLine="0" w:firstLineChars="0"/>
              <w:rPr>
                <w:rFonts w:ascii="宋体" w:hAnsi="宋体"/>
              </w:rPr>
            </w:pPr>
            <w:r>
              <w:rPr>
                <w:rFonts w:hint="eastAsia" w:ascii="宋体" w:hAnsi="宋体"/>
              </w:rPr>
              <w:t>硬件故障时，备件的供应程度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 w:hRule="atLeast"/>
        </w:trPr>
        <w:tc>
          <w:tcPr>
            <w:tcW w:w="1336" w:type="dxa"/>
          </w:tcPr>
          <w:p>
            <w:pPr>
              <w:spacing w:line="360" w:lineRule="auto"/>
              <w:ind w:right="50" w:rightChars="21" w:firstLine="480"/>
              <w:rPr>
                <w:rFonts w:ascii="宋体" w:hAnsi="宋体"/>
              </w:rPr>
            </w:pPr>
            <w:r>
              <w:rPr>
                <w:rFonts w:hint="eastAsia" w:ascii="宋体" w:hAnsi="宋体"/>
              </w:rPr>
              <w:t>5</w:t>
            </w:r>
          </w:p>
        </w:tc>
        <w:tc>
          <w:tcPr>
            <w:tcW w:w="6743" w:type="dxa"/>
          </w:tcPr>
          <w:p>
            <w:pPr>
              <w:spacing w:line="360" w:lineRule="auto"/>
              <w:ind w:right="50" w:rightChars="21" w:firstLine="0" w:firstLineChars="0"/>
              <w:rPr>
                <w:rFonts w:ascii="宋体" w:hAnsi="宋体"/>
              </w:rPr>
            </w:pPr>
            <w:r>
              <w:rPr>
                <w:rFonts w:hint="eastAsia" w:ascii="宋体" w:hAnsi="宋体"/>
              </w:rPr>
              <w:t>是否在一次服务中解决问题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 w:hRule="atLeast"/>
        </w:trPr>
        <w:tc>
          <w:tcPr>
            <w:tcW w:w="1336" w:type="dxa"/>
          </w:tcPr>
          <w:p>
            <w:pPr>
              <w:spacing w:line="360" w:lineRule="auto"/>
              <w:ind w:right="50" w:rightChars="21" w:firstLine="480"/>
              <w:rPr>
                <w:rFonts w:ascii="宋体" w:hAnsi="宋体"/>
              </w:rPr>
            </w:pPr>
            <w:r>
              <w:rPr>
                <w:rFonts w:hint="eastAsia" w:ascii="宋体" w:hAnsi="宋体"/>
              </w:rPr>
              <w:t>6</w:t>
            </w:r>
          </w:p>
        </w:tc>
        <w:tc>
          <w:tcPr>
            <w:tcW w:w="6743" w:type="dxa"/>
          </w:tcPr>
          <w:p>
            <w:pPr>
              <w:spacing w:line="360" w:lineRule="auto"/>
              <w:ind w:right="50" w:rightChars="21" w:firstLine="0" w:firstLineChars="0"/>
              <w:rPr>
                <w:rFonts w:ascii="宋体" w:hAnsi="宋体"/>
              </w:rPr>
            </w:pPr>
            <w:r>
              <w:rPr>
                <w:rFonts w:hint="eastAsia" w:ascii="宋体" w:hAnsi="宋体"/>
              </w:rPr>
              <w:t>对问题的跟踪与总结，文档质量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 w:hRule="atLeast"/>
        </w:trPr>
        <w:tc>
          <w:tcPr>
            <w:tcW w:w="1336" w:type="dxa"/>
          </w:tcPr>
          <w:p>
            <w:pPr>
              <w:spacing w:line="360" w:lineRule="auto"/>
              <w:ind w:right="50" w:rightChars="21" w:firstLine="480"/>
              <w:rPr>
                <w:rFonts w:ascii="宋体" w:hAnsi="宋体"/>
              </w:rPr>
            </w:pPr>
            <w:r>
              <w:rPr>
                <w:rFonts w:hint="eastAsia" w:ascii="宋体" w:hAnsi="宋体"/>
              </w:rPr>
              <w:t>7</w:t>
            </w:r>
          </w:p>
        </w:tc>
        <w:tc>
          <w:tcPr>
            <w:tcW w:w="6743" w:type="dxa"/>
          </w:tcPr>
          <w:p>
            <w:pPr>
              <w:spacing w:line="360" w:lineRule="auto"/>
              <w:ind w:right="50" w:rightChars="21" w:firstLine="0" w:firstLineChars="0"/>
              <w:rPr>
                <w:rFonts w:ascii="宋体" w:hAnsi="宋体"/>
              </w:rPr>
            </w:pPr>
            <w:r>
              <w:rPr>
                <w:rFonts w:hint="eastAsia" w:ascii="宋体" w:hAnsi="宋体"/>
              </w:rPr>
              <w:t>服务态度，与客户的沟通情况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5" w:hRule="atLeast"/>
        </w:trPr>
        <w:tc>
          <w:tcPr>
            <w:tcW w:w="1336" w:type="dxa"/>
          </w:tcPr>
          <w:p>
            <w:pPr>
              <w:spacing w:line="360" w:lineRule="auto"/>
              <w:ind w:right="50" w:rightChars="21" w:firstLine="480"/>
              <w:rPr>
                <w:rFonts w:ascii="宋体" w:hAnsi="宋体"/>
              </w:rPr>
            </w:pPr>
            <w:r>
              <w:rPr>
                <w:rFonts w:hint="eastAsia" w:ascii="宋体" w:hAnsi="宋体"/>
              </w:rPr>
              <w:t>8</w:t>
            </w:r>
          </w:p>
        </w:tc>
        <w:tc>
          <w:tcPr>
            <w:tcW w:w="6743" w:type="dxa"/>
          </w:tcPr>
          <w:p>
            <w:pPr>
              <w:spacing w:line="360" w:lineRule="auto"/>
              <w:ind w:right="50" w:rightChars="21" w:firstLine="0" w:firstLineChars="0"/>
              <w:rPr>
                <w:rFonts w:ascii="宋体" w:hAnsi="宋体"/>
              </w:rPr>
            </w:pPr>
            <w:r>
              <w:rPr>
                <w:rFonts w:hint="eastAsia" w:ascii="宋体" w:hAnsi="宋体"/>
              </w:rPr>
              <w:t>服务工程师的技术水平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5" w:hRule="atLeast"/>
        </w:trPr>
        <w:tc>
          <w:tcPr>
            <w:tcW w:w="1336" w:type="dxa"/>
          </w:tcPr>
          <w:p>
            <w:pPr>
              <w:spacing w:line="360" w:lineRule="auto"/>
              <w:ind w:right="50" w:rightChars="21" w:firstLine="480"/>
              <w:rPr>
                <w:rFonts w:ascii="宋体" w:hAnsi="宋体"/>
              </w:rPr>
            </w:pPr>
            <w:r>
              <w:rPr>
                <w:rFonts w:hint="eastAsia" w:ascii="宋体" w:hAnsi="宋体"/>
              </w:rPr>
              <w:t>9</w:t>
            </w:r>
          </w:p>
        </w:tc>
        <w:tc>
          <w:tcPr>
            <w:tcW w:w="6743" w:type="dxa"/>
          </w:tcPr>
          <w:p>
            <w:pPr>
              <w:spacing w:line="360" w:lineRule="auto"/>
              <w:ind w:right="50" w:rightChars="21" w:firstLine="0" w:firstLineChars="0"/>
              <w:rPr>
                <w:rFonts w:ascii="宋体" w:hAnsi="宋体"/>
              </w:rPr>
            </w:pPr>
            <w:r>
              <w:rPr>
                <w:rFonts w:hint="eastAsia" w:ascii="宋体" w:hAnsi="宋体"/>
              </w:rPr>
              <w:t>每个季度的巡检服务质量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5" w:hRule="atLeast"/>
        </w:trPr>
        <w:tc>
          <w:tcPr>
            <w:tcW w:w="1336" w:type="dxa"/>
          </w:tcPr>
          <w:p>
            <w:pPr>
              <w:spacing w:line="360" w:lineRule="auto"/>
              <w:ind w:right="50" w:rightChars="21" w:firstLine="480"/>
              <w:rPr>
                <w:rFonts w:ascii="宋体" w:hAnsi="宋体"/>
              </w:rPr>
            </w:pPr>
            <w:r>
              <w:rPr>
                <w:rFonts w:hint="eastAsia" w:ascii="宋体" w:hAnsi="宋体"/>
              </w:rPr>
              <w:t>10</w:t>
            </w:r>
          </w:p>
        </w:tc>
        <w:tc>
          <w:tcPr>
            <w:tcW w:w="6743" w:type="dxa"/>
          </w:tcPr>
          <w:p>
            <w:pPr>
              <w:spacing w:line="360" w:lineRule="auto"/>
              <w:ind w:right="50" w:rightChars="21" w:firstLine="0" w:firstLineChars="0"/>
              <w:rPr>
                <w:rFonts w:ascii="宋体" w:hAnsi="宋体"/>
              </w:rPr>
            </w:pPr>
            <w:r>
              <w:rPr>
                <w:rFonts w:hint="eastAsia" w:ascii="宋体" w:hAnsi="宋体"/>
              </w:rPr>
              <w:t>排障服务的质量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5" w:hRule="atLeast"/>
        </w:trPr>
        <w:tc>
          <w:tcPr>
            <w:tcW w:w="1336" w:type="dxa"/>
          </w:tcPr>
          <w:p>
            <w:pPr>
              <w:spacing w:line="360" w:lineRule="auto"/>
              <w:ind w:right="50" w:rightChars="21" w:firstLine="480"/>
              <w:rPr>
                <w:rFonts w:ascii="宋体" w:hAnsi="宋体"/>
              </w:rPr>
            </w:pPr>
            <w:r>
              <w:rPr>
                <w:rFonts w:hint="eastAsia" w:ascii="宋体" w:hAnsi="宋体"/>
              </w:rPr>
              <w:t>11</w:t>
            </w:r>
          </w:p>
        </w:tc>
        <w:tc>
          <w:tcPr>
            <w:tcW w:w="6743" w:type="dxa"/>
          </w:tcPr>
          <w:p>
            <w:pPr>
              <w:spacing w:line="360" w:lineRule="auto"/>
              <w:ind w:right="50" w:rightChars="21" w:firstLine="0" w:firstLineChars="0"/>
              <w:rPr>
                <w:rFonts w:ascii="宋体" w:hAnsi="宋体"/>
              </w:rPr>
            </w:pPr>
            <w:r>
              <w:rPr>
                <w:rFonts w:hint="eastAsia" w:ascii="宋体" w:hAnsi="宋体"/>
              </w:rPr>
              <w:t>违反运维管理规定事件的次数</w:t>
            </w:r>
          </w:p>
        </w:tc>
      </w:tr>
    </w:tbl>
    <w:p>
      <w:pPr>
        <w:pStyle w:val="26"/>
        <w:spacing w:line="360" w:lineRule="auto"/>
        <w:ind w:left="0" w:leftChars="0" w:firstLine="0" w:firstLineChars="0"/>
      </w:pPr>
    </w:p>
    <w:p>
      <w:pPr>
        <w:pStyle w:val="2"/>
        <w:numPr>
          <w:ilvl w:val="0"/>
          <w:numId w:val="1"/>
        </w:numPr>
        <w:spacing w:line="360" w:lineRule="auto"/>
        <w:rPr>
          <w:sz w:val="32"/>
          <w:szCs w:val="32"/>
        </w:rPr>
      </w:pPr>
      <w:bookmarkStart w:id="49" w:name="_Toc16941"/>
      <w:r>
        <w:rPr>
          <w:rFonts w:hint="eastAsia"/>
          <w:sz w:val="32"/>
          <w:szCs w:val="32"/>
        </w:rPr>
        <w:t>知识产权方面要求</w:t>
      </w:r>
      <w:bookmarkEnd w:id="48"/>
      <w:bookmarkEnd w:id="49"/>
    </w:p>
    <w:p>
      <w:pPr>
        <w:pStyle w:val="27"/>
        <w:ind w:firstLine="480"/>
        <w:jc w:val="left"/>
      </w:pPr>
      <w:r>
        <w:rPr>
          <w:rFonts w:hint="eastAsia"/>
        </w:rPr>
        <w:t>所有运行在服务器端的各种非平台功能特性的产品</w:t>
      </w:r>
      <w:r>
        <w:rPr>
          <w:rFonts w:hint="eastAsia"/>
          <w:lang w:eastAsia="zh-CN"/>
        </w:rPr>
        <w:t>南方电网数字传媒科技有限公司</w:t>
      </w:r>
      <w:r>
        <w:rPr>
          <w:rFonts w:hint="eastAsia"/>
        </w:rPr>
        <w:t>拥有全部源代码和知识产权，乙方在进行技术支持时，未经书面许可，不得复制、传播以及将此项目结果作为应用案例进行宣传。</w:t>
      </w:r>
    </w:p>
    <w:p>
      <w:pPr>
        <w:pStyle w:val="2"/>
        <w:numPr>
          <w:ilvl w:val="0"/>
          <w:numId w:val="1"/>
        </w:numPr>
        <w:spacing w:line="360" w:lineRule="auto"/>
        <w:rPr>
          <w:sz w:val="32"/>
          <w:szCs w:val="32"/>
        </w:rPr>
      </w:pPr>
      <w:bookmarkStart w:id="50" w:name="_Toc323744617"/>
      <w:bookmarkStart w:id="51" w:name="_Toc26263"/>
      <w:r>
        <w:rPr>
          <w:rFonts w:hint="eastAsia"/>
          <w:sz w:val="32"/>
          <w:szCs w:val="32"/>
        </w:rPr>
        <w:t>保密要求</w:t>
      </w:r>
      <w:bookmarkEnd w:id="50"/>
      <w:bookmarkEnd w:id="51"/>
    </w:p>
    <w:p>
      <w:pPr>
        <w:pStyle w:val="27"/>
        <w:ind w:firstLine="480"/>
        <w:jc w:val="left"/>
      </w:pPr>
      <w:r>
        <w:rPr>
          <w:rFonts w:hint="eastAsia"/>
        </w:rPr>
        <w:t>鉴于乙方在为甲方提供系统维护服务期间，需要开放信息系统的访问权限，为加强甲方信息系统的信息安全管理，提出以下保密要求：</w:t>
      </w:r>
    </w:p>
    <w:p>
      <w:pPr>
        <w:pStyle w:val="27"/>
        <w:ind w:firstLine="480"/>
        <w:jc w:val="left"/>
      </w:pPr>
      <w:r>
        <w:rPr>
          <w:rFonts w:hint="eastAsia"/>
        </w:rPr>
        <w:t>乙方在访问信息系统期间，负有保护甲方企业的网络安全、信息安全和系统数据的义务和责任；负有保护所持有、接触的属于或涉及甲方企业商业秘密的信息安全的义务和责任。</w:t>
      </w:r>
    </w:p>
    <w:p>
      <w:pPr>
        <w:spacing w:line="360" w:lineRule="auto"/>
        <w:ind w:firstLine="480"/>
      </w:pPr>
      <w:r>
        <w:rPr>
          <w:rFonts w:hint="eastAsia"/>
        </w:rPr>
        <w:t>商业秘密是指因其信息泄露会影响企业生产和发展、影响企业营销活动、影响企业技术进步、使企业在商业竞争中处于被动或不利地位、使企业经济利益受到损害、影响企业对外交流和商业谈判顺利进行、影响企业稳定和安全、影响企业对外承担保密义务的事项。</w:t>
      </w:r>
    </w:p>
    <w:bookmarkEnd w:id="0"/>
    <w:p>
      <w:pPr>
        <w:spacing w:line="360" w:lineRule="auto"/>
        <w:ind w:left="0" w:leftChars="0" w:firstLine="0" w:firstLineChars="0"/>
      </w:pPr>
    </w:p>
    <w:sectPr>
      <w:footerReference r:id="rId12"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ind w:firstLine="360"/>
      <w:rPr>
        <w:rStyle w:val="17"/>
      </w:rPr>
    </w:pPr>
    <w:r>
      <w:fldChar w:fldCharType="begin"/>
    </w:r>
    <w:r>
      <w:rPr>
        <w:rStyle w:val="17"/>
      </w:rPr>
      <w:instrText xml:space="preserve">PAGE  </w:instrText>
    </w:r>
    <w:r>
      <w:fldChar w:fldCharType="end"/>
    </w:r>
  </w:p>
  <w:p>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ind w:firstLine="360"/>
      <w:rPr>
        <w:rStyle w:val="17"/>
      </w:rPr>
    </w:pPr>
    <w:r>
      <w:fldChar w:fldCharType="begin"/>
    </w:r>
    <w:r>
      <w:rPr>
        <w:rStyle w:val="17"/>
      </w:rPr>
      <w:instrText xml:space="preserve">PAGE  </w:instrText>
    </w:r>
    <w:r>
      <w:fldChar w:fldCharType="separate"/>
    </w:r>
    <w:r>
      <w:rPr>
        <w:rStyle w:val="17"/>
      </w:rPr>
      <w:t>11</w:t>
    </w:r>
    <w:r>
      <w:fldChar w:fldCharType="end"/>
    </w:r>
  </w:p>
  <w:p>
    <w:pPr>
      <w:pStyle w:val="10"/>
      <w:ind w:firstLineChars="1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wordWrap w:val="0"/>
      <w:ind w:firstLine="36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wordWrap w:val="0"/>
      <w:ind w:firstLine="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852C38"/>
    <w:multiLevelType w:val="multilevel"/>
    <w:tmpl w:val="0E852C38"/>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
    <w:nsid w:val="1A6968B2"/>
    <w:multiLevelType w:val="multilevel"/>
    <w:tmpl w:val="1A6968B2"/>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1D8D66DA"/>
    <w:multiLevelType w:val="multilevel"/>
    <w:tmpl w:val="1D8D66DA"/>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1EA7115C"/>
    <w:multiLevelType w:val="multilevel"/>
    <w:tmpl w:val="1EA7115C"/>
    <w:lvl w:ilvl="0" w:tentative="0">
      <w:start w:val="1"/>
      <w:numFmt w:val="lowerLetter"/>
      <w:lvlText w:val="%1)"/>
      <w:lvlJc w:val="left"/>
      <w:pPr>
        <w:tabs>
          <w:tab w:val="left" w:pos="360"/>
        </w:tabs>
        <w:ind w:left="360" w:hanging="360"/>
      </w:pPr>
      <w:rPr>
        <w:rFonts w:hint="eastAsia"/>
        <w:sz w:val="24"/>
        <w:szCs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32EA6FA9"/>
    <w:multiLevelType w:val="multilevel"/>
    <w:tmpl w:val="32EA6FA9"/>
    <w:lvl w:ilvl="0" w:tentative="0">
      <w:start w:val="1"/>
      <w:numFmt w:val="lowerLetter"/>
      <w:lvlText w:val="%1)"/>
      <w:lvlJc w:val="left"/>
      <w:pPr>
        <w:tabs>
          <w:tab w:val="left" w:pos="360"/>
        </w:tabs>
        <w:ind w:left="360" w:hanging="360"/>
      </w:pPr>
      <w:rPr>
        <w:rFonts w:hint="eastAsia"/>
        <w:sz w:val="24"/>
        <w:szCs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425A2E75"/>
    <w:multiLevelType w:val="multilevel"/>
    <w:tmpl w:val="425A2E75"/>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44C926BA"/>
    <w:multiLevelType w:val="multilevel"/>
    <w:tmpl w:val="44C926BA"/>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7">
    <w:nsid w:val="5761603C"/>
    <w:multiLevelType w:val="multilevel"/>
    <w:tmpl w:val="5761603C"/>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8">
    <w:nsid w:val="611520E8"/>
    <w:multiLevelType w:val="multilevel"/>
    <w:tmpl w:val="611520E8"/>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701B17B0"/>
    <w:multiLevelType w:val="multilevel"/>
    <w:tmpl w:val="701B17B0"/>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74C04813"/>
    <w:multiLevelType w:val="multilevel"/>
    <w:tmpl w:val="74C04813"/>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0"/>
  </w:num>
  <w:num w:numId="2">
    <w:abstractNumId w:val="2"/>
  </w:num>
  <w:num w:numId="3">
    <w:abstractNumId w:val="9"/>
  </w:num>
  <w:num w:numId="4">
    <w:abstractNumId w:val="7"/>
  </w:num>
  <w:num w:numId="5">
    <w:abstractNumId w:val="6"/>
  </w:num>
  <w:num w:numId="6">
    <w:abstractNumId w:val="1"/>
  </w:num>
  <w:num w:numId="7">
    <w:abstractNumId w:val="5"/>
  </w:num>
  <w:num w:numId="8">
    <w:abstractNumId w:val="8"/>
  </w:num>
  <w:num w:numId="9">
    <w:abstractNumId w:val="3"/>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9CF"/>
    <w:rsid w:val="000000C0"/>
    <w:rsid w:val="00033B79"/>
    <w:rsid w:val="0005322A"/>
    <w:rsid w:val="00087FF9"/>
    <w:rsid w:val="00091741"/>
    <w:rsid w:val="00094128"/>
    <w:rsid w:val="000B68E2"/>
    <w:rsid w:val="000C68FA"/>
    <w:rsid w:val="000C74CC"/>
    <w:rsid w:val="00167B50"/>
    <w:rsid w:val="00176429"/>
    <w:rsid w:val="001919CF"/>
    <w:rsid w:val="001D0730"/>
    <w:rsid w:val="001E131A"/>
    <w:rsid w:val="00235E5D"/>
    <w:rsid w:val="00275B14"/>
    <w:rsid w:val="002B7FA2"/>
    <w:rsid w:val="003475AC"/>
    <w:rsid w:val="00365F2C"/>
    <w:rsid w:val="0039415C"/>
    <w:rsid w:val="003C613F"/>
    <w:rsid w:val="003F4C95"/>
    <w:rsid w:val="00452BBA"/>
    <w:rsid w:val="00454B4E"/>
    <w:rsid w:val="00490DF8"/>
    <w:rsid w:val="004C6AF2"/>
    <w:rsid w:val="004E32ED"/>
    <w:rsid w:val="00525CA7"/>
    <w:rsid w:val="005465F8"/>
    <w:rsid w:val="00617E2C"/>
    <w:rsid w:val="006213A8"/>
    <w:rsid w:val="00676A63"/>
    <w:rsid w:val="00693934"/>
    <w:rsid w:val="00694BFF"/>
    <w:rsid w:val="006B4648"/>
    <w:rsid w:val="006E13D1"/>
    <w:rsid w:val="00795B0A"/>
    <w:rsid w:val="00796A53"/>
    <w:rsid w:val="007A3763"/>
    <w:rsid w:val="007B3EEC"/>
    <w:rsid w:val="00826DE0"/>
    <w:rsid w:val="0087348B"/>
    <w:rsid w:val="008E2412"/>
    <w:rsid w:val="00902233"/>
    <w:rsid w:val="00905B3B"/>
    <w:rsid w:val="00953846"/>
    <w:rsid w:val="00990ADB"/>
    <w:rsid w:val="009B0BCD"/>
    <w:rsid w:val="00A0439D"/>
    <w:rsid w:val="00A40AF5"/>
    <w:rsid w:val="00A510E7"/>
    <w:rsid w:val="00B252AC"/>
    <w:rsid w:val="00B34566"/>
    <w:rsid w:val="00B668AC"/>
    <w:rsid w:val="00B7062D"/>
    <w:rsid w:val="00B738E4"/>
    <w:rsid w:val="00B926FB"/>
    <w:rsid w:val="00BC3F01"/>
    <w:rsid w:val="00BC5AC1"/>
    <w:rsid w:val="00C65F40"/>
    <w:rsid w:val="00CF77B7"/>
    <w:rsid w:val="00DC365A"/>
    <w:rsid w:val="00DD1871"/>
    <w:rsid w:val="00E3620E"/>
    <w:rsid w:val="00E37E30"/>
    <w:rsid w:val="00E73CC7"/>
    <w:rsid w:val="00E743AE"/>
    <w:rsid w:val="00EA351F"/>
    <w:rsid w:val="00EA6829"/>
    <w:rsid w:val="00EB11AB"/>
    <w:rsid w:val="00F328A7"/>
    <w:rsid w:val="00F40ECC"/>
    <w:rsid w:val="00FC6556"/>
    <w:rsid w:val="036F567D"/>
    <w:rsid w:val="06090A94"/>
    <w:rsid w:val="0A2862D9"/>
    <w:rsid w:val="0DBE3465"/>
    <w:rsid w:val="0E012085"/>
    <w:rsid w:val="1038604E"/>
    <w:rsid w:val="175646E8"/>
    <w:rsid w:val="1B9B66A0"/>
    <w:rsid w:val="1D251A37"/>
    <w:rsid w:val="1F66472D"/>
    <w:rsid w:val="223965A5"/>
    <w:rsid w:val="2A4D1F37"/>
    <w:rsid w:val="2E28403F"/>
    <w:rsid w:val="32325C67"/>
    <w:rsid w:val="38953021"/>
    <w:rsid w:val="390A7CE1"/>
    <w:rsid w:val="3FC832A3"/>
    <w:rsid w:val="3FF355B1"/>
    <w:rsid w:val="412A5430"/>
    <w:rsid w:val="440139E6"/>
    <w:rsid w:val="4BBC6EDA"/>
    <w:rsid w:val="4DAC0769"/>
    <w:rsid w:val="4FB56CBE"/>
    <w:rsid w:val="53F43154"/>
    <w:rsid w:val="58B02EEA"/>
    <w:rsid w:val="59C741FB"/>
    <w:rsid w:val="669D7E7A"/>
    <w:rsid w:val="676F2896"/>
    <w:rsid w:val="6D3674E9"/>
    <w:rsid w:val="6F172612"/>
    <w:rsid w:val="738769CA"/>
    <w:rsid w:val="788410BD"/>
    <w:rsid w:val="7A4E577A"/>
    <w:rsid w:val="7ABE339C"/>
    <w:rsid w:val="7D5A59A9"/>
    <w:rsid w:val="7EFC61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80" w:lineRule="exact"/>
      <w:ind w:firstLine="200"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19"/>
    <w:qFormat/>
    <w:uiPriority w:val="0"/>
    <w:pPr>
      <w:keepNext/>
      <w:keepLines/>
      <w:tabs>
        <w:tab w:val="left" w:pos="432"/>
      </w:tabs>
      <w:spacing w:line="720" w:lineRule="exact"/>
      <w:ind w:left="432" w:hanging="432" w:firstLineChars="0"/>
      <w:outlineLvl w:val="0"/>
    </w:pPr>
    <w:rPr>
      <w:b/>
      <w:bCs/>
      <w:snapToGrid w:val="0"/>
      <w:kern w:val="0"/>
      <w:sz w:val="28"/>
      <w:szCs w:val="28"/>
    </w:rPr>
  </w:style>
  <w:style w:type="paragraph" w:styleId="3">
    <w:name w:val="heading 2"/>
    <w:basedOn w:val="1"/>
    <w:next w:val="1"/>
    <w:link w:val="33"/>
    <w:semiHidden/>
    <w:unhideWhenUsed/>
    <w:qFormat/>
    <w:uiPriority w:val="9"/>
    <w:pPr>
      <w:keepNext/>
      <w:keepLines/>
      <w:spacing w:before="260" w:after="260" w:line="416" w:lineRule="atLeast"/>
      <w:outlineLvl w:val="1"/>
    </w:pPr>
    <w:rPr>
      <w:rFonts w:asciiTheme="majorHAnsi" w:hAnsiTheme="majorHAnsi" w:eastAsiaTheme="majorEastAsia" w:cstheme="majorBidi"/>
      <w:b/>
      <w:bCs/>
      <w:sz w:val="32"/>
      <w:szCs w:val="32"/>
    </w:rPr>
  </w:style>
  <w:style w:type="paragraph" w:styleId="4">
    <w:name w:val="heading 3"/>
    <w:basedOn w:val="1"/>
    <w:next w:val="1"/>
    <w:link w:val="20"/>
    <w:qFormat/>
    <w:uiPriority w:val="0"/>
    <w:pPr>
      <w:keepNext/>
      <w:keepLines/>
      <w:tabs>
        <w:tab w:val="left" w:pos="720"/>
      </w:tabs>
      <w:topLinePunct/>
      <w:adjustRightInd w:val="0"/>
      <w:snapToGrid w:val="0"/>
      <w:spacing w:line="480" w:lineRule="atLeast"/>
      <w:ind w:left="720" w:hanging="720" w:firstLineChars="0"/>
      <w:jc w:val="left"/>
      <w:textAlignment w:val="center"/>
      <w:outlineLvl w:val="2"/>
    </w:pPr>
    <w:rPr>
      <w:b/>
      <w:bCs/>
      <w:sz w:val="28"/>
      <w:szCs w:val="28"/>
      <w:lang w:val="sv-SE"/>
    </w:rPr>
  </w:style>
  <w:style w:type="paragraph" w:styleId="5">
    <w:name w:val="heading 4"/>
    <w:basedOn w:val="1"/>
    <w:next w:val="1"/>
    <w:link w:val="21"/>
    <w:qFormat/>
    <w:uiPriority w:val="0"/>
    <w:pPr>
      <w:keepNext/>
      <w:keepLines/>
      <w:tabs>
        <w:tab w:val="left" w:pos="864"/>
      </w:tabs>
      <w:topLinePunct/>
      <w:adjustRightInd w:val="0"/>
      <w:snapToGrid w:val="0"/>
      <w:spacing w:line="480" w:lineRule="atLeast"/>
      <w:ind w:left="864" w:hanging="864" w:firstLineChars="0"/>
      <w:textAlignment w:val="center"/>
      <w:outlineLvl w:val="3"/>
    </w:pPr>
    <w:rPr>
      <w:b/>
      <w:bCs/>
      <w:kern w:val="0"/>
      <w:lang w:val="sv-SE"/>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34"/>
    <w:semiHidden/>
    <w:unhideWhenUsed/>
    <w:qFormat/>
    <w:uiPriority w:val="99"/>
    <w:pPr>
      <w:jc w:val="left"/>
    </w:pPr>
  </w:style>
  <w:style w:type="paragraph" w:styleId="7">
    <w:name w:val="Body Text"/>
    <w:basedOn w:val="1"/>
    <w:link w:val="24"/>
    <w:qFormat/>
    <w:uiPriority w:val="0"/>
    <w:pPr>
      <w:spacing w:after="120" w:line="240" w:lineRule="auto"/>
      <w:ind w:firstLine="0" w:firstLineChars="0"/>
    </w:pPr>
    <w:rPr>
      <w:rFonts w:asciiTheme="minorHAnsi" w:hAnsiTheme="minorHAnsi" w:eastAsiaTheme="minorEastAsia" w:cstheme="minorBidi"/>
      <w:szCs w:val="22"/>
    </w:rPr>
  </w:style>
  <w:style w:type="paragraph" w:styleId="8">
    <w:name w:val="toc 3"/>
    <w:basedOn w:val="1"/>
    <w:next w:val="1"/>
    <w:qFormat/>
    <w:uiPriority w:val="39"/>
    <w:pPr>
      <w:ind w:left="480"/>
      <w:jc w:val="left"/>
    </w:pPr>
    <w:rPr>
      <w:rFonts w:ascii="Calibri" w:hAnsi="Calibri"/>
      <w:i/>
      <w:iCs/>
      <w:sz w:val="20"/>
      <w:szCs w:val="20"/>
    </w:rPr>
  </w:style>
  <w:style w:type="paragraph" w:styleId="9">
    <w:name w:val="Balloon Text"/>
    <w:basedOn w:val="1"/>
    <w:link w:val="36"/>
    <w:semiHidden/>
    <w:unhideWhenUsed/>
    <w:qFormat/>
    <w:uiPriority w:val="99"/>
    <w:pPr>
      <w:spacing w:line="240" w:lineRule="auto"/>
    </w:pPr>
    <w:rPr>
      <w:sz w:val="18"/>
      <w:szCs w:val="18"/>
    </w:rPr>
  </w:style>
  <w:style w:type="paragraph" w:styleId="10">
    <w:name w:val="footer"/>
    <w:basedOn w:val="1"/>
    <w:link w:val="28"/>
    <w:qFormat/>
    <w:uiPriority w:val="0"/>
    <w:pPr>
      <w:tabs>
        <w:tab w:val="center" w:pos="4153"/>
        <w:tab w:val="right" w:pos="8306"/>
      </w:tabs>
      <w:snapToGrid w:val="0"/>
      <w:spacing w:line="240" w:lineRule="atLeast"/>
      <w:jc w:val="left"/>
    </w:pPr>
    <w:rPr>
      <w:sz w:val="18"/>
      <w:szCs w:val="18"/>
    </w:rPr>
  </w:style>
  <w:style w:type="paragraph" w:styleId="11">
    <w:name w:val="header"/>
    <w:basedOn w:val="1"/>
    <w:link w:val="32"/>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2">
    <w:name w:val="toc 1"/>
    <w:basedOn w:val="1"/>
    <w:next w:val="1"/>
    <w:qFormat/>
    <w:uiPriority w:val="39"/>
    <w:pPr>
      <w:spacing w:before="120" w:after="120"/>
      <w:jc w:val="left"/>
    </w:pPr>
    <w:rPr>
      <w:rFonts w:ascii="Calibri" w:hAnsi="Calibri"/>
      <w:b/>
      <w:bCs/>
      <w:caps/>
      <w:sz w:val="20"/>
      <w:szCs w:val="20"/>
    </w:rPr>
  </w:style>
  <w:style w:type="paragraph" w:styleId="13">
    <w:name w:val="toc 2"/>
    <w:basedOn w:val="1"/>
    <w:next w:val="1"/>
    <w:qFormat/>
    <w:uiPriority w:val="39"/>
    <w:pPr>
      <w:ind w:left="240"/>
      <w:jc w:val="left"/>
    </w:pPr>
    <w:rPr>
      <w:rFonts w:ascii="Calibri" w:hAnsi="Calibri"/>
      <w:smallCaps/>
      <w:sz w:val="20"/>
      <w:szCs w:val="20"/>
    </w:rPr>
  </w:style>
  <w:style w:type="paragraph" w:styleId="14">
    <w:name w:val="annotation subject"/>
    <w:basedOn w:val="6"/>
    <w:next w:val="6"/>
    <w:link w:val="35"/>
    <w:semiHidden/>
    <w:unhideWhenUsed/>
    <w:qFormat/>
    <w:uiPriority w:val="99"/>
    <w:rPr>
      <w:b/>
      <w:bCs/>
    </w:rPr>
  </w:style>
  <w:style w:type="character" w:styleId="17">
    <w:name w:val="page number"/>
    <w:basedOn w:val="16"/>
    <w:qFormat/>
    <w:uiPriority w:val="0"/>
  </w:style>
  <w:style w:type="character" w:styleId="18">
    <w:name w:val="annotation reference"/>
    <w:basedOn w:val="16"/>
    <w:semiHidden/>
    <w:unhideWhenUsed/>
    <w:qFormat/>
    <w:uiPriority w:val="99"/>
    <w:rPr>
      <w:sz w:val="21"/>
      <w:szCs w:val="21"/>
    </w:rPr>
  </w:style>
  <w:style w:type="character" w:customStyle="1" w:styleId="19">
    <w:name w:val="标题 1 Char"/>
    <w:basedOn w:val="16"/>
    <w:link w:val="2"/>
    <w:qFormat/>
    <w:uiPriority w:val="0"/>
    <w:rPr>
      <w:rFonts w:ascii="Times New Roman" w:hAnsi="Times New Roman" w:eastAsia="宋体" w:cs="Times New Roman"/>
      <w:b/>
      <w:bCs/>
      <w:snapToGrid w:val="0"/>
      <w:kern w:val="0"/>
      <w:sz w:val="28"/>
      <w:szCs w:val="28"/>
    </w:rPr>
  </w:style>
  <w:style w:type="character" w:customStyle="1" w:styleId="20">
    <w:name w:val="标题 3 Char"/>
    <w:basedOn w:val="16"/>
    <w:link w:val="4"/>
    <w:qFormat/>
    <w:uiPriority w:val="0"/>
    <w:rPr>
      <w:rFonts w:ascii="Times New Roman" w:hAnsi="Times New Roman" w:eastAsia="宋体" w:cs="Times New Roman"/>
      <w:b/>
      <w:bCs/>
      <w:sz w:val="28"/>
      <w:szCs w:val="28"/>
      <w:lang w:val="sv-SE"/>
    </w:rPr>
  </w:style>
  <w:style w:type="character" w:customStyle="1" w:styleId="21">
    <w:name w:val="标题 4 Char"/>
    <w:basedOn w:val="16"/>
    <w:link w:val="5"/>
    <w:qFormat/>
    <w:uiPriority w:val="0"/>
    <w:rPr>
      <w:rFonts w:ascii="Times New Roman" w:hAnsi="Times New Roman" w:eastAsia="宋体" w:cs="Times New Roman"/>
      <w:b/>
      <w:bCs/>
      <w:kern w:val="0"/>
      <w:sz w:val="24"/>
      <w:szCs w:val="24"/>
      <w:lang w:val="sv-SE"/>
    </w:rPr>
  </w:style>
  <w:style w:type="character" w:customStyle="1" w:styleId="22">
    <w:name w:val="GEDI正文样式 Char"/>
    <w:link w:val="23"/>
    <w:qFormat/>
    <w:uiPriority w:val="0"/>
    <w:rPr>
      <w:rFonts w:eastAsia="宋体"/>
      <w:sz w:val="24"/>
      <w:szCs w:val="24"/>
    </w:rPr>
  </w:style>
  <w:style w:type="paragraph" w:customStyle="1" w:styleId="23">
    <w:name w:val="GEDI正文样式"/>
    <w:basedOn w:val="1"/>
    <w:link w:val="22"/>
    <w:qFormat/>
    <w:uiPriority w:val="0"/>
    <w:pPr>
      <w:adjustRightInd w:val="0"/>
      <w:snapToGrid w:val="0"/>
      <w:spacing w:line="480" w:lineRule="atLeast"/>
      <w:ind w:firstLine="480"/>
    </w:pPr>
    <w:rPr>
      <w:rFonts w:asciiTheme="minorHAnsi" w:hAnsiTheme="minorHAnsi" w:cstheme="minorBidi"/>
    </w:rPr>
  </w:style>
  <w:style w:type="character" w:customStyle="1" w:styleId="24">
    <w:name w:val="正文文本 Char"/>
    <w:basedOn w:val="16"/>
    <w:link w:val="7"/>
    <w:qFormat/>
    <w:uiPriority w:val="0"/>
    <w:rPr>
      <w:sz w:val="24"/>
    </w:rPr>
  </w:style>
  <w:style w:type="character" w:customStyle="1" w:styleId="25">
    <w:name w:val="GEDI正文(无编号) Char"/>
    <w:link w:val="26"/>
    <w:qFormat/>
    <w:uiPriority w:val="0"/>
    <w:rPr>
      <w:rFonts w:hAnsi="宋体"/>
      <w:sz w:val="24"/>
    </w:rPr>
  </w:style>
  <w:style w:type="paragraph" w:customStyle="1" w:styleId="26">
    <w:name w:val="GEDI正文(无编号)"/>
    <w:basedOn w:val="1"/>
    <w:link w:val="25"/>
    <w:qFormat/>
    <w:uiPriority w:val="0"/>
    <w:pPr>
      <w:adjustRightInd w:val="0"/>
      <w:snapToGrid w:val="0"/>
      <w:ind w:left="420" w:firstLine="0" w:firstLineChars="0"/>
    </w:pPr>
    <w:rPr>
      <w:rFonts w:hAnsi="宋体" w:asciiTheme="minorHAnsi" w:eastAsiaTheme="minorEastAsia" w:cstheme="minorBidi"/>
      <w:szCs w:val="22"/>
    </w:rPr>
  </w:style>
  <w:style w:type="paragraph" w:customStyle="1" w:styleId="27">
    <w:name w:val="样式 段 + 首行缩进:  2 字符"/>
    <w:basedOn w:val="1"/>
    <w:qFormat/>
    <w:uiPriority w:val="0"/>
    <w:pPr>
      <w:widowControl/>
      <w:autoSpaceDE w:val="0"/>
      <w:autoSpaceDN w:val="0"/>
      <w:spacing w:line="360" w:lineRule="auto"/>
      <w:ind w:firstLine="420"/>
    </w:pPr>
    <w:rPr>
      <w:rFonts w:ascii="宋体"/>
      <w:kern w:val="0"/>
      <w:szCs w:val="20"/>
    </w:rPr>
  </w:style>
  <w:style w:type="character" w:customStyle="1" w:styleId="28">
    <w:name w:val="页脚 Char"/>
    <w:basedOn w:val="16"/>
    <w:link w:val="10"/>
    <w:qFormat/>
    <w:uiPriority w:val="0"/>
    <w:rPr>
      <w:rFonts w:ascii="Times New Roman" w:hAnsi="Times New Roman" w:eastAsia="宋体" w:cs="Times New Roman"/>
      <w:sz w:val="18"/>
      <w:szCs w:val="18"/>
    </w:rPr>
  </w:style>
  <w:style w:type="character" w:customStyle="1" w:styleId="29">
    <w:name w:val="正文文本 Char1"/>
    <w:basedOn w:val="16"/>
    <w:semiHidden/>
    <w:qFormat/>
    <w:uiPriority w:val="99"/>
    <w:rPr>
      <w:rFonts w:ascii="Times New Roman" w:hAnsi="Times New Roman" w:eastAsia="宋体" w:cs="Times New Roman"/>
      <w:sz w:val="24"/>
      <w:szCs w:val="24"/>
    </w:rPr>
  </w:style>
  <w:style w:type="paragraph" w:customStyle="1" w:styleId="30">
    <w:name w:val="默认段落字体 Para"/>
    <w:basedOn w:val="1"/>
    <w:qFormat/>
    <w:uiPriority w:val="0"/>
    <w:pPr>
      <w:spacing w:line="360" w:lineRule="auto"/>
      <w:ind w:firstLine="0" w:firstLineChars="0"/>
    </w:pPr>
    <w:rPr>
      <w:rFonts w:ascii="Tahoma" w:hAnsi="Tahoma"/>
      <w:szCs w:val="20"/>
    </w:rPr>
  </w:style>
  <w:style w:type="paragraph" w:customStyle="1" w:styleId="31">
    <w:name w:val="样式 标题 2h2Heading 2 HiddenHeading 2 CCBSheading 2第一章 标题 2H2...1"/>
    <w:basedOn w:val="3"/>
    <w:qFormat/>
    <w:uiPriority w:val="0"/>
    <w:pPr>
      <w:tabs>
        <w:tab w:val="left" w:pos="576"/>
      </w:tabs>
      <w:topLinePunct/>
      <w:adjustRightInd w:val="0"/>
      <w:snapToGrid w:val="0"/>
      <w:spacing w:before="0" w:after="0" w:line="480" w:lineRule="atLeast"/>
      <w:ind w:left="576" w:hanging="576" w:firstLineChars="0"/>
      <w:jc w:val="left"/>
      <w:textAlignment w:val="center"/>
    </w:pPr>
    <w:rPr>
      <w:rFonts w:ascii="宋体" w:hAnsi="宋体" w:eastAsia="宋体" w:cs="宋体"/>
      <w:color w:val="000000"/>
      <w:kern w:val="0"/>
      <w:sz w:val="28"/>
    </w:rPr>
  </w:style>
  <w:style w:type="character" w:customStyle="1" w:styleId="32">
    <w:name w:val="页眉 Char"/>
    <w:basedOn w:val="16"/>
    <w:link w:val="11"/>
    <w:qFormat/>
    <w:uiPriority w:val="0"/>
    <w:rPr>
      <w:rFonts w:ascii="Times New Roman" w:hAnsi="Times New Roman" w:eastAsia="宋体" w:cs="Times New Roman"/>
      <w:sz w:val="18"/>
      <w:szCs w:val="18"/>
    </w:rPr>
  </w:style>
  <w:style w:type="character" w:customStyle="1" w:styleId="33">
    <w:name w:val="标题 2 Char"/>
    <w:basedOn w:val="16"/>
    <w:link w:val="3"/>
    <w:semiHidden/>
    <w:qFormat/>
    <w:uiPriority w:val="9"/>
    <w:rPr>
      <w:rFonts w:asciiTheme="majorHAnsi" w:hAnsiTheme="majorHAnsi" w:eastAsiaTheme="majorEastAsia" w:cstheme="majorBidi"/>
      <w:b/>
      <w:bCs/>
      <w:sz w:val="32"/>
      <w:szCs w:val="32"/>
    </w:rPr>
  </w:style>
  <w:style w:type="character" w:customStyle="1" w:styleId="34">
    <w:name w:val="批注文字 Char"/>
    <w:basedOn w:val="16"/>
    <w:link w:val="6"/>
    <w:semiHidden/>
    <w:qFormat/>
    <w:uiPriority w:val="99"/>
    <w:rPr>
      <w:kern w:val="2"/>
      <w:sz w:val="24"/>
      <w:szCs w:val="24"/>
    </w:rPr>
  </w:style>
  <w:style w:type="character" w:customStyle="1" w:styleId="35">
    <w:name w:val="批注主题 Char"/>
    <w:basedOn w:val="34"/>
    <w:link w:val="14"/>
    <w:semiHidden/>
    <w:qFormat/>
    <w:uiPriority w:val="99"/>
    <w:rPr>
      <w:b/>
      <w:bCs/>
      <w:kern w:val="2"/>
      <w:sz w:val="24"/>
      <w:szCs w:val="24"/>
    </w:rPr>
  </w:style>
  <w:style w:type="character" w:customStyle="1" w:styleId="36">
    <w:name w:val="批注框文本 Char"/>
    <w:basedOn w:val="16"/>
    <w:link w:val="9"/>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1094</Words>
  <Characters>6237</Characters>
  <Lines>51</Lines>
  <Paragraphs>14</Paragraphs>
  <TotalTime>0</TotalTime>
  <ScaleCrop>false</ScaleCrop>
  <LinksUpToDate>false</LinksUpToDate>
  <CharactersWithSpaces>7317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2019-08-20T12:23:00Z</dcterms:created>
  <dc:creator>王兆旭</dc:creator>
  <cp:lastModifiedBy>全东明</cp:lastModifiedBy>
  <dcterms:modified xsi:type="dcterms:W3CDTF">2024-08-02T10:14:29Z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43621265DA6C41D0BF934D14346722B8</vt:lpwstr>
  </property>
</Properties>
</file>