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line="360" w:lineRule="auto"/>
        <w:ind w:firstLine="420" w:firstLineChars="200"/>
        <w:jc w:val="center"/>
        <w:rPr>
          <w:rFonts w:eastAsia="仿宋_GB2312"/>
          <w:b/>
          <w:sz w:val="28"/>
        </w:rPr>
      </w:pPr>
      <w:r>
        <w:rPr>
          <w:rFonts w:eastAsia="仿宋_GB231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-38100</wp:posOffset>
            </wp:positionH>
            <wp:positionV relativeFrom="paragraph">
              <wp:posOffset>-885190</wp:posOffset>
            </wp:positionV>
            <wp:extent cx="7569835" cy="7791450"/>
            <wp:effectExtent l="0" t="0" r="0" b="0"/>
            <wp:wrapNone/>
            <wp:docPr id="4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说明: 未命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仿宋_GB231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827405</wp:posOffset>
            </wp:positionV>
            <wp:extent cx="3459480" cy="813435"/>
            <wp:effectExtent l="0" t="0" r="7620" b="5715"/>
            <wp:wrapNone/>
            <wp:docPr id="3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说明: 中国南方电网公司---横向标准组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spacing w:before="156" w:line="360" w:lineRule="auto"/>
        <w:ind w:firstLine="420" w:firstLineChars="200"/>
        <w:rPr>
          <w:rFonts w:eastAsia="仿宋_GB2312"/>
        </w:rPr>
      </w:pPr>
    </w:p>
    <w:tbl>
      <w:tblPr>
        <w:tblStyle w:val="16"/>
        <w:tblpPr w:leftFromText="180" w:rightFromText="180" w:vertAnchor="text" w:horzAnchor="page" w:tblpX="1495" w:tblpY="10367"/>
        <w:tblOverlap w:val="never"/>
        <w:tblW w:w="8908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08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0" w:hRule="atLeast"/>
        </w:trPr>
        <w:tc>
          <w:tcPr>
            <w:tcW w:w="8908" w:type="dxa"/>
            <w:vAlign w:val="center"/>
          </w:tcPr>
          <w:p>
            <w:pPr>
              <w:spacing w:before="156" w:beforeLines="50" w:after="156" w:afterLines="50" w:line="360" w:lineRule="auto"/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  <w:r>
              <w:rPr>
                <w:rFonts w:hint="eastAsia" w:eastAsia="仿宋_GB2312"/>
                <w:b/>
                <w:bCs/>
                <w:sz w:val="32"/>
                <w:szCs w:val="32"/>
              </w:rPr>
              <w:t>南方电网数字电网科技（广东）有限公司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13" w:hRule="atLeast"/>
        </w:trPr>
        <w:tc>
          <w:tcPr>
            <w:tcW w:w="8908" w:type="dxa"/>
            <w:vAlign w:val="center"/>
          </w:tcPr>
          <w:p>
            <w:pPr>
              <w:spacing w:before="156" w:beforeLines="50" w:after="156" w:afterLines="50" w:line="360" w:lineRule="auto"/>
              <w:jc w:val="center"/>
              <w:rPr>
                <w:rFonts w:eastAsia="仿宋_GB2312"/>
                <w:b/>
                <w:bCs/>
                <w:spacing w:val="20"/>
                <w:sz w:val="32"/>
                <w:szCs w:val="32"/>
              </w:rPr>
            </w:pPr>
            <w:r>
              <w:rPr>
                <w:rFonts w:eastAsia="仿宋_GB2312"/>
                <w:b/>
                <w:bCs/>
                <w:spacing w:val="20"/>
                <w:sz w:val="32"/>
                <w:szCs w:val="32"/>
              </w:rPr>
              <w:t>2024年8月</w:t>
            </w:r>
          </w:p>
        </w:tc>
      </w:tr>
    </w:tbl>
    <w:p>
      <w:pPr>
        <w:widowControl/>
        <w:spacing w:beforeAutospacing="1" w:afterAutospacing="1" w:line="360" w:lineRule="auto"/>
        <w:ind w:firstLine="420" w:firstLineChars="200"/>
        <w:jc w:val="left"/>
        <w:rPr>
          <w:rFonts w:eastAsia="仿宋_GB2312"/>
        </w:rPr>
        <w:sectPr>
          <w:footerReference r:id="rId3" w:type="default"/>
          <w:pgSz w:w="11906" w:h="16838"/>
          <w:pgMar w:top="1440" w:right="1800" w:bottom="1440" w:left="1800" w:header="0" w:footer="0" w:gutter="0"/>
          <w:pgNumType w:start="0"/>
          <w:cols w:space="720" w:num="1"/>
          <w:titlePg/>
          <w:docGrid w:type="lines" w:linePitch="312" w:charSpace="0"/>
        </w:sectPr>
      </w:pPr>
      <w:r>
        <w:rPr>
          <w:rFonts w:eastAsia="仿宋_GB231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-450215</wp:posOffset>
                </wp:positionH>
                <wp:positionV relativeFrom="paragraph">
                  <wp:posOffset>2368550</wp:posOffset>
                </wp:positionV>
                <wp:extent cx="5722620" cy="1305560"/>
                <wp:effectExtent l="0" t="0" r="0" b="952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130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/>
                              </w:rPr>
                              <w:t>数字电网科技公司2024年绿色</w:t>
                            </w: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 w:eastAsia="zh-CN"/>
                              </w:rPr>
                              <w:t>报告</w:t>
                            </w: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/>
                              </w:rPr>
                              <w:t>评估咨询服务零星采购项目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45pt;margin-top:186.5pt;height:102.8pt;width:450.6pt;mso-position-horizontal-relative:margin;z-index:251661312;mso-width-relative:page;mso-height-relative:page;" filled="f" stroked="f" coordsize="21600,21600" o:gfxdata="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CLrqv7cAAAACwEAAA8AAAAAAAAA&#10;AQAgAAAAIgAAAGRycy9kb3ducmV2LnhtbFBLAQIUABQAAAAIAIdO4kBRqnSzDQIAAAkEAAAOAAAA&#10;AAAAAAEAIAAAACsBAABkcnMvZTJvRG9jLnhtbFBLBQYAAAAABgAGAFkBAACq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/>
                        </w:rPr>
                        <w:t>数字电网科技公司2024年绿色</w:t>
                      </w: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 w:eastAsia="zh-CN"/>
                        </w:rPr>
                        <w:t>报告</w:t>
                      </w: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/>
                        </w:rPr>
                        <w:t>评估咨询服务零星采购项目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仿宋_GB23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2524125</wp:posOffset>
                </wp:positionH>
                <wp:positionV relativeFrom="paragraph">
                  <wp:posOffset>3898900</wp:posOffset>
                </wp:positionV>
                <wp:extent cx="3636010" cy="124650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6010" cy="1246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72"/>
                              </w:rPr>
                              <w:t>技术</w:t>
                            </w:r>
                            <w:r>
                              <w:rPr>
                                <w:b/>
                                <w:sz w:val="72"/>
                              </w:rPr>
                              <w:t>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8.75pt;margin-top:307pt;height:98.15pt;width:286.3pt;mso-position-horizontal-relative:margin;z-index:251659264;mso-width-relative:page;mso-height-relative:page;" filled="f" stroked="f" coordsize="21600,21600" o:gfxdata="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irDHg2AAAAAsBAAAP&#10;AAAAAAAAAAEAIAAAACIAAABkcnMvZG93bnJldi54bWxQSwECFAAUAAAACACHTuJA1TwR8RgCAAAW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72"/>
                        </w:rPr>
                      </w:pPr>
                      <w:r>
                        <w:rPr>
                          <w:rFonts w:hint="eastAsia"/>
                          <w:b/>
                          <w:sz w:val="72"/>
                        </w:rPr>
                        <w:t>技术</w:t>
                      </w:r>
                      <w:r>
                        <w:rPr>
                          <w:b/>
                          <w:sz w:val="72"/>
                        </w:rPr>
                        <w:t>规范书</w:t>
                      </w:r>
                    </w:p>
                  </w:txbxContent>
                </v:textbox>
              </v:shape>
            </w:pict>
          </mc:Fallback>
        </mc:AlternateContent>
      </w:r>
    </w:p>
    <w:sdt>
      <w:sdtPr>
        <w:rPr>
          <w:rFonts w:ascii="Times New Roman" w:hAnsi="Times New Roman" w:eastAsia="仿宋_GB2312" w:cs="Times New Roman"/>
          <w:b/>
          <w:bCs/>
          <w:color w:val="auto"/>
          <w:kern w:val="2"/>
          <w:sz w:val="21"/>
          <w:szCs w:val="22"/>
          <w:lang w:val="zh-CN"/>
        </w:rPr>
        <w:id w:val="1240531513"/>
      </w:sdtPr>
      <w:sdtEndPr>
        <w:rPr>
          <w:rFonts w:ascii="Times New Roman" w:hAnsi="Times New Roman" w:eastAsia="仿宋_GB2312" w:cs="Times New Roman"/>
          <w:b/>
          <w:bCs/>
          <w:color w:val="auto"/>
          <w:kern w:val="2"/>
          <w:sz w:val="21"/>
          <w:szCs w:val="22"/>
          <w:lang w:val="zh-CN"/>
        </w:rPr>
      </w:sdtEndPr>
      <w:sdtContent>
        <w:p>
          <w:pPr>
            <w:pStyle w:val="26"/>
            <w:spacing w:line="360" w:lineRule="auto"/>
            <w:ind w:firstLine="422" w:firstLineChars="200"/>
            <w:jc w:val="center"/>
            <w:rPr>
              <w:rFonts w:ascii="Times New Roman" w:hAnsi="Times New Roman" w:eastAsia="仿宋_GB2312" w:cs="Times New Roman"/>
              <w:b/>
              <w:bCs/>
              <w:color w:val="auto"/>
            </w:rPr>
          </w:pPr>
          <w:r>
            <w:rPr>
              <w:rFonts w:ascii="Times New Roman" w:hAnsi="Times New Roman" w:eastAsia="仿宋_GB2312" w:cs="Times New Roman"/>
              <w:b/>
              <w:bCs/>
              <w:color w:val="auto"/>
              <w:lang w:val="zh-CN"/>
            </w:rPr>
            <w:t>目录</w:t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ascii="Times New Roman" w:hAnsi="Times New Roman" w:eastAsia="仿宋_GB2312"/>
            </w:rPr>
            <w:fldChar w:fldCharType="begin"/>
          </w:r>
          <w:r>
            <w:rPr>
              <w:rFonts w:ascii="Times New Roman" w:hAnsi="Times New Roman" w:eastAsia="仿宋_GB2312"/>
            </w:rPr>
            <w:instrText xml:space="preserve"> TOC \o "1-3" \h \z \u </w:instrText>
          </w:r>
          <w:r>
            <w:rPr>
              <w:rFonts w:ascii="Times New Roman" w:hAnsi="Times New Roman" w:eastAsia="仿宋_GB2312"/>
            </w:rPr>
            <w:fldChar w:fldCharType="separate"/>
          </w:r>
          <w:r>
            <w:rPr>
              <w:rFonts w:ascii="Times New Roman" w:hAnsi="Times New Roman" w:eastAsia="仿宋_GB2312"/>
            </w:rPr>
            <w:fldChar w:fldCharType="begin"/>
          </w:r>
          <w:r>
            <w:rPr>
              <w:rFonts w:ascii="Times New Roman" w:hAnsi="Times New Roman" w:eastAsia="仿宋_GB2312"/>
            </w:rPr>
            <w:instrText xml:space="preserve"> HYPERLINK \l _Toc30931 </w:instrText>
          </w:r>
          <w:r>
            <w:rPr>
              <w:rFonts w:ascii="Times New Roman" w:hAnsi="Times New Roman" w:eastAsia="仿宋_GB2312"/>
            </w:rPr>
            <w:fldChar w:fldCharType="separate"/>
          </w:r>
          <w:r>
            <w:rPr>
              <w:rFonts w:hint="eastAsia" w:eastAsia="仿宋_GB2312"/>
              <w:szCs w:val="32"/>
              <w:lang w:val="en-US" w:eastAsia="zh-CN"/>
            </w:rPr>
            <w:t>一、总则</w:t>
          </w:r>
          <w:r>
            <w:tab/>
          </w:r>
          <w:r>
            <w:fldChar w:fldCharType="begin"/>
          </w:r>
          <w:r>
            <w:instrText xml:space="preserve"> PAGEREF _Toc30931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Times New Roman" w:hAnsi="Times New Roman" w:eastAsia="仿宋_GB2312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_Toc7701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 w:ascii="Times New Roman" w:hAnsi="Times New Roman" w:eastAsia="仿宋_GB2312" w:cs="Times New Roman"/>
              <w:lang w:val="en-US" w:eastAsia="zh-CN"/>
            </w:rPr>
            <w:t>1.概述</w:t>
          </w:r>
          <w:r>
            <w:tab/>
          </w:r>
          <w:r>
            <w:fldChar w:fldCharType="begin"/>
          </w:r>
          <w:r>
            <w:instrText xml:space="preserve"> PAGEREF _Toc7701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_Toc27965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 w:ascii="Times New Roman" w:hAnsi="Times New Roman" w:eastAsia="仿宋_GB2312" w:cs="Times New Roman"/>
              <w:lang w:val="en-US" w:eastAsia="zh-CN"/>
            </w:rPr>
            <w:t>2.采购范围</w:t>
          </w:r>
          <w:r>
            <w:tab/>
          </w:r>
          <w:r>
            <w:fldChar w:fldCharType="begin"/>
          </w:r>
          <w:r>
            <w:instrText xml:space="preserve"> PAGEREF _Toc27965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_Toc9391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eastAsia="仿宋_GB2312"/>
              <w:szCs w:val="32"/>
            </w:rPr>
            <w:t>二、项目内容及要求</w:t>
          </w:r>
          <w:r>
            <w:tab/>
          </w:r>
          <w:r>
            <w:fldChar w:fldCharType="begin"/>
          </w:r>
          <w:r>
            <w:instrText xml:space="preserve"> PAGEREF _Toc9391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_Toc10890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ascii="Times New Roman" w:hAnsi="Times New Roman" w:eastAsia="仿宋_GB2312" w:cs="Times New Roman"/>
            </w:rPr>
            <w:t>（一）项目内容</w:t>
          </w:r>
          <w:r>
            <w:tab/>
          </w:r>
          <w:r>
            <w:fldChar w:fldCharType="begin"/>
          </w:r>
          <w:r>
            <w:instrText xml:space="preserve"> PAGEREF _Toc10890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14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_Toc915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 w:ascii="Times New Roman" w:hAnsi="Times New Roman" w:eastAsia="仿宋_GB2312" w:cs="Times New Roman"/>
            </w:rPr>
            <w:t xml:space="preserve">（二） </w:t>
          </w:r>
          <w:r>
            <w:rPr>
              <w:rFonts w:ascii="Times New Roman" w:hAnsi="Times New Roman" w:eastAsia="仿宋_GB2312" w:cs="Times New Roman"/>
            </w:rPr>
            <w:t>项目要求</w:t>
          </w:r>
          <w:r>
            <w:tab/>
          </w:r>
          <w:r>
            <w:fldChar w:fldCharType="begin"/>
          </w:r>
          <w:r>
            <w:instrText xml:space="preserve"> PAGEREF _Toc915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_Toc11033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 w:ascii="Times New Roman" w:hAnsi="Times New Roman" w:eastAsia="仿宋_GB2312" w:cs="Times New Roman"/>
              <w:lang w:val="en-US" w:eastAsia="zh-CN"/>
            </w:rPr>
            <w:t>1.概述</w:t>
          </w:r>
          <w:r>
            <w:tab/>
          </w:r>
          <w:r>
            <w:fldChar w:fldCharType="begin"/>
          </w:r>
          <w:r>
            <w:instrText xml:space="preserve"> PAGEREF _Toc11033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_Toc1361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 w:ascii="Times New Roman" w:hAnsi="Times New Roman" w:eastAsia="仿宋_GB2312" w:cs="Times New Roman"/>
              <w:lang w:val="en-US" w:eastAsia="zh-CN"/>
            </w:rPr>
            <w:t>2.项目的进度安排</w:t>
          </w:r>
          <w:r>
            <w:tab/>
          </w:r>
          <w:r>
            <w:fldChar w:fldCharType="begin"/>
          </w:r>
          <w:r>
            <w:instrText xml:space="preserve"> PAGEREF _Toc1361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_Toc2624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 w:ascii="Times New Roman" w:hAnsi="Times New Roman" w:eastAsia="仿宋_GB2312" w:cs="Times New Roman"/>
              <w:lang w:val="en-US" w:eastAsia="zh-CN"/>
            </w:rPr>
            <w:t>3</w:t>
          </w:r>
          <w:r>
            <w:rPr>
              <w:rFonts w:hint="eastAsia" w:ascii="Times New Roman" w:hAnsi="Times New Roman" w:eastAsia="仿宋_GB2312" w:cs="Times New Roman"/>
            </w:rPr>
            <w:t>.项目管理</w:t>
          </w:r>
          <w:r>
            <w:tab/>
          </w:r>
          <w:r>
            <w:fldChar w:fldCharType="begin"/>
          </w:r>
          <w:r>
            <w:instrText xml:space="preserve"> PAGEREF _Toc2624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_Toc28384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 xml:space="preserve">4. </w:t>
          </w:r>
          <w:r>
            <w:rPr>
              <w:rFonts w:hint="eastAsia" w:eastAsia="仿宋_GB2312" w:cs="Times New Roman"/>
              <w:lang w:val="en-US" w:eastAsia="zh-CN"/>
            </w:rPr>
            <w:t>质量保证及管理要求</w:t>
          </w:r>
          <w:r>
            <w:tab/>
          </w:r>
          <w:r>
            <w:fldChar w:fldCharType="begin"/>
          </w:r>
          <w:r>
            <w:instrText xml:space="preserve"> PAGEREF _Toc28384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_Toc7204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 xml:space="preserve">5. </w:t>
          </w:r>
          <w:r>
            <w:rPr>
              <w:rFonts w:hint="eastAsia" w:eastAsia="仿宋_GB2312" w:cs="Times New Roman"/>
              <w:lang w:val="en-US" w:eastAsia="zh-CN"/>
            </w:rPr>
            <w:t>提供技术服务承诺</w:t>
          </w:r>
          <w:r>
            <w:tab/>
          </w:r>
          <w:r>
            <w:fldChar w:fldCharType="begin"/>
          </w:r>
          <w:r>
            <w:instrText xml:space="preserve"> PAGEREF _Toc7204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_Toc8861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hint="eastAsia" w:eastAsia="仿宋_GB2312" w:cs="Times New Roman"/>
              <w:lang w:val="en-US" w:eastAsia="zh-CN"/>
            </w:rPr>
            <w:t>6. 项目服务进度要求</w:t>
          </w:r>
          <w:r>
            <w:tab/>
          </w:r>
          <w:r>
            <w:fldChar w:fldCharType="begin"/>
          </w:r>
          <w:r>
            <w:instrText xml:space="preserve"> PAGEREF _Toc8861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_Toc17751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eastAsia="仿宋_GB2312"/>
              <w:szCs w:val="32"/>
            </w:rPr>
            <w:t>三、</w:t>
          </w:r>
          <w:r>
            <w:rPr>
              <w:rFonts w:hint="eastAsia" w:eastAsia="仿宋_GB2312"/>
              <w:szCs w:val="32"/>
              <w:lang w:val="en-US" w:eastAsia="zh-CN"/>
            </w:rPr>
            <w:t>交付物</w:t>
          </w:r>
          <w:r>
            <w:tab/>
          </w:r>
          <w:r>
            <w:fldChar w:fldCharType="begin"/>
          </w:r>
          <w:r>
            <w:instrText xml:space="preserve"> PAGEREF _Toc17751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pStyle w:val="13"/>
            <w:tabs>
              <w:tab w:val="right" w:leader="dot" w:pos="8306"/>
            </w:tabs>
          </w:pPr>
          <w:r>
            <w:rPr>
              <w:rFonts w:eastAsia="仿宋_GB2312"/>
              <w:bCs/>
              <w:lang w:val="zh-CN"/>
            </w:rPr>
            <w:fldChar w:fldCharType="begin"/>
          </w:r>
          <w:r>
            <w:rPr>
              <w:rFonts w:eastAsia="仿宋_GB2312"/>
              <w:bCs/>
              <w:lang w:val="zh-CN"/>
            </w:rPr>
            <w:instrText xml:space="preserve"> HYPERLINK \l _Toc22505 </w:instrText>
          </w:r>
          <w:r>
            <w:rPr>
              <w:rFonts w:eastAsia="仿宋_GB2312"/>
              <w:bCs/>
              <w:lang w:val="zh-CN"/>
            </w:rPr>
            <w:fldChar w:fldCharType="separate"/>
          </w:r>
          <w:r>
            <w:rPr>
              <w:rFonts w:eastAsia="仿宋_GB2312"/>
              <w:szCs w:val="32"/>
            </w:rPr>
            <w:t>四、</w:t>
          </w:r>
          <w:r>
            <w:rPr>
              <w:rFonts w:hint="eastAsia" w:eastAsia="仿宋_GB2312"/>
              <w:szCs w:val="32"/>
              <w:lang w:val="en-US" w:eastAsia="zh-CN"/>
            </w:rPr>
            <w:t>安全</w:t>
          </w:r>
          <w:r>
            <w:rPr>
              <w:rFonts w:eastAsia="仿宋_GB2312"/>
              <w:szCs w:val="32"/>
            </w:rPr>
            <w:t>保密</w:t>
          </w:r>
          <w:r>
            <w:rPr>
              <w:rFonts w:hint="eastAsia" w:eastAsia="仿宋_GB2312"/>
              <w:szCs w:val="32"/>
              <w:lang w:val="en-US" w:eastAsia="zh-CN"/>
            </w:rPr>
            <w:t>要求</w:t>
          </w:r>
          <w:r>
            <w:tab/>
          </w:r>
          <w:r>
            <w:fldChar w:fldCharType="begin"/>
          </w:r>
          <w:r>
            <w:instrText xml:space="preserve"> PAGEREF _Toc22505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eastAsia="仿宋_GB2312"/>
              <w:bCs/>
              <w:lang w:val="zh-CN"/>
            </w:rPr>
            <w:fldChar w:fldCharType="end"/>
          </w:r>
        </w:p>
        <w:p>
          <w:pPr>
            <w:spacing w:line="360" w:lineRule="auto"/>
            <w:ind w:firstLine="420" w:firstLineChars="200"/>
            <w:jc w:val="center"/>
            <w:rPr>
              <w:rFonts w:eastAsia="仿宋_GB2312"/>
            </w:rPr>
          </w:pPr>
          <w:r>
            <w:rPr>
              <w:rFonts w:eastAsia="仿宋_GB2312"/>
              <w:bCs/>
              <w:lang w:val="zh-CN"/>
            </w:rPr>
            <w:fldChar w:fldCharType="end"/>
          </w:r>
        </w:p>
      </w:sdtContent>
    </w:sdt>
    <w:p>
      <w:pPr>
        <w:pStyle w:val="5"/>
        <w:spacing w:line="360" w:lineRule="auto"/>
        <w:ind w:firstLine="643" w:firstLineChars="200"/>
        <w:rPr>
          <w:rFonts w:ascii="Times New Roman" w:hAnsi="Times New Roman" w:eastAsia="仿宋_GB2312" w:cs="Times New Roman"/>
        </w:rPr>
        <w:sectPr>
          <w:footerReference r:id="rId4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pStyle w:val="4"/>
        <w:spacing w:line="360" w:lineRule="auto"/>
        <w:rPr>
          <w:rFonts w:hint="default" w:eastAsia="仿宋_GB2312"/>
          <w:sz w:val="32"/>
          <w:szCs w:val="32"/>
          <w:lang w:val="en-US" w:eastAsia="zh-CN"/>
        </w:rPr>
      </w:pPr>
      <w:bookmarkStart w:id="0" w:name="_Toc30931"/>
      <w:r>
        <w:rPr>
          <w:rFonts w:hint="eastAsia" w:eastAsia="仿宋_GB2312"/>
          <w:sz w:val="32"/>
          <w:szCs w:val="32"/>
          <w:lang w:val="en-US" w:eastAsia="zh-CN"/>
        </w:rPr>
        <w:t>一、总则</w:t>
      </w:r>
      <w:bookmarkEnd w:id="0"/>
    </w:p>
    <w:p>
      <w:pPr>
        <w:pStyle w:val="6"/>
        <w:spacing w:before="0" w:after="0" w:line="360" w:lineRule="auto"/>
        <w:ind w:firstLine="643" w:firstLineChars="200"/>
        <w:rPr>
          <w:rFonts w:hint="default" w:ascii="Times New Roman" w:hAnsi="Times New Roman" w:eastAsia="仿宋_GB2312" w:cs="Times New Roman"/>
          <w:lang w:val="en-US" w:eastAsia="zh-CN"/>
        </w:rPr>
      </w:pPr>
      <w:bookmarkStart w:id="1" w:name="_Toc7701"/>
      <w:r>
        <w:rPr>
          <w:rFonts w:hint="eastAsia" w:ascii="Times New Roman" w:hAnsi="Times New Roman" w:eastAsia="仿宋_GB2312" w:cs="Times New Roman"/>
          <w:lang w:val="en-US" w:eastAsia="zh-CN"/>
        </w:rPr>
        <w:t>1.概述</w:t>
      </w:r>
      <w:bookmarkEnd w:id="1"/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bookmarkStart w:id="2" w:name="_Toc8165"/>
      <w:r>
        <w:rPr>
          <w:rFonts w:hint="eastAsia" w:eastAsia="仿宋_GB2312"/>
          <w:sz w:val="28"/>
          <w:szCs w:val="28"/>
          <w:lang w:val="en-US"/>
        </w:rPr>
        <w:t>1）本文件适用于南方电网数字电网科技（广东）有限公司（以下简称采购方）2024年绿色报告评估咨询服务零星采购项目，本文件的最终解释权归南方电网数字电网科技（广东）有限公司。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r>
        <w:rPr>
          <w:rFonts w:hint="eastAsia" w:eastAsia="仿宋_GB2312"/>
          <w:sz w:val="28"/>
          <w:szCs w:val="28"/>
          <w:lang w:val="en-US"/>
        </w:rPr>
        <w:t>2）响应方可以就采购方认为的遗漏项目提请采购方注意，并详细说明理由。采购方将就此进行澄清。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r>
        <w:rPr>
          <w:rFonts w:hint="eastAsia" w:eastAsia="仿宋_GB2312"/>
          <w:sz w:val="28"/>
          <w:szCs w:val="28"/>
          <w:lang w:val="en-US"/>
        </w:rPr>
        <w:t>3）响应方应保证所提供的所有资料真实、完整、准确无误，否则采购方将有权取消响应方的响应资格，由此产生的一切后果由响应方承担。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r>
        <w:rPr>
          <w:rFonts w:hint="eastAsia" w:eastAsia="仿宋_GB2312"/>
          <w:sz w:val="28"/>
          <w:szCs w:val="28"/>
          <w:lang w:val="en-US"/>
        </w:rPr>
        <w:t>4）采购方在任何时候保留和拥有对本技术规范书的解释权。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r>
        <w:rPr>
          <w:rFonts w:hint="eastAsia" w:eastAsia="仿宋_GB2312"/>
          <w:sz w:val="28"/>
          <w:szCs w:val="28"/>
          <w:lang w:val="en-US"/>
        </w:rPr>
        <w:t>5）响应方未经采购方同意，不得以任何形式向第三方公开本技术规范书。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r>
        <w:rPr>
          <w:rFonts w:hint="eastAsia" w:eastAsia="仿宋_GB2312"/>
          <w:sz w:val="28"/>
          <w:szCs w:val="28"/>
          <w:lang w:val="en-US"/>
        </w:rPr>
        <w:t>6）本技术规范书解释权属采购方所有。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7</w:t>
      </w:r>
      <w:r>
        <w:rPr>
          <w:rFonts w:hint="eastAsia" w:eastAsia="仿宋_GB2312"/>
          <w:sz w:val="28"/>
          <w:szCs w:val="28"/>
          <w:lang w:val="en-US"/>
        </w:rPr>
        <w:t>）响应方充分理解本项目的项目背景、项目目标等</w:t>
      </w:r>
      <w:r>
        <w:rPr>
          <w:rFonts w:hint="eastAsia" w:eastAsia="仿宋_GB2312"/>
          <w:sz w:val="28"/>
          <w:szCs w:val="28"/>
          <w:lang w:val="en-US" w:eastAsia="zh-CN"/>
        </w:rPr>
        <w:t>。</w:t>
      </w:r>
    </w:p>
    <w:p>
      <w:pPr>
        <w:pStyle w:val="6"/>
        <w:spacing w:before="0" w:after="0" w:line="360" w:lineRule="auto"/>
        <w:ind w:firstLine="643" w:firstLineChars="200"/>
        <w:rPr>
          <w:rFonts w:hint="eastAsia" w:ascii="Times New Roman" w:hAnsi="Times New Roman" w:eastAsia="仿宋_GB2312" w:cs="Times New Roman"/>
          <w:lang w:val="en-US" w:eastAsia="zh-CN"/>
        </w:rPr>
      </w:pPr>
      <w:bookmarkStart w:id="3" w:name="_Toc27965"/>
      <w:r>
        <w:rPr>
          <w:rFonts w:hint="eastAsia" w:ascii="Times New Roman" w:hAnsi="Times New Roman" w:eastAsia="仿宋_GB2312" w:cs="Times New Roman"/>
          <w:lang w:val="en-US" w:eastAsia="zh-CN"/>
        </w:rPr>
        <w:t>2.采购范围</w:t>
      </w:r>
      <w:bookmarkEnd w:id="3"/>
    </w:p>
    <w:p>
      <w:pPr>
        <w:pStyle w:val="2"/>
        <w:spacing w:line="360" w:lineRule="auto"/>
        <w:ind w:firstLine="560" w:firstLineChars="200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开展数字电网科技公司2024年绿色报告评估咨询服务采购，本次采购服务范围包括绿色运输报告、安全可靠性评价报告、绿色包装评价报告评估咨询服务。</w:t>
      </w:r>
    </w:p>
    <w:p>
      <w:pPr>
        <w:rPr>
          <w:rFonts w:hint="eastAsia"/>
          <w:lang w:val="en-US" w:eastAsia="zh-CN"/>
        </w:rPr>
      </w:pPr>
    </w:p>
    <w:bookmarkEnd w:id="2"/>
    <w:p>
      <w:pPr>
        <w:pStyle w:val="4"/>
        <w:spacing w:line="360" w:lineRule="auto"/>
        <w:rPr>
          <w:rFonts w:eastAsia="仿宋_GB2312"/>
          <w:sz w:val="32"/>
          <w:szCs w:val="32"/>
        </w:rPr>
      </w:pPr>
      <w:bookmarkStart w:id="4" w:name="_Toc9391"/>
      <w:r>
        <w:rPr>
          <w:rFonts w:eastAsia="仿宋_GB2312"/>
          <w:sz w:val="32"/>
          <w:szCs w:val="32"/>
        </w:rPr>
        <w:t>二、项目内容及要求</w:t>
      </w:r>
      <w:bookmarkEnd w:id="4"/>
    </w:p>
    <w:p>
      <w:pPr>
        <w:pStyle w:val="5"/>
        <w:spacing w:line="360" w:lineRule="auto"/>
        <w:rPr>
          <w:rFonts w:ascii="Times New Roman" w:hAnsi="Times New Roman" w:eastAsia="仿宋_GB2312" w:cs="Times New Roman"/>
        </w:rPr>
      </w:pPr>
      <w:bookmarkStart w:id="5" w:name="_Toc10890"/>
      <w:r>
        <w:rPr>
          <w:rFonts w:ascii="Times New Roman" w:hAnsi="Times New Roman" w:eastAsia="仿宋_GB2312" w:cs="Times New Roman"/>
        </w:rPr>
        <w:t>（一）项目内容</w:t>
      </w:r>
      <w:bookmarkEnd w:id="5"/>
    </w:p>
    <w:p>
      <w:pPr>
        <w:pStyle w:val="2"/>
        <w:spacing w:line="360" w:lineRule="auto"/>
        <w:ind w:firstLine="560" w:firstLineChars="200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开展数字电网科技公司2024年绿色报告评估咨询服务采购，本项目响应方需交付绿色运输报告、安全可靠性评价报告、绿色包装评价报告共三份报告。</w:t>
      </w:r>
    </w:p>
    <w:p>
      <w:pPr>
        <w:pStyle w:val="5"/>
        <w:numPr>
          <w:ilvl w:val="0"/>
          <w:numId w:val="2"/>
        </w:numPr>
        <w:spacing w:line="360" w:lineRule="auto"/>
        <w:rPr>
          <w:rFonts w:ascii="Times New Roman" w:hAnsi="Times New Roman" w:eastAsia="仿宋_GB2312" w:cs="Times New Roman"/>
        </w:rPr>
      </w:pPr>
      <w:bookmarkStart w:id="6" w:name="_Toc915"/>
      <w:r>
        <w:rPr>
          <w:rFonts w:ascii="Times New Roman" w:hAnsi="Times New Roman" w:eastAsia="仿宋_GB2312" w:cs="Times New Roman"/>
        </w:rPr>
        <w:t>项目要求</w:t>
      </w:r>
      <w:bookmarkEnd w:id="6"/>
    </w:p>
    <w:p>
      <w:pPr>
        <w:pStyle w:val="6"/>
        <w:spacing w:before="0" w:after="0" w:line="360" w:lineRule="auto"/>
        <w:ind w:firstLine="643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bookmarkStart w:id="7" w:name="_Toc11033"/>
      <w:r>
        <w:rPr>
          <w:rFonts w:hint="eastAsia" w:ascii="Times New Roman" w:hAnsi="Times New Roman" w:eastAsia="仿宋_GB2312" w:cs="Times New Roman"/>
          <w:lang w:val="en-US" w:eastAsia="zh-CN"/>
        </w:rPr>
        <w:t>1.概述</w:t>
      </w:r>
      <w:bookmarkEnd w:id="7"/>
    </w:p>
    <w:p>
      <w:pPr>
        <w:pStyle w:val="2"/>
        <w:spacing w:line="360" w:lineRule="auto"/>
        <w:ind w:firstLine="560" w:firstLineChars="200"/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8"/>
          <w:lang w:val="en-US"/>
        </w:rPr>
        <w:t>阐明对本项目的理解。</w:t>
      </w:r>
    </w:p>
    <w:p>
      <w:pPr>
        <w:pStyle w:val="6"/>
        <w:spacing w:before="0" w:after="0" w:line="360" w:lineRule="auto"/>
        <w:ind w:firstLine="643" w:firstLineChars="200"/>
        <w:rPr>
          <w:rFonts w:hint="eastAsia" w:ascii="Times New Roman" w:hAnsi="Times New Roman" w:eastAsia="仿宋_GB2312" w:cs="Times New Roman"/>
          <w:lang w:val="en-US" w:eastAsia="zh-CN"/>
        </w:rPr>
      </w:pPr>
      <w:bookmarkStart w:id="8" w:name="_Toc1361"/>
      <w:r>
        <w:rPr>
          <w:rFonts w:hint="eastAsia" w:ascii="Times New Roman" w:hAnsi="Times New Roman" w:eastAsia="仿宋_GB2312" w:cs="Times New Roman"/>
          <w:lang w:val="en-US" w:eastAsia="zh-CN"/>
        </w:rPr>
        <w:t>2.项目的进度安排</w:t>
      </w:r>
      <w:bookmarkEnd w:id="8"/>
    </w:p>
    <w:p>
      <w:pPr>
        <w:pStyle w:val="2"/>
        <w:spacing w:line="360" w:lineRule="auto"/>
        <w:ind w:firstLine="560" w:firstLineChars="200"/>
      </w:pPr>
      <w:r>
        <w:rPr>
          <w:rFonts w:hint="eastAsia" w:ascii="Times New Roman" w:hAnsi="Times New Roman" w:eastAsia="仿宋_GB2312" w:cs="Times New Roman"/>
          <w:sz w:val="28"/>
          <w:szCs w:val="28"/>
          <w:lang w:val="en-US"/>
        </w:rPr>
        <w:t>提交详细的项目进度计划</w:t>
      </w:r>
      <w:r>
        <w:rPr>
          <w:rFonts w:hint="eastAsia" w:eastAsia="仿宋_GB2312" w:cs="Times New Roman"/>
          <w:sz w:val="28"/>
          <w:szCs w:val="28"/>
          <w:lang w:val="en-US" w:eastAsia="zh-CN"/>
        </w:rPr>
        <w:t>、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/>
        </w:rPr>
        <w:t>服务保证措施、明确里程碑。</w:t>
      </w:r>
    </w:p>
    <w:p>
      <w:pPr>
        <w:pStyle w:val="6"/>
        <w:spacing w:before="0" w:after="0" w:line="360" w:lineRule="auto"/>
        <w:ind w:firstLine="643" w:firstLineChars="200"/>
        <w:rPr>
          <w:rFonts w:hint="eastAsia" w:ascii="Times New Roman" w:hAnsi="Times New Roman" w:eastAsia="仿宋_GB2312" w:cs="Times New Roman"/>
        </w:rPr>
      </w:pPr>
      <w:bookmarkStart w:id="9" w:name="_Toc2624"/>
      <w:r>
        <w:rPr>
          <w:rFonts w:hint="eastAsia" w:ascii="Times New Roman" w:hAnsi="Times New Roman" w:eastAsia="仿宋_GB2312" w:cs="Times New Roman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</w:rPr>
        <w:t>.项目管理</w:t>
      </w:r>
      <w:bookmarkEnd w:id="9"/>
    </w:p>
    <w:p>
      <w:pPr>
        <w:pStyle w:val="2"/>
        <w:spacing w:line="360" w:lineRule="auto"/>
        <w:ind w:firstLine="560" w:firstLineChars="200"/>
        <w:rPr>
          <w:rFonts w:hint="eastAsia" w:ascii="Times New Roman" w:hAnsi="Times New Roman" w:eastAsia="仿宋_GB2312" w:cs="Times New Roman"/>
          <w:sz w:val="28"/>
          <w:szCs w:val="28"/>
          <w:lang w:val="en-US"/>
        </w:rPr>
      </w:pPr>
      <w:r>
        <w:rPr>
          <w:rFonts w:hint="eastAsia" w:ascii="Times New Roman" w:hAnsi="Times New Roman" w:eastAsia="仿宋_GB2312" w:cs="Times New Roman"/>
          <w:sz w:val="28"/>
          <w:szCs w:val="28"/>
          <w:lang w:val="en-US"/>
        </w:rPr>
        <w:t>提供本项目组织的详细资料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/>
        </w:rPr>
        <w:t>包括拟派参加本项目的人员名单以及参加人员的资料，提供的资料包括但不限资质证书、学历证书、本项目担任职位等。</w:t>
      </w:r>
    </w:p>
    <w:p>
      <w:pPr>
        <w:pStyle w:val="6"/>
        <w:numPr>
          <w:ilvl w:val="0"/>
          <w:numId w:val="3"/>
        </w:numPr>
        <w:spacing w:before="0" w:after="0" w:line="360" w:lineRule="auto"/>
        <w:ind w:firstLine="643" w:firstLineChars="200"/>
        <w:rPr>
          <w:rFonts w:hint="eastAsia"/>
          <w:lang w:val="en-US" w:eastAsia="zh-CN"/>
        </w:rPr>
      </w:pPr>
      <w:bookmarkStart w:id="10" w:name="_Toc28384"/>
      <w:r>
        <w:rPr>
          <w:rFonts w:hint="eastAsia" w:eastAsia="仿宋_GB2312" w:cs="Times New Roman"/>
          <w:lang w:val="en-US" w:eastAsia="zh-CN"/>
        </w:rPr>
        <w:t>质量保证及管理要求</w:t>
      </w:r>
      <w:bookmarkEnd w:id="10"/>
    </w:p>
    <w:p>
      <w:pPr>
        <w:pStyle w:val="2"/>
        <w:spacing w:line="360" w:lineRule="auto"/>
        <w:ind w:firstLine="560" w:firstLineChars="200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hint="default" w:eastAsia="仿宋_GB2312"/>
          <w:sz w:val="28"/>
          <w:szCs w:val="28"/>
          <w:lang w:val="en-US" w:eastAsia="zh-CN"/>
        </w:rPr>
        <w:t>1) 响应方应保证根据委托需要，</w:t>
      </w:r>
      <w:r>
        <w:rPr>
          <w:rFonts w:hint="eastAsia" w:eastAsia="仿宋_GB2312"/>
          <w:sz w:val="28"/>
          <w:szCs w:val="28"/>
          <w:lang w:val="en-US" w:eastAsia="zh-CN"/>
        </w:rPr>
        <w:t>出具</w:t>
      </w:r>
      <w:r>
        <w:rPr>
          <w:rFonts w:hint="default" w:eastAsia="仿宋_GB2312"/>
          <w:sz w:val="28"/>
          <w:szCs w:val="28"/>
          <w:lang w:val="en-US" w:eastAsia="zh-CN"/>
        </w:rPr>
        <w:t>高质</w:t>
      </w:r>
      <w:r>
        <w:rPr>
          <w:rFonts w:hint="eastAsia" w:eastAsia="仿宋_GB2312"/>
          <w:sz w:val="28"/>
          <w:szCs w:val="28"/>
          <w:lang w:val="en-US" w:eastAsia="zh-CN"/>
        </w:rPr>
        <w:t>评估报告</w:t>
      </w:r>
      <w:r>
        <w:rPr>
          <w:rFonts w:hint="default" w:eastAsia="仿宋_GB2312"/>
          <w:sz w:val="28"/>
          <w:szCs w:val="28"/>
          <w:lang w:val="en-US" w:eastAsia="zh-CN"/>
        </w:rPr>
        <w:t xml:space="preserve">。 </w:t>
      </w:r>
    </w:p>
    <w:p>
      <w:pPr>
        <w:pStyle w:val="2"/>
        <w:spacing w:line="360" w:lineRule="auto"/>
        <w:ind w:firstLine="560" w:firstLineChars="200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hint="default" w:eastAsia="仿宋_GB2312"/>
          <w:sz w:val="28"/>
          <w:szCs w:val="28"/>
          <w:lang w:val="en-US" w:eastAsia="zh-CN"/>
        </w:rPr>
        <w:t>2) 响应方需提供</w:t>
      </w:r>
      <w:r>
        <w:rPr>
          <w:rFonts w:hint="eastAsia" w:eastAsia="仿宋_GB2312"/>
          <w:sz w:val="28"/>
          <w:szCs w:val="28"/>
          <w:lang w:val="en-US" w:eastAsia="zh-CN"/>
        </w:rPr>
        <w:t>报告出具</w:t>
      </w:r>
      <w:r>
        <w:rPr>
          <w:rFonts w:hint="default" w:eastAsia="仿宋_GB2312"/>
          <w:sz w:val="28"/>
          <w:szCs w:val="28"/>
          <w:lang w:val="en-US" w:eastAsia="zh-CN"/>
        </w:rPr>
        <w:t>相关说明资料，能完全满足本项目需求。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3</w:t>
      </w:r>
      <w:r>
        <w:rPr>
          <w:rFonts w:hint="default" w:eastAsia="仿宋_GB2312"/>
          <w:sz w:val="28"/>
          <w:szCs w:val="28"/>
          <w:lang w:val="en-US" w:eastAsia="zh-CN"/>
        </w:rPr>
        <w:t xml:space="preserve">) </w:t>
      </w:r>
      <w:r>
        <w:rPr>
          <w:rFonts w:hint="eastAsia" w:eastAsia="仿宋_GB2312"/>
          <w:sz w:val="28"/>
          <w:szCs w:val="28"/>
          <w:lang w:val="en-US" w:eastAsia="zh-CN"/>
        </w:rPr>
        <w:t>响应方单位技术人员在工作期间形成的工作文档归采购方所有。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4</w:t>
      </w:r>
      <w:r>
        <w:rPr>
          <w:rFonts w:hint="default" w:eastAsia="仿宋_GB2312"/>
          <w:sz w:val="28"/>
          <w:szCs w:val="28"/>
          <w:lang w:val="en-US" w:eastAsia="zh-CN"/>
        </w:rPr>
        <w:t xml:space="preserve">) </w:t>
      </w:r>
      <w:r>
        <w:rPr>
          <w:rFonts w:hint="eastAsia" w:eastAsia="仿宋_GB2312"/>
          <w:sz w:val="28"/>
          <w:szCs w:val="28"/>
          <w:lang w:val="en-US" w:eastAsia="zh-CN"/>
        </w:rPr>
        <w:t>响应方提供的技术服务，不得侵犯任何第三方的合法权益，由此而引起的纠纷或者给第三方以及采购方造成的损失，应由响应方承担全部责任。</w:t>
      </w:r>
    </w:p>
    <w:p>
      <w:pPr>
        <w:pStyle w:val="6"/>
        <w:numPr>
          <w:ilvl w:val="0"/>
          <w:numId w:val="3"/>
        </w:numPr>
        <w:spacing w:before="0" w:after="0" w:line="360" w:lineRule="auto"/>
        <w:ind w:firstLine="643" w:firstLineChars="200"/>
        <w:rPr>
          <w:rFonts w:hint="eastAsia"/>
          <w:lang w:val="en-US" w:eastAsia="zh-CN"/>
        </w:rPr>
      </w:pPr>
      <w:bookmarkStart w:id="11" w:name="_Toc7204"/>
      <w:r>
        <w:rPr>
          <w:rFonts w:hint="eastAsia" w:eastAsia="仿宋_GB2312" w:cs="Times New Roman"/>
          <w:lang w:val="en-US" w:eastAsia="zh-CN"/>
        </w:rPr>
        <w:t>提供技术服务承诺</w:t>
      </w:r>
      <w:bookmarkEnd w:id="11"/>
    </w:p>
    <w:p>
      <w:pPr>
        <w:pStyle w:val="2"/>
        <w:spacing w:line="360" w:lineRule="auto"/>
        <w:ind w:firstLine="560" w:firstLineChars="200"/>
      </w:pPr>
      <w:r>
        <w:rPr>
          <w:rFonts w:hint="eastAsia" w:ascii="Times New Roman" w:hAnsi="Times New Roman" w:eastAsia="仿宋_GB2312" w:cs="Times New Roman"/>
          <w:sz w:val="28"/>
          <w:szCs w:val="28"/>
          <w:lang w:val="en-US"/>
        </w:rPr>
        <w:t>为本项目所提供的服务的内容、服务方式和服务承诺。</w:t>
      </w:r>
    </w:p>
    <w:p>
      <w:pPr>
        <w:pStyle w:val="6"/>
        <w:numPr>
          <w:ilvl w:val="0"/>
          <w:numId w:val="3"/>
        </w:numPr>
        <w:spacing w:before="0" w:after="0" w:line="360" w:lineRule="auto"/>
        <w:ind w:firstLine="643" w:firstLineChars="200"/>
        <w:rPr>
          <w:rFonts w:hint="eastAsia" w:eastAsia="仿宋_GB2312" w:cs="Times New Roman"/>
          <w:lang w:val="en-US" w:eastAsia="zh-CN"/>
        </w:rPr>
      </w:pPr>
      <w:bookmarkStart w:id="12" w:name="_Toc8861"/>
      <w:r>
        <w:rPr>
          <w:rFonts w:hint="eastAsia" w:eastAsia="仿宋_GB2312" w:cs="Times New Roman"/>
          <w:lang w:val="en-US" w:eastAsia="zh-CN"/>
        </w:rPr>
        <w:t>项目服务进度要求</w:t>
      </w:r>
      <w:bookmarkEnd w:id="12"/>
    </w:p>
    <w:p>
      <w:pPr>
        <w:pStyle w:val="32"/>
        <w:numPr>
          <w:ilvl w:val="0"/>
          <w:numId w:val="0"/>
        </w:num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default" w:eastAsia="仿宋_GB2312"/>
          <w:sz w:val="28"/>
          <w:szCs w:val="28"/>
          <w:lang w:val="en-US" w:eastAsia="zh-CN"/>
        </w:rPr>
        <w:t xml:space="preserve">1) </w:t>
      </w:r>
      <w:r>
        <w:rPr>
          <w:rFonts w:hint="eastAsia" w:ascii="仿宋_GB2312" w:hAnsi="仿宋_GB2312" w:eastAsia="仿宋_GB2312" w:cs="仿宋_GB2312"/>
          <w:sz w:val="28"/>
          <w:szCs w:val="28"/>
        </w:rPr>
        <w:t>响应方对出具报告的时间周期应当符合采购方的相关要求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，根据采购方的计划时间，合理安排人员，并在完成与采购方约定的时间内出具报告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</w:p>
    <w:p>
      <w:pPr>
        <w:pStyle w:val="32"/>
        <w:numPr>
          <w:ilvl w:val="0"/>
          <w:numId w:val="0"/>
        </w:numPr>
        <w:ind w:left="630" w:leftChars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eastAsia="仿宋_GB2312"/>
          <w:sz w:val="28"/>
          <w:szCs w:val="28"/>
          <w:lang w:val="en-US" w:eastAsia="zh-CN"/>
        </w:rPr>
        <w:t>2</w:t>
      </w:r>
      <w:r>
        <w:rPr>
          <w:rFonts w:hint="default" w:eastAsia="仿宋_GB2312"/>
          <w:sz w:val="28"/>
          <w:szCs w:val="28"/>
          <w:lang w:val="en-US" w:eastAsia="zh-CN"/>
        </w:rPr>
        <w:t xml:space="preserve">) </w:t>
      </w:r>
      <w:r>
        <w:rPr>
          <w:rFonts w:hint="eastAsia" w:eastAsia="仿宋_GB2312"/>
          <w:sz w:val="28"/>
          <w:szCs w:val="28"/>
          <w:lang w:val="en-US" w:eastAsia="zh-CN"/>
        </w:rPr>
        <w:t>合同期限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，合同签订之日起一年。</w:t>
      </w:r>
    </w:p>
    <w:p>
      <w:pPr>
        <w:pStyle w:val="32"/>
        <w:numPr>
          <w:ilvl w:val="0"/>
          <w:numId w:val="0"/>
        </w:numPr>
        <w:ind w:left="630" w:leftChars="0"/>
        <w:rPr>
          <w:rFonts w:hint="default"/>
          <w:lang w:val="en-US" w:eastAsia="zh-CN"/>
        </w:rPr>
      </w:pPr>
      <w:r>
        <w:rPr>
          <w:rFonts w:hint="eastAsia" w:eastAsia="仿宋_GB2312"/>
          <w:sz w:val="28"/>
          <w:szCs w:val="28"/>
          <w:lang w:val="en-US" w:eastAsia="zh-CN"/>
        </w:rPr>
        <w:t>3</w:t>
      </w:r>
      <w:r>
        <w:rPr>
          <w:rFonts w:hint="default" w:eastAsia="仿宋_GB2312"/>
          <w:sz w:val="28"/>
          <w:szCs w:val="28"/>
          <w:lang w:val="en-US" w:eastAsia="zh-CN"/>
        </w:rPr>
        <w:t xml:space="preserve">)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接到采购方通知后，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响应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方应15天内完成评审，并出具报告。</w:t>
      </w:r>
    </w:p>
    <w:p>
      <w:pPr>
        <w:pStyle w:val="4"/>
        <w:spacing w:line="360" w:lineRule="auto"/>
        <w:rPr>
          <w:rFonts w:hint="eastAsia" w:eastAsia="仿宋_GB2312"/>
          <w:sz w:val="32"/>
          <w:szCs w:val="32"/>
          <w:lang w:val="en-US" w:eastAsia="zh-CN"/>
        </w:rPr>
      </w:pPr>
      <w:bookmarkStart w:id="13" w:name="_Toc17751"/>
      <w:r>
        <w:rPr>
          <w:rFonts w:eastAsia="仿宋_GB2312"/>
          <w:sz w:val="32"/>
          <w:szCs w:val="32"/>
        </w:rPr>
        <w:t>三、</w:t>
      </w:r>
      <w:r>
        <w:rPr>
          <w:rFonts w:hint="eastAsia" w:eastAsia="仿宋_GB2312"/>
          <w:sz w:val="32"/>
          <w:szCs w:val="32"/>
          <w:lang w:val="en-US" w:eastAsia="zh-CN"/>
        </w:rPr>
        <w:t>交付物</w:t>
      </w:r>
      <w:bookmarkEnd w:id="13"/>
    </w:p>
    <w:tbl>
      <w:tblPr>
        <w:tblStyle w:val="16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"/>
        <w:gridCol w:w="2890"/>
        <w:gridCol w:w="51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3F3F3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2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3F3F3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服务时间</w:t>
            </w:r>
          </w:p>
        </w:tc>
        <w:tc>
          <w:tcPr>
            <w:tcW w:w="5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3F3F3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交付物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jc w:val="center"/>
        </w:trPr>
        <w:tc>
          <w:tcPr>
            <w:tcW w:w="1016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1</w:t>
            </w:r>
          </w:p>
        </w:tc>
        <w:tc>
          <w:tcPr>
            <w:tcW w:w="289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自合同签订起至一年（接到采购方通知后，响应方15天内完成评审，并出具报告。）</w:t>
            </w:r>
          </w:p>
        </w:tc>
        <w:tc>
          <w:tcPr>
            <w:tcW w:w="51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  <w:t>绿色运输报告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016" w:type="dxa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890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1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  <w:t>安全可靠性评价报告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016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289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51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  <w:t>绿色包装评价报告</w:t>
            </w:r>
          </w:p>
        </w:tc>
      </w:tr>
    </w:tbl>
    <w:p>
      <w:pPr>
        <w:pStyle w:val="2"/>
        <w:tabs>
          <w:tab w:val="left" w:pos="851"/>
        </w:tabs>
        <w:spacing w:line="360" w:lineRule="auto"/>
        <w:rPr>
          <w:rFonts w:eastAsia="仿宋_GB2312"/>
          <w:sz w:val="28"/>
        </w:rPr>
      </w:pPr>
    </w:p>
    <w:p>
      <w:pPr>
        <w:pStyle w:val="4"/>
        <w:spacing w:line="360" w:lineRule="auto"/>
        <w:rPr>
          <w:rFonts w:hint="eastAsia" w:eastAsia="仿宋_GB2312"/>
          <w:sz w:val="32"/>
          <w:szCs w:val="32"/>
          <w:lang w:val="en-US" w:eastAsia="zh-CN"/>
        </w:rPr>
      </w:pPr>
      <w:bookmarkStart w:id="14" w:name="_Toc22505"/>
      <w:r>
        <w:rPr>
          <w:rFonts w:eastAsia="仿宋_GB2312"/>
          <w:sz w:val="32"/>
          <w:szCs w:val="32"/>
        </w:rPr>
        <w:t>四、</w:t>
      </w:r>
      <w:r>
        <w:rPr>
          <w:rFonts w:hint="eastAsia" w:eastAsia="仿宋_GB2312"/>
          <w:sz w:val="32"/>
          <w:szCs w:val="32"/>
          <w:lang w:val="en-US" w:eastAsia="zh-CN"/>
        </w:rPr>
        <w:t>安全</w:t>
      </w:r>
      <w:r>
        <w:rPr>
          <w:rFonts w:eastAsia="仿宋_GB2312"/>
          <w:sz w:val="32"/>
          <w:szCs w:val="32"/>
        </w:rPr>
        <w:t>保密</w:t>
      </w:r>
      <w:r>
        <w:rPr>
          <w:rFonts w:hint="eastAsia" w:eastAsia="仿宋_GB2312"/>
          <w:sz w:val="32"/>
          <w:szCs w:val="32"/>
          <w:lang w:val="en-US" w:eastAsia="zh-CN"/>
        </w:rPr>
        <w:t>要求</w:t>
      </w:r>
      <w:bookmarkEnd w:id="14"/>
      <w:bookmarkStart w:id="15" w:name="_GoBack"/>
      <w:bookmarkEnd w:id="15"/>
    </w:p>
    <w:p>
      <w:pPr>
        <w:pStyle w:val="27"/>
        <w:numPr>
          <w:ilvl w:val="0"/>
          <w:numId w:val="4"/>
        </w:numPr>
        <w:ind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响应方在服务期间，负有保护南方电网数字电网科技（广东）有限公司的网络安全、信息安全和系统数据安全的义务和责任；负有保护所持有、接触的属于或涉及南方电网数字电网科技（广东）有限公司商业秘密的信息安全的义务和责任。</w:t>
      </w:r>
    </w:p>
    <w:p>
      <w:pPr>
        <w:pStyle w:val="27"/>
        <w:numPr>
          <w:ilvl w:val="0"/>
          <w:numId w:val="4"/>
        </w:numPr>
        <w:ind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除非有采购方的书面许可，或该信息已被采购方认为不再是商业秘密，或已在社会上公开，响应方不得将采购方经营信息及商业秘密（包括生产管理的方式方法与资料、产品技术资料、客户名单、销售渠道企业战略及其他被认为是商业秘密的信息）对外透露。</w:t>
      </w:r>
    </w:p>
    <w:p>
      <w:pPr>
        <w:pStyle w:val="27"/>
        <w:numPr>
          <w:ilvl w:val="0"/>
          <w:numId w:val="4"/>
        </w:numPr>
        <w:ind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在现场服务过程中，响应方必须在采购方指定地点办公，并遵守采购方关于第三方人员管理规定要求；未经许可不得以任何方式对保密信息及工作成果进行复制、传播、泄漏、告知，不得将保密信息带离办公场所。</w:t>
      </w:r>
    </w:p>
    <w:p>
      <w:pPr>
        <w:pStyle w:val="27"/>
        <w:numPr>
          <w:ilvl w:val="0"/>
          <w:numId w:val="4"/>
        </w:numPr>
        <w:ind w:firstLineChars="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无论何种原因导致合同解除或终止，本项目约定下的保密条款、保密内容及相关的违约责任的约定仍然生效。保密期限为签订合同之后至永久，保密范围为项目所涉及的任何资料。</w:t>
      </w:r>
    </w:p>
    <w:p>
      <w:pPr>
        <w:pStyle w:val="2"/>
        <w:rPr>
          <w:rFonts w:hint="eastAsia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rPr>
        <w:rFonts w:hint="eastAsia"/>
      </w:rPr>
      <w:t>第</w:t>
    </w: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</w:t>
    </w:r>
    <w:r>
      <w:rPr>
        <w:lang w:val="zh-CN"/>
      </w:rPr>
      <w:t xml:space="preserve"> /</w:t>
    </w:r>
    <w:r>
      <w:rPr>
        <w:rFonts w:hint="eastAsia"/>
        <w:lang w:val="zh-CN"/>
      </w:rPr>
      <w:t>共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</w:t>
    </w:r>
  </w:p>
  <w:p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rPr>
        <w:rFonts w:hint="eastAsia"/>
      </w:rPr>
      <w:t>第</w:t>
    </w: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rFonts w:hint="eastAsia"/>
        <w:b/>
        <w:bCs/>
        <w:sz w:val="24"/>
        <w:szCs w:val="24"/>
        <w:lang w:val="en-US" w:eastAsia="zh-CN"/>
      </w:rPr>
      <w:t xml:space="preserve"> </w:t>
    </w:r>
    <w:r>
      <w:rPr>
        <w:rFonts w:hint="eastAsia"/>
        <w:lang w:val="zh-CN"/>
      </w:rPr>
      <w:t>页</w:t>
    </w:r>
    <w:r>
      <w:rPr>
        <w:lang w:val="zh-CN"/>
      </w:rPr>
      <w:t xml:space="preserve"> </w:t>
    </w:r>
  </w:p>
  <w:p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2B1727"/>
    <w:multiLevelType w:val="singleLevel"/>
    <w:tmpl w:val="FE2B1727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8293A38"/>
    <w:multiLevelType w:val="singleLevel"/>
    <w:tmpl w:val="18293A38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3DE53CB"/>
    <w:multiLevelType w:val="multilevel"/>
    <w:tmpl w:val="43DE53CB"/>
    <w:lvl w:ilvl="0" w:tentative="0">
      <w:start w:val="1"/>
      <w:numFmt w:val="decimal"/>
      <w:lvlText w:val="%1 "/>
      <w:lvlJc w:val="left"/>
      <w:pPr>
        <w:ind w:left="425" w:hanging="425"/>
      </w:pPr>
      <w:rPr>
        <w:rFonts w:hint="eastAsia" w:ascii="黑体" w:hAnsi="黑体" w:eastAsia="黑体"/>
      </w:rPr>
    </w:lvl>
    <w:lvl w:ilvl="1" w:tentative="0">
      <w:start w:val="1"/>
      <w:numFmt w:val="decimal"/>
      <w:pStyle w:val="29"/>
      <w:lvlText w:val="%1.%2 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1021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153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>
    <w:nsid w:val="5F3E3B82"/>
    <w:multiLevelType w:val="multilevel"/>
    <w:tmpl w:val="5F3E3B82"/>
    <w:lvl w:ilvl="0" w:tentative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decimal"/>
      <w:lvlText w:val="%3、"/>
      <w:lvlJc w:val="left"/>
      <w:pPr>
        <w:ind w:left="1290" w:hanging="45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1NDFkZjAyYjdmOTkyMGUyM2NmMjRiOTdlN2Y2ZTUifQ=="/>
  </w:docVars>
  <w:rsids>
    <w:rsidRoot w:val="00892823"/>
    <w:rsid w:val="0000117A"/>
    <w:rsid w:val="00005148"/>
    <w:rsid w:val="000264B5"/>
    <w:rsid w:val="0004672B"/>
    <w:rsid w:val="00067A72"/>
    <w:rsid w:val="00086CF5"/>
    <w:rsid w:val="00097C82"/>
    <w:rsid w:val="00127798"/>
    <w:rsid w:val="00151EF2"/>
    <w:rsid w:val="00156088"/>
    <w:rsid w:val="00175BDD"/>
    <w:rsid w:val="00183B5F"/>
    <w:rsid w:val="001B2222"/>
    <w:rsid w:val="001B3773"/>
    <w:rsid w:val="001E20A4"/>
    <w:rsid w:val="001F39FA"/>
    <w:rsid w:val="0021075C"/>
    <w:rsid w:val="00221388"/>
    <w:rsid w:val="00254333"/>
    <w:rsid w:val="0025443F"/>
    <w:rsid w:val="00257ACA"/>
    <w:rsid w:val="002621E6"/>
    <w:rsid w:val="00296488"/>
    <w:rsid w:val="002B135D"/>
    <w:rsid w:val="002C0398"/>
    <w:rsid w:val="00315635"/>
    <w:rsid w:val="00316764"/>
    <w:rsid w:val="00330D37"/>
    <w:rsid w:val="0033634E"/>
    <w:rsid w:val="00344E0D"/>
    <w:rsid w:val="00371559"/>
    <w:rsid w:val="0038420F"/>
    <w:rsid w:val="003A24A5"/>
    <w:rsid w:val="003A38C0"/>
    <w:rsid w:val="003C072B"/>
    <w:rsid w:val="003C1728"/>
    <w:rsid w:val="003C7AC6"/>
    <w:rsid w:val="003F270F"/>
    <w:rsid w:val="00456E57"/>
    <w:rsid w:val="00466565"/>
    <w:rsid w:val="00522EC3"/>
    <w:rsid w:val="00523136"/>
    <w:rsid w:val="005259E6"/>
    <w:rsid w:val="00557BED"/>
    <w:rsid w:val="00562FA6"/>
    <w:rsid w:val="00576FDC"/>
    <w:rsid w:val="005845B1"/>
    <w:rsid w:val="0059174D"/>
    <w:rsid w:val="00602113"/>
    <w:rsid w:val="006300D4"/>
    <w:rsid w:val="006804BD"/>
    <w:rsid w:val="00680EA0"/>
    <w:rsid w:val="006967AC"/>
    <w:rsid w:val="006B21D4"/>
    <w:rsid w:val="006E4F85"/>
    <w:rsid w:val="0070515C"/>
    <w:rsid w:val="00742989"/>
    <w:rsid w:val="00792ED6"/>
    <w:rsid w:val="007D118E"/>
    <w:rsid w:val="007E1D4B"/>
    <w:rsid w:val="00892823"/>
    <w:rsid w:val="008B6134"/>
    <w:rsid w:val="008D0E47"/>
    <w:rsid w:val="008E2500"/>
    <w:rsid w:val="00915DBB"/>
    <w:rsid w:val="00950DEC"/>
    <w:rsid w:val="00953B80"/>
    <w:rsid w:val="00961944"/>
    <w:rsid w:val="00970A58"/>
    <w:rsid w:val="00977F93"/>
    <w:rsid w:val="00980B62"/>
    <w:rsid w:val="00986FDE"/>
    <w:rsid w:val="009F2E34"/>
    <w:rsid w:val="009F5527"/>
    <w:rsid w:val="00A12E66"/>
    <w:rsid w:val="00A26223"/>
    <w:rsid w:val="00A46C1D"/>
    <w:rsid w:val="00A5355F"/>
    <w:rsid w:val="00A641FF"/>
    <w:rsid w:val="00AA3CA6"/>
    <w:rsid w:val="00AA4436"/>
    <w:rsid w:val="00AA57FC"/>
    <w:rsid w:val="00AA6CD6"/>
    <w:rsid w:val="00AC21E8"/>
    <w:rsid w:val="00AD6E36"/>
    <w:rsid w:val="00AE33C0"/>
    <w:rsid w:val="00AF155A"/>
    <w:rsid w:val="00B04F2E"/>
    <w:rsid w:val="00B10706"/>
    <w:rsid w:val="00BD6330"/>
    <w:rsid w:val="00C012EE"/>
    <w:rsid w:val="00C13879"/>
    <w:rsid w:val="00C20A90"/>
    <w:rsid w:val="00C46DBC"/>
    <w:rsid w:val="00C74849"/>
    <w:rsid w:val="00C92820"/>
    <w:rsid w:val="00CB000C"/>
    <w:rsid w:val="00D1662D"/>
    <w:rsid w:val="00D60E2F"/>
    <w:rsid w:val="00D82D3A"/>
    <w:rsid w:val="00D83E44"/>
    <w:rsid w:val="00D90B4F"/>
    <w:rsid w:val="00DA588B"/>
    <w:rsid w:val="00E401D4"/>
    <w:rsid w:val="00E51031"/>
    <w:rsid w:val="00E850F4"/>
    <w:rsid w:val="00EA1A60"/>
    <w:rsid w:val="00EC3F82"/>
    <w:rsid w:val="00EC61B6"/>
    <w:rsid w:val="00ED2193"/>
    <w:rsid w:val="00EE3E04"/>
    <w:rsid w:val="00F07C7A"/>
    <w:rsid w:val="00F42ADD"/>
    <w:rsid w:val="00F821D4"/>
    <w:rsid w:val="00FB174D"/>
    <w:rsid w:val="00FD0D75"/>
    <w:rsid w:val="00FE1B53"/>
    <w:rsid w:val="081575DB"/>
    <w:rsid w:val="0DEB05B8"/>
    <w:rsid w:val="115A7757"/>
    <w:rsid w:val="11CA4701"/>
    <w:rsid w:val="1291126F"/>
    <w:rsid w:val="1A390EF3"/>
    <w:rsid w:val="1AC55802"/>
    <w:rsid w:val="22F76BB6"/>
    <w:rsid w:val="23E75299"/>
    <w:rsid w:val="279B54F3"/>
    <w:rsid w:val="2920769C"/>
    <w:rsid w:val="29254AE6"/>
    <w:rsid w:val="296F4D8D"/>
    <w:rsid w:val="29A31751"/>
    <w:rsid w:val="2AD632E2"/>
    <w:rsid w:val="2B911857"/>
    <w:rsid w:val="2B935E61"/>
    <w:rsid w:val="2F4B476F"/>
    <w:rsid w:val="38B940E0"/>
    <w:rsid w:val="39CB74B9"/>
    <w:rsid w:val="3CF16E9A"/>
    <w:rsid w:val="3F00241D"/>
    <w:rsid w:val="43486FAF"/>
    <w:rsid w:val="443B2D66"/>
    <w:rsid w:val="448D294B"/>
    <w:rsid w:val="45EF3D4B"/>
    <w:rsid w:val="5115136D"/>
    <w:rsid w:val="53372068"/>
    <w:rsid w:val="53FA75CB"/>
    <w:rsid w:val="55720DDF"/>
    <w:rsid w:val="59843312"/>
    <w:rsid w:val="602B4AC8"/>
    <w:rsid w:val="62A26E2E"/>
    <w:rsid w:val="68A60D1F"/>
    <w:rsid w:val="6BE834C2"/>
    <w:rsid w:val="73463366"/>
    <w:rsid w:val="78CC258E"/>
    <w:rsid w:val="7FAD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2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4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heading 3"/>
    <w:basedOn w:val="1"/>
    <w:next w:val="1"/>
    <w:link w:val="25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link w:val="3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8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3"/>
    <w:qFormat/>
    <w:uiPriority w:val="0"/>
    <w:rPr>
      <w:sz w:val="24"/>
      <w:szCs w:val="20"/>
      <w:lang w:val="zh-CN"/>
    </w:rPr>
  </w:style>
  <w:style w:type="paragraph" w:styleId="3">
    <w:name w:val="Title"/>
    <w:basedOn w:val="1"/>
    <w:next w:val="1"/>
    <w:qFormat/>
    <w:uiPriority w:val="1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8">
    <w:name w:val="Body Text Indent"/>
    <w:basedOn w:val="1"/>
    <w:qFormat/>
    <w:uiPriority w:val="0"/>
    <w:pPr>
      <w:spacing w:after="120" w:afterLines="0" w:afterAutospacing="0"/>
      <w:ind w:left="420"/>
    </w:pPr>
  </w:style>
  <w:style w:type="paragraph" w:styleId="9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</w:rPr>
  </w:style>
  <w:style w:type="paragraph" w:styleId="10">
    <w:name w:val="Balloon Text"/>
    <w:basedOn w:val="1"/>
    <w:link w:val="28"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</w:rPr>
  </w:style>
  <w:style w:type="paragraph" w:styleId="14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</w:rPr>
  </w:style>
  <w:style w:type="paragraph" w:styleId="15">
    <w:name w:val="Body Text First Indent 2"/>
    <w:basedOn w:val="8"/>
    <w:uiPriority w:val="0"/>
    <w:pPr>
      <w:ind w:firstLine="420"/>
    </w:pPr>
  </w:style>
  <w:style w:type="table" w:styleId="17">
    <w:name w:val="Table Grid"/>
    <w:basedOn w:val="1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页眉 Char"/>
    <w:basedOn w:val="18"/>
    <w:link w:val="12"/>
    <w:qFormat/>
    <w:uiPriority w:val="99"/>
    <w:rPr>
      <w:sz w:val="18"/>
      <w:szCs w:val="18"/>
    </w:rPr>
  </w:style>
  <w:style w:type="character" w:customStyle="1" w:styleId="21">
    <w:name w:val="页脚 Char"/>
    <w:basedOn w:val="18"/>
    <w:link w:val="11"/>
    <w:qFormat/>
    <w:uiPriority w:val="99"/>
    <w:rPr>
      <w:sz w:val="18"/>
      <w:szCs w:val="18"/>
    </w:rPr>
  </w:style>
  <w:style w:type="character" w:customStyle="1" w:styleId="22">
    <w:name w:val="标题 1 Char"/>
    <w:basedOn w:val="18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3">
    <w:name w:val="正文文本 Char"/>
    <w:basedOn w:val="18"/>
    <w:link w:val="2"/>
    <w:qFormat/>
    <w:uiPriority w:val="0"/>
    <w:rPr>
      <w:rFonts w:ascii="Times New Roman" w:hAnsi="Times New Roman" w:eastAsia="宋体" w:cs="Times New Roman"/>
      <w:sz w:val="24"/>
      <w:szCs w:val="20"/>
      <w:lang w:val="zh-CN" w:eastAsia="zh-CN"/>
    </w:rPr>
  </w:style>
  <w:style w:type="character" w:customStyle="1" w:styleId="24">
    <w:name w:val="标题 2 Char"/>
    <w:basedOn w:val="18"/>
    <w:link w:val="5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5">
    <w:name w:val="标题 3 Char"/>
    <w:basedOn w:val="18"/>
    <w:link w:val="6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26">
    <w:name w:val="TOC 标题1"/>
    <w:basedOn w:val="4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7">
    <w:name w:val="列出段落1"/>
    <w:basedOn w:val="1"/>
    <w:qFormat/>
    <w:uiPriority w:val="99"/>
    <w:pPr>
      <w:ind w:firstLine="420" w:firstLineChars="200"/>
    </w:pPr>
  </w:style>
  <w:style w:type="character" w:customStyle="1" w:styleId="28">
    <w:name w:val="批注框文本 Char"/>
    <w:basedOn w:val="18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9">
    <w:name w:val="yq标题2"/>
    <w:qFormat/>
    <w:uiPriority w:val="0"/>
    <w:pPr>
      <w:keepNext/>
      <w:keepLines/>
      <w:widowControl w:val="0"/>
      <w:numPr>
        <w:ilvl w:val="1"/>
        <w:numId w:val="1"/>
      </w:numPr>
      <w:spacing w:before="260" w:after="260" w:line="416" w:lineRule="auto"/>
      <w:jc w:val="both"/>
      <w:outlineLvl w:val="1"/>
    </w:pPr>
    <w:rPr>
      <w:rFonts w:asciiTheme="majorHAnsi" w:hAnsiTheme="majorHAnsi" w:eastAsiaTheme="majorEastAsia" w:cstheme="majorBidi"/>
      <w:bCs/>
      <w:kern w:val="2"/>
      <w:sz w:val="21"/>
      <w:szCs w:val="21"/>
      <w:lang w:val="en-US" w:eastAsia="zh-CN" w:bidi="ar-SA"/>
    </w:rPr>
  </w:style>
  <w:style w:type="paragraph" w:customStyle="1" w:styleId="30">
    <w:name w:val="列表段落2"/>
    <w:basedOn w:val="1"/>
    <w:qFormat/>
    <w:uiPriority w:val="99"/>
    <w:pPr>
      <w:ind w:firstLine="420" w:firstLineChars="200"/>
    </w:pPr>
    <w:rPr>
      <w:szCs w:val="24"/>
    </w:rPr>
  </w:style>
  <w:style w:type="character" w:customStyle="1" w:styleId="31">
    <w:name w:val="标题 4 Char"/>
    <w:basedOn w:val="18"/>
    <w:link w:val="7"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paragraph" w:customStyle="1" w:styleId="32">
    <w:name w:val="Normal Indent1"/>
    <w:basedOn w:val="1"/>
    <w:qFormat/>
    <w:uiPriority w:val="0"/>
    <w:pPr>
      <w:ind w:firstLine="20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D42DCC-8EC3-41E5-B694-B60C5C3DDB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1254</Words>
  <Characters>1297</Characters>
  <Lines>15</Lines>
  <Paragraphs>4</Paragraphs>
  <TotalTime>4</TotalTime>
  <ScaleCrop>false</ScaleCrop>
  <LinksUpToDate>false</LinksUpToDate>
  <CharactersWithSpaces>1338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2018-06-15T02:51:00Z</dcterms:created>
  <dc:creator>韩倩</dc:creator>
  <cp:lastModifiedBy>wx-oucaijie</cp:lastModifiedBy>
  <cp:lastPrinted>2021-07-06T03:26:00Z</cp:lastPrinted>
  <dcterms:modified xsi:type="dcterms:W3CDTF">2024-08-20T09:11:20Z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B86B3C5E6FC14CF98E3E2A6A36CD5627</vt:lpwstr>
  </property>
</Properties>
</file>