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auto"/>
        <w:rPr>
          <w:sz w:val="21"/>
          <w:szCs w:val="21"/>
          <w:highlight w:val="none"/>
        </w:rPr>
      </w:pPr>
    </w:p>
    <w:p>
      <w:pPr>
        <w:spacing w:line="300" w:lineRule="auto"/>
        <w:jc w:val="center"/>
        <w:rPr>
          <w:sz w:val="21"/>
          <w:szCs w:val="21"/>
          <w:highlight w:val="none"/>
        </w:rPr>
      </w:pPr>
    </w:p>
    <w:p>
      <w:pPr>
        <w:spacing w:line="300" w:lineRule="auto"/>
        <w:jc w:val="center"/>
        <w:rPr>
          <w:rFonts w:hint="default" w:ascii="黑体" w:hAnsi="黑体" w:eastAsia="黑体"/>
          <w:sz w:val="44"/>
          <w:szCs w:val="44"/>
          <w:highlight w:val="none"/>
          <w:lang w:val="en-US" w:eastAsia="zh-CN"/>
        </w:rPr>
      </w:pPr>
      <w:r>
        <w:rPr>
          <w:rFonts w:hint="eastAsia" w:ascii="黑体" w:hAnsi="黑体" w:eastAsia="黑体"/>
          <w:sz w:val="44"/>
          <w:szCs w:val="44"/>
          <w:highlight w:val="none"/>
          <w:lang w:val="en-US" w:eastAsia="zh-CN"/>
        </w:rPr>
        <w:t>南宁供电局</w:t>
      </w:r>
    </w:p>
    <w:p>
      <w:pPr>
        <w:spacing w:line="300" w:lineRule="auto"/>
        <w:jc w:val="center"/>
        <w:rPr>
          <w:rFonts w:hint="eastAsia" w:ascii="黑体" w:hAnsi="黑体" w:eastAsia="黑体"/>
          <w:sz w:val="44"/>
          <w:szCs w:val="44"/>
          <w:highlight w:val="none"/>
        </w:rPr>
      </w:pPr>
      <w:r>
        <w:rPr>
          <w:rFonts w:hint="eastAsia" w:ascii="黑体" w:hAnsi="黑体" w:eastAsia="黑体"/>
          <w:sz w:val="44"/>
          <w:szCs w:val="44"/>
          <w:highlight w:val="none"/>
        </w:rPr>
        <w:t>2024年第21届东盟博览会保供电系统终端调试服务项目</w:t>
      </w:r>
    </w:p>
    <w:p>
      <w:pPr>
        <w:spacing w:line="300" w:lineRule="auto"/>
        <w:jc w:val="center"/>
        <w:rPr>
          <w:rFonts w:ascii="黑体" w:hAnsi="黑体" w:eastAsia="黑体"/>
          <w:sz w:val="44"/>
          <w:szCs w:val="44"/>
          <w:highlight w:val="none"/>
        </w:rPr>
      </w:pPr>
      <w:r>
        <w:rPr>
          <w:rFonts w:hint="eastAsia" w:ascii="黑体" w:hAnsi="黑体" w:eastAsia="黑体"/>
          <w:sz w:val="44"/>
          <w:szCs w:val="44"/>
          <w:highlight w:val="none"/>
        </w:rPr>
        <w:t>技术规范书</w:t>
      </w: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21"/>
          <w:szCs w:val="21"/>
          <w:highlight w:val="none"/>
        </w:rPr>
      </w:pPr>
    </w:p>
    <w:p>
      <w:pPr>
        <w:spacing w:line="300" w:lineRule="auto"/>
        <w:rPr>
          <w:sz w:val="32"/>
          <w:szCs w:val="32"/>
          <w:highlight w:val="none"/>
        </w:rPr>
      </w:pPr>
    </w:p>
    <w:p>
      <w:pPr>
        <w:spacing w:line="300" w:lineRule="auto"/>
        <w:rPr>
          <w:sz w:val="32"/>
          <w:szCs w:val="32"/>
          <w:highlight w:val="none"/>
        </w:rPr>
      </w:pPr>
    </w:p>
    <w:p>
      <w:pPr>
        <w:spacing w:line="300" w:lineRule="auto"/>
        <w:jc w:val="center"/>
        <w:rPr>
          <w:rFonts w:hint="default" w:eastAsia="宋体"/>
          <w:sz w:val="32"/>
          <w:szCs w:val="32"/>
          <w:highlight w:val="none"/>
          <w:lang w:val="en-US" w:eastAsia="zh-CN"/>
        </w:rPr>
      </w:pPr>
      <w:r>
        <w:rPr>
          <w:sz w:val="32"/>
          <w:szCs w:val="32"/>
          <w:highlight w:val="none"/>
        </w:rPr>
        <w:t>南宁供电局</w:t>
      </w:r>
      <w:r>
        <w:rPr>
          <w:rFonts w:hint="eastAsia"/>
          <w:sz w:val="32"/>
          <w:szCs w:val="32"/>
          <w:highlight w:val="none"/>
          <w:lang w:val="en-US" w:eastAsia="zh-CN"/>
        </w:rPr>
        <w:t>电力调度控制中心</w:t>
      </w:r>
    </w:p>
    <w:p>
      <w:pPr>
        <w:spacing w:line="300" w:lineRule="auto"/>
        <w:jc w:val="center"/>
        <w:rPr>
          <w:sz w:val="32"/>
          <w:szCs w:val="32"/>
          <w:highlight w:val="none"/>
        </w:rPr>
      </w:pPr>
      <w:r>
        <w:rPr>
          <w:rFonts w:hint="eastAsia"/>
          <w:sz w:val="32"/>
          <w:szCs w:val="32"/>
          <w:highlight w:val="none"/>
        </w:rPr>
        <w:t>2024年</w:t>
      </w:r>
      <w:r>
        <w:rPr>
          <w:rFonts w:hint="eastAsia"/>
          <w:sz w:val="32"/>
          <w:szCs w:val="32"/>
          <w:highlight w:val="none"/>
          <w:lang w:val="en-US" w:eastAsia="zh-CN"/>
        </w:rPr>
        <w:t>7</w:t>
      </w:r>
      <w:r>
        <w:rPr>
          <w:rFonts w:hint="eastAsia"/>
          <w:sz w:val="32"/>
          <w:szCs w:val="32"/>
          <w:highlight w:val="none"/>
        </w:rPr>
        <w:t>月</w:t>
      </w:r>
    </w:p>
    <w:p>
      <w:pPr>
        <w:spacing w:line="300" w:lineRule="auto"/>
        <w:rPr>
          <w:sz w:val="21"/>
          <w:szCs w:val="21"/>
          <w:highlight w:val="none"/>
        </w:rPr>
      </w:pPr>
      <w:r>
        <w:rPr>
          <w:sz w:val="21"/>
          <w:szCs w:val="21"/>
          <w:highlight w:val="none"/>
        </w:rPr>
        <w:br w:type="page"/>
      </w:r>
    </w:p>
    <w:p>
      <w:pPr>
        <w:pStyle w:val="2"/>
      </w:pPr>
    </w:p>
    <w:sdt>
      <w:sdtPr>
        <w:rPr>
          <w:rFonts w:ascii="宋体" w:hAnsi="宋体" w:eastAsia="宋体" w:cs="Times New Roman"/>
          <w:kern w:val="2"/>
          <w:sz w:val="21"/>
          <w:szCs w:val="24"/>
          <w:lang w:val="en-US" w:eastAsia="zh-CN" w:bidi="ar-SA"/>
        </w:rPr>
        <w:id w:val="147475659"/>
        <w15:color w:val="DBDBDB"/>
        <w:docPartObj>
          <w:docPartGallery w:val="Table of Contents"/>
          <w:docPartUnique/>
        </w:docPartObj>
      </w:sdtPr>
      <w:sdtEndPr>
        <w:rPr>
          <w:rFonts w:ascii="宋体" w:hAnsi="宋体" w:eastAsia="宋体" w:cs="Times New Roman"/>
          <w:kern w:val="2"/>
          <w:sz w:val="24"/>
          <w:szCs w:val="21"/>
          <w:highlight w:val="none"/>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5"/>
            <w:tabs>
              <w:tab w:val="right" w:leader="dot" w:pos="8306"/>
              <w:tab w:val="clear" w:pos="8296"/>
            </w:tabs>
          </w:pPr>
          <w:r>
            <w:rPr>
              <w:sz w:val="21"/>
              <w:szCs w:val="21"/>
              <w:highlight w:val="none"/>
            </w:rPr>
            <w:fldChar w:fldCharType="begin"/>
          </w:r>
          <w:r>
            <w:rPr>
              <w:sz w:val="21"/>
              <w:szCs w:val="21"/>
              <w:highlight w:val="none"/>
            </w:rPr>
            <w:instrText xml:space="preserve">TOC \o "1-1" \h \u </w:instrText>
          </w:r>
          <w:r>
            <w:rPr>
              <w:sz w:val="21"/>
              <w:szCs w:val="21"/>
              <w:highlight w:val="none"/>
            </w:rPr>
            <w:fldChar w:fldCharType="separate"/>
          </w:r>
          <w:r>
            <w:rPr>
              <w:szCs w:val="21"/>
              <w:highlight w:val="none"/>
            </w:rPr>
            <w:fldChar w:fldCharType="begin"/>
          </w:r>
          <w:r>
            <w:rPr>
              <w:szCs w:val="21"/>
              <w:highlight w:val="none"/>
            </w:rPr>
            <w:instrText xml:space="preserve"> HYPERLINK \l _Toc31515 </w:instrText>
          </w:r>
          <w:r>
            <w:rPr>
              <w:szCs w:val="21"/>
              <w:highlight w:val="none"/>
            </w:rPr>
            <w:fldChar w:fldCharType="separate"/>
          </w:r>
          <w:r>
            <w:rPr>
              <w:rFonts w:hint="eastAsia" w:cs="宋体"/>
              <w:szCs w:val="24"/>
              <w:highlight w:val="none"/>
              <w:lang w:val="en-US" w:eastAsia="zh-CN"/>
            </w:rPr>
            <w:t>1.</w:t>
          </w:r>
          <w:r>
            <w:rPr>
              <w:rFonts w:hint="eastAsia" w:cs="宋体"/>
              <w:szCs w:val="24"/>
              <w:highlight w:val="none"/>
            </w:rPr>
            <w:t>总则</w:t>
          </w:r>
          <w:r>
            <w:tab/>
          </w:r>
          <w:r>
            <w:fldChar w:fldCharType="begin"/>
          </w:r>
          <w:r>
            <w:instrText xml:space="preserve"> PAGEREF _Toc31515 \h </w:instrText>
          </w:r>
          <w:r>
            <w:fldChar w:fldCharType="separate"/>
          </w:r>
          <w:r>
            <w:t>1</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_Toc29853 </w:instrText>
          </w:r>
          <w:r>
            <w:rPr>
              <w:szCs w:val="21"/>
              <w:highlight w:val="none"/>
            </w:rPr>
            <w:fldChar w:fldCharType="separate"/>
          </w:r>
          <w:r>
            <w:rPr>
              <w:rFonts w:hint="default" w:ascii="宋体" w:hAnsi="宋体" w:eastAsia="宋体" w:cs="宋体"/>
              <w:szCs w:val="24"/>
              <w:lang w:val="en-US"/>
            </w:rPr>
            <w:t xml:space="preserve">1.1 </w:t>
          </w:r>
          <w:r>
            <w:rPr>
              <w:rFonts w:hint="eastAsia" w:hAnsi="宋体" w:cs="宋体"/>
              <w:szCs w:val="24"/>
              <w:highlight w:val="none"/>
            </w:rPr>
            <w:t>一般要求</w:t>
          </w:r>
          <w:r>
            <w:tab/>
          </w:r>
          <w:r>
            <w:fldChar w:fldCharType="begin"/>
          </w:r>
          <w:r>
            <w:instrText xml:space="preserve"> PAGEREF _Toc29853 \h </w:instrText>
          </w:r>
          <w:r>
            <w:fldChar w:fldCharType="separate"/>
          </w:r>
          <w:r>
            <w:t>1</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_Toc9494 </w:instrText>
          </w:r>
          <w:r>
            <w:rPr>
              <w:szCs w:val="21"/>
              <w:highlight w:val="none"/>
            </w:rPr>
            <w:fldChar w:fldCharType="separate"/>
          </w:r>
          <w:r>
            <w:rPr>
              <w:rFonts w:hint="default" w:ascii="宋体" w:hAnsi="宋体" w:eastAsia="宋体" w:cs="宋体"/>
              <w:szCs w:val="24"/>
              <w:lang w:val="en-US"/>
            </w:rPr>
            <w:t xml:space="preserve">1.2 </w:t>
          </w:r>
          <w:r>
            <w:rPr>
              <w:rFonts w:hint="eastAsia" w:hAnsi="宋体" w:cs="宋体"/>
              <w:szCs w:val="24"/>
              <w:highlight w:val="none"/>
            </w:rPr>
            <w:t>投标方职责</w:t>
          </w:r>
          <w:r>
            <w:tab/>
          </w:r>
          <w:r>
            <w:fldChar w:fldCharType="begin"/>
          </w:r>
          <w:r>
            <w:instrText xml:space="preserve"> PAGEREF _Toc9494 \h </w:instrText>
          </w:r>
          <w:r>
            <w:fldChar w:fldCharType="separate"/>
          </w:r>
          <w:r>
            <w:t>2</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_Toc4128 </w:instrText>
          </w:r>
          <w:r>
            <w:rPr>
              <w:szCs w:val="21"/>
              <w:highlight w:val="none"/>
            </w:rPr>
            <w:fldChar w:fldCharType="separate"/>
          </w:r>
          <w:r>
            <w:rPr>
              <w:rFonts w:hint="default" w:ascii="宋体" w:hAnsi="宋体" w:eastAsia="宋体" w:cs="宋体"/>
              <w:szCs w:val="24"/>
              <w:lang w:val="en-US"/>
            </w:rPr>
            <w:t xml:space="preserve">1.3 </w:t>
          </w:r>
          <w:r>
            <w:rPr>
              <w:rFonts w:hint="eastAsia" w:hAnsi="宋体" w:cs="宋体"/>
              <w:szCs w:val="24"/>
              <w:highlight w:val="none"/>
            </w:rPr>
            <w:t>招标方职责</w:t>
          </w:r>
          <w:r>
            <w:tab/>
          </w:r>
          <w:r>
            <w:fldChar w:fldCharType="begin"/>
          </w:r>
          <w:r>
            <w:instrText xml:space="preserve"> PAGEREF _Toc4128 \h </w:instrText>
          </w:r>
          <w:r>
            <w:fldChar w:fldCharType="separate"/>
          </w:r>
          <w:r>
            <w:t>2</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_Toc8018 </w:instrText>
          </w:r>
          <w:r>
            <w:rPr>
              <w:szCs w:val="21"/>
              <w:highlight w:val="none"/>
            </w:rPr>
            <w:fldChar w:fldCharType="separate"/>
          </w:r>
          <w:r>
            <w:rPr>
              <w:rFonts w:hint="eastAsia" w:cs="宋体"/>
              <w:szCs w:val="24"/>
              <w:highlight w:val="none"/>
              <w:lang w:val="en-US" w:eastAsia="zh-CN"/>
            </w:rPr>
            <w:t>2.</w:t>
          </w:r>
          <w:r>
            <w:rPr>
              <w:rFonts w:hint="eastAsia" w:cs="宋体"/>
              <w:szCs w:val="24"/>
              <w:highlight w:val="none"/>
            </w:rPr>
            <w:t>应遵循的主要标准</w:t>
          </w:r>
          <w:r>
            <w:tab/>
          </w:r>
          <w:r>
            <w:fldChar w:fldCharType="begin"/>
          </w:r>
          <w:r>
            <w:instrText xml:space="preserve"> PAGEREF _Toc8018 \h </w:instrText>
          </w:r>
          <w:r>
            <w:fldChar w:fldCharType="separate"/>
          </w:r>
          <w:r>
            <w:t>2</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_Toc28605 </w:instrText>
          </w:r>
          <w:r>
            <w:rPr>
              <w:szCs w:val="21"/>
              <w:highlight w:val="none"/>
            </w:rPr>
            <w:fldChar w:fldCharType="separate"/>
          </w:r>
          <w:r>
            <w:rPr>
              <w:rFonts w:hint="eastAsia" w:cs="宋体"/>
              <w:szCs w:val="24"/>
              <w:highlight w:val="none"/>
              <w:lang w:val="en-US" w:eastAsia="zh-CN"/>
            </w:rPr>
            <w:t>3.</w:t>
          </w:r>
          <w:r>
            <w:rPr>
              <w:rFonts w:hint="eastAsia" w:cs="宋体"/>
              <w:szCs w:val="24"/>
              <w:highlight w:val="none"/>
            </w:rPr>
            <w:t>项目概述</w:t>
          </w:r>
          <w:r>
            <w:tab/>
          </w:r>
          <w:r>
            <w:fldChar w:fldCharType="begin"/>
          </w:r>
          <w:r>
            <w:instrText xml:space="preserve"> PAGEREF _Toc28605 \h </w:instrText>
          </w:r>
          <w:r>
            <w:fldChar w:fldCharType="separate"/>
          </w:r>
          <w:r>
            <w:t>3</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_Toc30627 </w:instrText>
          </w:r>
          <w:r>
            <w:rPr>
              <w:szCs w:val="21"/>
              <w:highlight w:val="none"/>
            </w:rPr>
            <w:fldChar w:fldCharType="separate"/>
          </w:r>
          <w:r>
            <w:rPr>
              <w:rFonts w:hint="eastAsia" w:cs="宋体"/>
              <w:szCs w:val="24"/>
              <w:highlight w:val="none"/>
              <w:lang w:val="en-US" w:eastAsia="zh-CN"/>
            </w:rPr>
            <w:t>4.</w:t>
          </w:r>
          <w:r>
            <w:rPr>
              <w:rFonts w:hint="eastAsia" w:cs="宋体"/>
              <w:szCs w:val="24"/>
              <w:highlight w:val="none"/>
            </w:rPr>
            <w:t>范围和内容</w:t>
          </w:r>
          <w:r>
            <w:tab/>
          </w:r>
          <w:r>
            <w:fldChar w:fldCharType="begin"/>
          </w:r>
          <w:r>
            <w:instrText xml:space="preserve"> PAGEREF _Toc30627 \h </w:instrText>
          </w:r>
          <w:r>
            <w:fldChar w:fldCharType="separate"/>
          </w:r>
          <w:r>
            <w:t>3</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_Toc23277 </w:instrText>
          </w:r>
          <w:r>
            <w:rPr>
              <w:szCs w:val="21"/>
              <w:highlight w:val="none"/>
            </w:rPr>
            <w:fldChar w:fldCharType="separate"/>
          </w:r>
          <w:r>
            <w:rPr>
              <w:rFonts w:hint="eastAsia" w:cs="宋体"/>
              <w:szCs w:val="24"/>
              <w:highlight w:val="none"/>
              <w:lang w:val="en-US" w:eastAsia="zh-CN"/>
            </w:rPr>
            <w:t>5.</w:t>
          </w:r>
          <w:r>
            <w:rPr>
              <w:rFonts w:hint="eastAsia" w:cs="宋体"/>
              <w:szCs w:val="24"/>
              <w:highlight w:val="none"/>
            </w:rPr>
            <w:t>总体要求</w:t>
          </w:r>
          <w:r>
            <w:tab/>
          </w:r>
          <w:r>
            <w:fldChar w:fldCharType="begin"/>
          </w:r>
          <w:r>
            <w:instrText xml:space="preserve"> PAGEREF _Toc23277 \h </w:instrText>
          </w:r>
          <w:r>
            <w:fldChar w:fldCharType="separate"/>
          </w:r>
          <w:r>
            <w:t>4</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_Toc19661 </w:instrText>
          </w:r>
          <w:r>
            <w:rPr>
              <w:szCs w:val="21"/>
              <w:highlight w:val="none"/>
            </w:rPr>
            <w:fldChar w:fldCharType="separate"/>
          </w:r>
          <w:r>
            <w:rPr>
              <w:rFonts w:hint="eastAsia" w:cs="宋体"/>
              <w:szCs w:val="24"/>
              <w:highlight w:val="none"/>
              <w:lang w:val="en-US" w:eastAsia="zh-CN"/>
            </w:rPr>
            <w:t>6.</w:t>
          </w:r>
          <w:r>
            <w:rPr>
              <w:rFonts w:hint="eastAsia" w:cs="宋体"/>
              <w:szCs w:val="24"/>
              <w:highlight w:val="none"/>
            </w:rPr>
            <w:t>其他要求</w:t>
          </w:r>
          <w:r>
            <w:tab/>
          </w:r>
          <w:r>
            <w:fldChar w:fldCharType="begin"/>
          </w:r>
          <w:r>
            <w:instrText xml:space="preserve"> PAGEREF _Toc19661 \h </w:instrText>
          </w:r>
          <w:r>
            <w:fldChar w:fldCharType="separate"/>
          </w:r>
          <w:r>
            <w:t>4</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_Toc15844 </w:instrText>
          </w:r>
          <w:r>
            <w:rPr>
              <w:szCs w:val="21"/>
              <w:highlight w:val="none"/>
            </w:rPr>
            <w:fldChar w:fldCharType="separate"/>
          </w:r>
          <w:r>
            <w:rPr>
              <w:rFonts w:hint="eastAsia" w:hAnsi="宋体" w:cs="宋体"/>
              <w:szCs w:val="24"/>
              <w:highlight w:val="none"/>
              <w:lang w:val="en-US" w:eastAsia="zh-CN"/>
            </w:rPr>
            <w:t>6.1</w:t>
          </w:r>
          <w:r>
            <w:rPr>
              <w:rFonts w:hint="eastAsia" w:hAnsi="宋体" w:cs="宋体"/>
              <w:szCs w:val="24"/>
              <w:highlight w:val="none"/>
            </w:rPr>
            <w:t>项目进度</w:t>
          </w:r>
          <w:r>
            <w:tab/>
          </w:r>
          <w:r>
            <w:fldChar w:fldCharType="begin"/>
          </w:r>
          <w:r>
            <w:instrText xml:space="preserve"> PAGEREF _Toc15844 \h </w:instrText>
          </w:r>
          <w:r>
            <w:fldChar w:fldCharType="separate"/>
          </w:r>
          <w:r>
            <w:t>4</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_Toc2218 </w:instrText>
          </w:r>
          <w:r>
            <w:rPr>
              <w:szCs w:val="21"/>
              <w:highlight w:val="none"/>
            </w:rPr>
            <w:fldChar w:fldCharType="separate"/>
          </w:r>
          <w:r>
            <w:rPr>
              <w:rFonts w:hint="eastAsia" w:hAnsi="宋体" w:cs="宋体"/>
              <w:szCs w:val="24"/>
              <w:highlight w:val="none"/>
              <w:lang w:val="en-US" w:eastAsia="zh-CN"/>
            </w:rPr>
            <w:t>6.2</w:t>
          </w:r>
          <w:r>
            <w:rPr>
              <w:rFonts w:hint="eastAsia" w:hAnsi="宋体" w:cs="宋体"/>
              <w:szCs w:val="24"/>
              <w:highlight w:val="none"/>
            </w:rPr>
            <w:t>项目联络</w:t>
          </w:r>
          <w:r>
            <w:tab/>
          </w:r>
          <w:r>
            <w:fldChar w:fldCharType="begin"/>
          </w:r>
          <w:r>
            <w:instrText xml:space="preserve"> PAGEREF _Toc2218 \h </w:instrText>
          </w:r>
          <w:r>
            <w:fldChar w:fldCharType="separate"/>
          </w:r>
          <w:r>
            <w:t>4</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_Toc14247 </w:instrText>
          </w:r>
          <w:r>
            <w:rPr>
              <w:szCs w:val="21"/>
              <w:highlight w:val="none"/>
            </w:rPr>
            <w:fldChar w:fldCharType="separate"/>
          </w:r>
          <w:r>
            <w:rPr>
              <w:rFonts w:hint="eastAsia" w:hAnsi="宋体" w:cs="宋体"/>
              <w:szCs w:val="24"/>
              <w:highlight w:val="none"/>
              <w:lang w:val="en-US" w:eastAsia="zh-CN"/>
            </w:rPr>
            <w:t>6.3</w:t>
          </w:r>
          <w:r>
            <w:rPr>
              <w:rFonts w:hint="eastAsia" w:hAnsi="宋体" w:cs="宋体"/>
              <w:szCs w:val="24"/>
              <w:highlight w:val="none"/>
            </w:rPr>
            <w:t>实施人员素质和人数要求</w:t>
          </w:r>
          <w:r>
            <w:tab/>
          </w:r>
          <w:r>
            <w:fldChar w:fldCharType="begin"/>
          </w:r>
          <w:r>
            <w:instrText xml:space="preserve"> PAGEREF _Toc14247 \h </w:instrText>
          </w:r>
          <w:r>
            <w:fldChar w:fldCharType="separate"/>
          </w:r>
          <w:r>
            <w:t>5</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_Toc119 </w:instrText>
          </w:r>
          <w:r>
            <w:rPr>
              <w:szCs w:val="21"/>
              <w:highlight w:val="none"/>
            </w:rPr>
            <w:fldChar w:fldCharType="separate"/>
          </w:r>
          <w:r>
            <w:rPr>
              <w:rFonts w:hint="eastAsia" w:hAnsi="宋体" w:cs="宋体"/>
              <w:szCs w:val="24"/>
              <w:highlight w:val="none"/>
              <w:lang w:val="en-US" w:eastAsia="zh-CN"/>
            </w:rPr>
            <w:t>7.人员技能、资格要求</w:t>
          </w:r>
          <w:r>
            <w:tab/>
          </w:r>
          <w:r>
            <w:fldChar w:fldCharType="begin"/>
          </w:r>
          <w:r>
            <w:instrText xml:space="preserve"> PAGEREF _Toc119 \h </w:instrText>
          </w:r>
          <w:r>
            <w:fldChar w:fldCharType="separate"/>
          </w:r>
          <w:r>
            <w:t>5</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_Toc22942 </w:instrText>
          </w:r>
          <w:r>
            <w:rPr>
              <w:szCs w:val="21"/>
              <w:highlight w:val="none"/>
            </w:rPr>
            <w:fldChar w:fldCharType="separate"/>
          </w:r>
          <w:r>
            <w:rPr>
              <w:rFonts w:hint="eastAsia" w:hAnsi="宋体" w:cs="宋体"/>
              <w:szCs w:val="24"/>
              <w:highlight w:val="none"/>
              <w:lang w:val="en-US" w:eastAsia="zh-CN"/>
            </w:rPr>
            <w:t>8.</w:t>
          </w:r>
          <w:r>
            <w:rPr>
              <w:rFonts w:hint="eastAsia" w:hAnsi="宋体" w:cs="宋体"/>
              <w:szCs w:val="24"/>
              <w:highlight w:val="none"/>
            </w:rPr>
            <w:t>合作项目及设计确认</w:t>
          </w:r>
          <w:r>
            <w:tab/>
          </w:r>
          <w:r>
            <w:fldChar w:fldCharType="begin"/>
          </w:r>
          <w:r>
            <w:instrText xml:space="preserve"> PAGEREF _Toc22942 \h </w:instrText>
          </w:r>
          <w:r>
            <w:fldChar w:fldCharType="separate"/>
          </w:r>
          <w:r>
            <w:t>5</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_Toc21654 </w:instrText>
          </w:r>
          <w:r>
            <w:rPr>
              <w:szCs w:val="21"/>
              <w:highlight w:val="none"/>
            </w:rPr>
            <w:fldChar w:fldCharType="separate"/>
          </w:r>
          <w:r>
            <w:rPr>
              <w:rFonts w:hint="eastAsia" w:hAnsi="宋体" w:cs="宋体"/>
              <w:szCs w:val="24"/>
              <w:highlight w:val="none"/>
              <w:lang w:val="en-US" w:eastAsia="zh-CN"/>
            </w:rPr>
            <w:t>9.</w:t>
          </w:r>
          <w:r>
            <w:rPr>
              <w:rFonts w:hint="eastAsia" w:hAnsi="宋体" w:cs="宋体"/>
              <w:szCs w:val="24"/>
              <w:highlight w:val="none"/>
            </w:rPr>
            <w:t>评审与验收</w:t>
          </w:r>
          <w:r>
            <w:tab/>
          </w:r>
          <w:r>
            <w:fldChar w:fldCharType="begin"/>
          </w:r>
          <w:r>
            <w:instrText xml:space="preserve"> PAGEREF _Toc21654 \h </w:instrText>
          </w:r>
          <w:r>
            <w:fldChar w:fldCharType="separate"/>
          </w:r>
          <w:r>
            <w:t>5</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_Toc11479 </w:instrText>
          </w:r>
          <w:r>
            <w:rPr>
              <w:szCs w:val="21"/>
              <w:highlight w:val="none"/>
            </w:rPr>
            <w:fldChar w:fldCharType="separate"/>
          </w:r>
          <w:r>
            <w:rPr>
              <w:rFonts w:hint="eastAsia" w:hAnsi="宋体" w:cs="宋体"/>
              <w:szCs w:val="24"/>
              <w:highlight w:val="none"/>
              <w:lang w:val="en-US" w:eastAsia="zh-CN"/>
            </w:rPr>
            <w:t>10.</w:t>
          </w:r>
          <w:r>
            <w:rPr>
              <w:rFonts w:hint="eastAsia" w:hAnsi="宋体" w:cs="宋体"/>
              <w:szCs w:val="24"/>
              <w:highlight w:val="none"/>
            </w:rPr>
            <w:t>售后服务</w:t>
          </w:r>
          <w:r>
            <w:tab/>
          </w:r>
          <w:r>
            <w:fldChar w:fldCharType="begin"/>
          </w:r>
          <w:r>
            <w:instrText xml:space="preserve"> PAGEREF _Toc11479 \h </w:instrText>
          </w:r>
          <w:r>
            <w:fldChar w:fldCharType="separate"/>
          </w:r>
          <w:r>
            <w:t>6</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_Toc29507 </w:instrText>
          </w:r>
          <w:r>
            <w:rPr>
              <w:szCs w:val="21"/>
              <w:highlight w:val="none"/>
            </w:rPr>
            <w:fldChar w:fldCharType="separate"/>
          </w:r>
          <w:r>
            <w:rPr>
              <w:rFonts w:hint="eastAsia" w:cs="宋体"/>
              <w:szCs w:val="24"/>
              <w:highlight w:val="none"/>
              <w:lang w:val="en-US" w:eastAsia="zh-CN"/>
            </w:rPr>
            <w:t>11.</w:t>
          </w:r>
          <w:r>
            <w:rPr>
              <w:rFonts w:hint="eastAsia" w:cs="宋体"/>
              <w:szCs w:val="24"/>
              <w:highlight w:val="none"/>
            </w:rPr>
            <w:t>附件</w:t>
          </w:r>
          <w:r>
            <w:tab/>
          </w:r>
          <w:r>
            <w:fldChar w:fldCharType="begin"/>
          </w:r>
          <w:r>
            <w:instrText xml:space="preserve"> PAGEREF _Toc29507 \h </w:instrText>
          </w:r>
          <w:r>
            <w:fldChar w:fldCharType="separate"/>
          </w:r>
          <w:r>
            <w:t>6</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_Toc29282 </w:instrText>
          </w:r>
          <w:r>
            <w:rPr>
              <w:szCs w:val="21"/>
              <w:highlight w:val="none"/>
            </w:rPr>
            <w:fldChar w:fldCharType="separate"/>
          </w:r>
          <w:r>
            <w:rPr>
              <w:rFonts w:hint="eastAsia" w:hAnsi="宋体" w:cs="宋体"/>
              <w:szCs w:val="24"/>
              <w:highlight w:val="none"/>
              <w:lang w:val="en-US" w:eastAsia="zh-CN"/>
            </w:rPr>
            <w:t>11.1</w:t>
          </w:r>
          <w:r>
            <w:rPr>
              <w:rFonts w:hint="eastAsia" w:hAnsi="宋体" w:cs="宋体"/>
              <w:szCs w:val="24"/>
              <w:highlight w:val="none"/>
            </w:rPr>
            <w:t>差异表</w:t>
          </w:r>
          <w:r>
            <w:tab/>
          </w:r>
          <w:r>
            <w:fldChar w:fldCharType="begin"/>
          </w:r>
          <w:r>
            <w:instrText xml:space="preserve"> PAGEREF _Toc29282 \h </w:instrText>
          </w:r>
          <w:r>
            <w:fldChar w:fldCharType="separate"/>
          </w:r>
          <w:r>
            <w:t>6</w:t>
          </w:r>
          <w:r>
            <w:fldChar w:fldCharType="end"/>
          </w:r>
          <w:r>
            <w:rPr>
              <w:szCs w:val="21"/>
              <w:highlight w:val="none"/>
            </w:rPr>
            <w:fldChar w:fldCharType="end"/>
          </w:r>
        </w:p>
        <w:p>
          <w:pPr>
            <w:pStyle w:val="15"/>
            <w:tabs>
              <w:tab w:val="right" w:leader="dot" w:pos="8306"/>
              <w:tab w:val="clear" w:pos="8296"/>
            </w:tabs>
          </w:pPr>
          <w:r>
            <w:rPr>
              <w:szCs w:val="21"/>
              <w:highlight w:val="none"/>
            </w:rPr>
            <w:fldChar w:fldCharType="begin"/>
          </w:r>
          <w:r>
            <w:rPr>
              <w:szCs w:val="21"/>
              <w:highlight w:val="none"/>
            </w:rPr>
            <w:instrText xml:space="preserve"> HYPERLINK \l _Toc32270 </w:instrText>
          </w:r>
          <w:r>
            <w:rPr>
              <w:szCs w:val="21"/>
              <w:highlight w:val="none"/>
            </w:rPr>
            <w:fldChar w:fldCharType="separate"/>
          </w:r>
          <w:r>
            <w:rPr>
              <w:rFonts w:hint="eastAsia" w:hAnsi="宋体" w:cs="宋体"/>
              <w:szCs w:val="24"/>
              <w:highlight w:val="none"/>
              <w:lang w:val="en-US" w:eastAsia="zh-CN"/>
            </w:rPr>
            <w:t>11.2</w:t>
          </w:r>
          <w:r>
            <w:rPr>
              <w:rFonts w:hint="eastAsia" w:hAnsi="宋体" w:cs="宋体"/>
              <w:szCs w:val="24"/>
              <w:highlight w:val="none"/>
            </w:rPr>
            <w:t>投标方需要说明的其它问题</w:t>
          </w:r>
          <w:r>
            <w:tab/>
          </w:r>
          <w:r>
            <w:fldChar w:fldCharType="begin"/>
          </w:r>
          <w:r>
            <w:instrText xml:space="preserve"> PAGEREF _Toc32270 \h </w:instrText>
          </w:r>
          <w:r>
            <w:fldChar w:fldCharType="separate"/>
          </w:r>
          <w:r>
            <w:t>6</w:t>
          </w:r>
          <w:r>
            <w:fldChar w:fldCharType="end"/>
          </w:r>
          <w:r>
            <w:rPr>
              <w:szCs w:val="21"/>
              <w:highlight w:val="none"/>
            </w:rPr>
            <w:fldChar w:fldCharType="end"/>
          </w:r>
        </w:p>
        <w:p>
          <w:pPr>
            <w:spacing w:line="300" w:lineRule="auto"/>
            <w:rPr>
              <w:rFonts w:ascii="宋体" w:hAnsi="宋体" w:eastAsia="宋体" w:cs="Times New Roman"/>
              <w:kern w:val="2"/>
              <w:sz w:val="24"/>
              <w:szCs w:val="21"/>
              <w:highlight w:val="none"/>
              <w:lang w:val="en-US" w:eastAsia="zh-CN" w:bidi="ar-SA"/>
            </w:rPr>
            <w:sectPr>
              <w:footerReference r:id="rId5" w:type="default"/>
              <w:footerReference r:id="rId6"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szCs w:val="21"/>
              <w:highlight w:val="none"/>
            </w:rPr>
            <w:fldChar w:fldCharType="end"/>
          </w:r>
        </w:p>
      </w:sdtContent>
    </w:sdt>
    <w:p>
      <w:pPr>
        <w:pStyle w:val="3"/>
        <w:rPr>
          <w:rFonts w:cs="宋体"/>
          <w:szCs w:val="24"/>
          <w:highlight w:val="none"/>
        </w:rPr>
      </w:pPr>
      <w:bookmarkStart w:id="0" w:name="_Toc24403"/>
      <w:bookmarkStart w:id="1" w:name="_Toc31515"/>
      <w:bookmarkStart w:id="2" w:name="_Toc3185"/>
      <w:r>
        <w:rPr>
          <w:rFonts w:hint="eastAsia" w:cs="宋体"/>
          <w:szCs w:val="24"/>
          <w:highlight w:val="none"/>
          <w:lang w:val="en-US" w:eastAsia="zh-CN"/>
        </w:rPr>
        <w:t>1.</w:t>
      </w:r>
      <w:r>
        <w:rPr>
          <w:rFonts w:hint="eastAsia" w:cs="宋体"/>
          <w:szCs w:val="24"/>
          <w:highlight w:val="none"/>
        </w:rPr>
        <w:t>总则</w:t>
      </w:r>
      <w:bookmarkEnd w:id="0"/>
      <w:bookmarkEnd w:id="1"/>
      <w:bookmarkEnd w:id="2"/>
    </w:p>
    <w:p>
      <w:pPr>
        <w:pStyle w:val="4"/>
        <w:outlineLvl w:val="0"/>
        <w:rPr>
          <w:rFonts w:hAnsi="宋体" w:cs="宋体"/>
          <w:szCs w:val="24"/>
          <w:highlight w:val="none"/>
        </w:rPr>
      </w:pPr>
      <w:bookmarkStart w:id="3" w:name="_Toc29853"/>
      <w:r>
        <w:rPr>
          <w:rFonts w:hint="eastAsia" w:hAnsi="宋体" w:cs="宋体"/>
          <w:szCs w:val="24"/>
          <w:highlight w:val="none"/>
        </w:rPr>
        <w:t>一般要求</w:t>
      </w:r>
      <w:bookmarkEnd w:id="3"/>
    </w:p>
    <w:p>
      <w:pPr>
        <w:pStyle w:val="27"/>
        <w:numPr>
          <w:ilvl w:val="2"/>
          <w:numId w:val="4"/>
        </w:numPr>
        <w:rPr>
          <w:rFonts w:cs="宋体"/>
          <w:highlight w:val="none"/>
        </w:rPr>
      </w:pPr>
      <w:r>
        <w:rPr>
          <w:rFonts w:hint="eastAsia" w:cs="宋体"/>
          <w:highlight w:val="none"/>
        </w:rPr>
        <w:t>投标方必须认真阅读本技术条款内容，以免造成投标失败。</w:t>
      </w:r>
    </w:p>
    <w:p>
      <w:pPr>
        <w:pStyle w:val="27"/>
        <w:numPr>
          <w:ilvl w:val="2"/>
          <w:numId w:val="4"/>
        </w:numPr>
        <w:rPr>
          <w:rFonts w:hint="eastAsia" w:ascii="宋体" w:hAnsi="宋体" w:eastAsia="宋体" w:cs="宋体"/>
          <w:sz w:val="24"/>
          <w:szCs w:val="24"/>
        </w:rPr>
      </w:pPr>
      <w:r>
        <w:rPr>
          <w:rFonts w:hint="eastAsia" w:cs="宋体"/>
          <w:highlight w:val="none"/>
        </w:rPr>
        <w:t>本技术规范书主要描述</w:t>
      </w:r>
      <w:r>
        <w:rPr>
          <w:rFonts w:hint="eastAsia" w:ascii="宋体" w:hAnsi="宋体" w:eastAsia="宋体" w:cs="宋体"/>
          <w:sz w:val="24"/>
          <w:szCs w:val="24"/>
        </w:rPr>
        <w:t>南宁供电局2024年第21届东盟博览会保供电系统终端调试服务项目</w:t>
      </w:r>
    </w:p>
    <w:p>
      <w:pPr>
        <w:pStyle w:val="27"/>
        <w:numPr>
          <w:ilvl w:val="0"/>
          <w:numId w:val="0"/>
        </w:numPr>
        <w:ind w:leftChars="0"/>
        <w:rPr>
          <w:rFonts w:cs="宋体"/>
          <w:highlight w:val="none"/>
        </w:rPr>
      </w:pPr>
      <w:r>
        <w:rPr>
          <w:rFonts w:hint="eastAsia" w:cs="宋体"/>
          <w:highlight w:val="none"/>
        </w:rPr>
        <w:t>要求有关事项。</w:t>
      </w:r>
    </w:p>
    <w:p>
      <w:pPr>
        <w:pStyle w:val="27"/>
        <w:numPr>
          <w:ilvl w:val="2"/>
          <w:numId w:val="4"/>
        </w:numPr>
        <w:rPr>
          <w:rFonts w:cs="宋体"/>
          <w:highlight w:val="none"/>
        </w:rPr>
      </w:pPr>
      <w:r>
        <w:rPr>
          <w:rFonts w:hint="eastAsia" w:cs="宋体"/>
          <w:highlight w:val="none"/>
        </w:rPr>
        <w:t>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7"/>
        <w:numPr>
          <w:ilvl w:val="2"/>
          <w:numId w:val="4"/>
        </w:numPr>
        <w:rPr>
          <w:rFonts w:cs="宋体"/>
          <w:highlight w:val="none"/>
        </w:rPr>
      </w:pPr>
      <w:r>
        <w:rPr>
          <w:rFonts w:hint="eastAsia" w:cs="宋体"/>
          <w:highlight w:val="none"/>
        </w:rPr>
        <w:t>投标方应提供满足本技术规范书要求的</w:t>
      </w:r>
      <w:r>
        <w:rPr>
          <w:rFonts w:hint="eastAsia" w:cs="宋体"/>
          <w:highlight w:val="none"/>
          <w:lang w:eastAsia="zh-CN"/>
        </w:rPr>
        <w:t>范围和内容、</w:t>
      </w:r>
      <w:r>
        <w:rPr>
          <w:rFonts w:hint="eastAsia" w:cs="宋体"/>
          <w:highlight w:val="none"/>
        </w:rPr>
        <w:t>报价，实施方案必须满足本技术规范的主要要求，否则将被认作没有回答。投标方认为需特殊说明的部分，应附详细的技术资料，否则因评标理解不同而产生的后果由投标方负责。</w:t>
      </w:r>
    </w:p>
    <w:p>
      <w:pPr>
        <w:pStyle w:val="27"/>
        <w:numPr>
          <w:ilvl w:val="2"/>
          <w:numId w:val="4"/>
        </w:numPr>
        <w:rPr>
          <w:rFonts w:cs="宋体"/>
          <w:highlight w:val="none"/>
        </w:rPr>
      </w:pPr>
      <w:r>
        <w:rPr>
          <w:rFonts w:hint="eastAsia" w:cs="宋体"/>
          <w:highlight w:val="none"/>
        </w:rPr>
        <w:t>如果投标方认为本技术条款所描述技术要求等存在不合理性或不明白的，可在响应原要求后陈述相关建议。</w:t>
      </w:r>
    </w:p>
    <w:p>
      <w:pPr>
        <w:pStyle w:val="27"/>
        <w:numPr>
          <w:ilvl w:val="2"/>
          <w:numId w:val="4"/>
        </w:numPr>
        <w:rPr>
          <w:rFonts w:cs="宋体"/>
          <w:highlight w:val="none"/>
        </w:rPr>
      </w:pPr>
      <w:r>
        <w:rPr>
          <w:rFonts w:hint="eastAsia" w:cs="宋体"/>
          <w:highlight w:val="none"/>
        </w:rPr>
        <w:t>投标方也可提出满足本技术规范书要求，且技术先进、成熟、价格合理的其他建议，供招标方选择。</w:t>
      </w:r>
    </w:p>
    <w:p>
      <w:pPr>
        <w:pStyle w:val="27"/>
        <w:numPr>
          <w:ilvl w:val="2"/>
          <w:numId w:val="4"/>
        </w:numPr>
        <w:rPr>
          <w:rFonts w:cs="宋体"/>
          <w:highlight w:val="none"/>
        </w:rPr>
      </w:pPr>
      <w:r>
        <w:rPr>
          <w:rFonts w:hint="eastAsia" w:cs="宋体"/>
          <w:highlight w:val="none"/>
        </w:rPr>
        <w:t>投标方应提供满足本技术规范书要求的完整的服务、工作产品，满足国家及用户提出的有关质量标准要求。所有工作产品必须具有在中国境内的合法使用权。</w:t>
      </w:r>
    </w:p>
    <w:p>
      <w:pPr>
        <w:pStyle w:val="27"/>
        <w:numPr>
          <w:ilvl w:val="2"/>
          <w:numId w:val="4"/>
        </w:numPr>
        <w:rPr>
          <w:rFonts w:cs="宋体"/>
          <w:highlight w:val="none"/>
        </w:rPr>
      </w:pPr>
      <w:r>
        <w:rPr>
          <w:rFonts w:hint="eastAsia" w:cs="宋体"/>
          <w:highlight w:val="none"/>
        </w:rPr>
        <w:t>本技术规范书所使用的标准如与投标方所执行的标准不一致，按较高标准执行。</w:t>
      </w:r>
    </w:p>
    <w:p>
      <w:pPr>
        <w:pStyle w:val="27"/>
        <w:numPr>
          <w:ilvl w:val="2"/>
          <w:numId w:val="4"/>
        </w:numPr>
        <w:rPr>
          <w:rFonts w:cs="宋体"/>
          <w:highlight w:val="none"/>
        </w:rPr>
      </w:pPr>
      <w:r>
        <w:rPr>
          <w:rFonts w:hint="eastAsia" w:cs="宋体"/>
          <w:highlight w:val="none"/>
        </w:rPr>
        <w:t>如果因为无法提供的原因而提供其他产品、服务，投标方应明确说明并提出质量保证承诺。</w:t>
      </w:r>
    </w:p>
    <w:p>
      <w:pPr>
        <w:pStyle w:val="27"/>
        <w:numPr>
          <w:ilvl w:val="2"/>
          <w:numId w:val="4"/>
        </w:numPr>
        <w:rPr>
          <w:rFonts w:cs="宋体"/>
          <w:highlight w:val="none"/>
        </w:rPr>
      </w:pPr>
      <w:r>
        <w:rPr>
          <w:rFonts w:hint="eastAsia" w:cs="宋体"/>
          <w:highlight w:val="none"/>
        </w:rPr>
        <w:t>投标方应对本次投标所有文件保密，不得向其他单位公布或泄漏招标项目的有关信息。</w:t>
      </w:r>
    </w:p>
    <w:p>
      <w:pPr>
        <w:pStyle w:val="27"/>
        <w:numPr>
          <w:ilvl w:val="2"/>
          <w:numId w:val="4"/>
        </w:numPr>
        <w:rPr>
          <w:rFonts w:cs="宋体"/>
          <w:highlight w:val="none"/>
        </w:rPr>
      </w:pPr>
      <w:r>
        <w:rPr>
          <w:rFonts w:hint="eastAsia" w:cs="宋体"/>
          <w:highlight w:val="none"/>
        </w:rPr>
        <w:t>在不超出本技术规范书要求的情况下，投标方应对招标方提出的所有细化要求予以满足。</w:t>
      </w:r>
    </w:p>
    <w:p>
      <w:pPr>
        <w:pStyle w:val="4"/>
        <w:outlineLvl w:val="0"/>
        <w:rPr>
          <w:rFonts w:hAnsi="宋体" w:cs="宋体"/>
          <w:szCs w:val="24"/>
          <w:highlight w:val="none"/>
        </w:rPr>
      </w:pPr>
      <w:bookmarkStart w:id="4" w:name="_Toc9494"/>
      <w:r>
        <w:rPr>
          <w:rFonts w:hint="eastAsia" w:hAnsi="宋体" w:cs="宋体"/>
          <w:szCs w:val="24"/>
          <w:highlight w:val="none"/>
        </w:rPr>
        <w:t>投标方职责</w:t>
      </w:r>
      <w:bookmarkEnd w:id="4"/>
    </w:p>
    <w:p>
      <w:pPr>
        <w:pStyle w:val="5"/>
        <w:rPr>
          <w:bCs/>
          <w:highlight w:val="none"/>
        </w:rPr>
      </w:pPr>
      <w:r>
        <w:rPr>
          <w:rFonts w:hint="eastAsia"/>
          <w:bCs/>
          <w:highlight w:val="none"/>
        </w:rPr>
        <w:t>负责本规范书内所需服务</w:t>
      </w:r>
      <w:r>
        <w:rPr>
          <w:rFonts w:hint="eastAsia"/>
          <w:bCs/>
          <w:highlight w:val="none"/>
          <w:lang w:eastAsia="zh-CN"/>
        </w:rPr>
        <w:t>内容</w:t>
      </w:r>
      <w:r>
        <w:rPr>
          <w:rFonts w:hint="eastAsia"/>
          <w:bCs/>
          <w:highlight w:val="none"/>
        </w:rPr>
        <w:t>，并根据招标方需求细化。</w:t>
      </w:r>
    </w:p>
    <w:p>
      <w:pPr>
        <w:pStyle w:val="5"/>
        <w:rPr>
          <w:bCs/>
          <w:highlight w:val="none"/>
        </w:rPr>
      </w:pPr>
      <w:r>
        <w:rPr>
          <w:rFonts w:hint="eastAsia"/>
          <w:bCs/>
          <w:highlight w:val="none"/>
        </w:rPr>
        <w:t>负责第21届东博会可视化保电终端调试</w:t>
      </w:r>
      <w:r>
        <w:rPr>
          <w:rFonts w:hint="eastAsia"/>
          <w:bCs/>
          <w:highlight w:val="none"/>
          <w:lang w:eastAsia="zh-CN"/>
        </w:rPr>
        <w:t>的前期策划、项目推进、现场执行</w:t>
      </w:r>
      <w:r>
        <w:rPr>
          <w:rFonts w:hint="eastAsia"/>
          <w:bCs/>
          <w:highlight w:val="none"/>
        </w:rPr>
        <w:t>。</w:t>
      </w:r>
    </w:p>
    <w:p>
      <w:pPr>
        <w:pStyle w:val="5"/>
        <w:rPr>
          <w:bCs/>
          <w:highlight w:val="none"/>
        </w:rPr>
      </w:pPr>
      <w:r>
        <w:rPr>
          <w:rFonts w:hint="eastAsia"/>
          <w:bCs/>
          <w:highlight w:val="none"/>
        </w:rPr>
        <w:t>签订合同后为招标方提供项目管理服务。</w:t>
      </w:r>
    </w:p>
    <w:p>
      <w:pPr>
        <w:pStyle w:val="5"/>
        <w:rPr>
          <w:bCs/>
          <w:highlight w:val="none"/>
        </w:rPr>
      </w:pPr>
      <w:r>
        <w:rPr>
          <w:rFonts w:hint="eastAsia"/>
          <w:bCs/>
          <w:highlight w:val="none"/>
        </w:rPr>
        <w:t>负责最终提供的</w:t>
      </w:r>
      <w:r>
        <w:rPr>
          <w:rFonts w:hint="eastAsia"/>
          <w:bCs/>
          <w:highlight w:val="none"/>
          <w:lang w:val="en-US" w:eastAsia="zh-CN"/>
        </w:rPr>
        <w:t>摄像头安装服务</w:t>
      </w:r>
      <w:r>
        <w:rPr>
          <w:rFonts w:hint="eastAsia"/>
          <w:bCs/>
          <w:highlight w:val="none"/>
        </w:rPr>
        <w:t>的</w:t>
      </w:r>
      <w:r>
        <w:rPr>
          <w:rFonts w:hint="eastAsia"/>
          <w:bCs/>
          <w:highlight w:val="none"/>
          <w:lang w:val="en-US" w:eastAsia="zh-CN"/>
        </w:rPr>
        <w:t>质量符合保供电监视要求</w:t>
      </w:r>
      <w:r>
        <w:rPr>
          <w:rFonts w:hint="eastAsia"/>
          <w:bCs/>
          <w:highlight w:val="none"/>
        </w:rPr>
        <w:t>。</w:t>
      </w:r>
    </w:p>
    <w:p>
      <w:pPr>
        <w:pStyle w:val="5"/>
        <w:rPr>
          <w:bCs/>
          <w:highlight w:val="none"/>
        </w:rPr>
      </w:pPr>
      <w:r>
        <w:rPr>
          <w:rFonts w:hint="eastAsia"/>
          <w:bCs/>
          <w:highlight w:val="none"/>
        </w:rPr>
        <w:t>保证提供的所有服务的质量及技术指标完全满足本规范书要求。</w:t>
      </w:r>
    </w:p>
    <w:p>
      <w:pPr>
        <w:pStyle w:val="5"/>
        <w:rPr>
          <w:bCs/>
          <w:highlight w:val="none"/>
        </w:rPr>
      </w:pPr>
      <w:r>
        <w:rPr>
          <w:rFonts w:hint="eastAsia"/>
          <w:bCs/>
          <w:highlight w:val="none"/>
        </w:rPr>
        <w:t>负责配合招标方有关人员在投标方地点的联络会等事宜，投标方自理投标方项目组人员的往返交通、住宿等费用等。</w:t>
      </w:r>
    </w:p>
    <w:p>
      <w:pPr>
        <w:pStyle w:val="5"/>
        <w:rPr>
          <w:bCs/>
          <w:highlight w:val="none"/>
        </w:rPr>
      </w:pPr>
      <w:r>
        <w:rPr>
          <w:rFonts w:hint="eastAsia"/>
          <w:bCs/>
          <w:highlight w:val="none"/>
        </w:rPr>
        <w:t>与招标方签订保密协议，遵守招标方的相关保密制度。</w:t>
      </w:r>
    </w:p>
    <w:p>
      <w:pPr>
        <w:rPr>
          <w:highlight w:val="none"/>
        </w:rPr>
      </w:pPr>
      <w:r>
        <w:rPr>
          <w:rFonts w:hint="eastAsia"/>
          <w:highlight w:val="none"/>
        </w:rPr>
        <w:t>1.2.</w:t>
      </w:r>
      <w:r>
        <w:rPr>
          <w:rFonts w:hint="eastAsia"/>
          <w:highlight w:val="none"/>
          <w:lang w:val="en-US" w:eastAsia="zh-CN"/>
        </w:rPr>
        <w:t>8</w:t>
      </w:r>
      <w:r>
        <w:rPr>
          <w:rFonts w:hint="eastAsia"/>
          <w:highlight w:val="none"/>
        </w:rPr>
        <w:t xml:space="preserve"> 投标方（服务商、供应商）按照广西电网公司档案管理要求，根据归档范围负责自“项目准备”至“项目验收”阶段的项目文件收集、整理、组卷，并按规定时限向招标方项目负责人移交。投标方应明确负责档案管理的人员，开工前投标方必须向招标方提供档案管理人员名单表，经招标方确认后方可实施。</w:t>
      </w:r>
    </w:p>
    <w:p>
      <w:pPr>
        <w:pStyle w:val="4"/>
        <w:outlineLvl w:val="0"/>
        <w:rPr>
          <w:rFonts w:hAnsi="宋体" w:cs="宋体"/>
          <w:szCs w:val="24"/>
          <w:highlight w:val="none"/>
        </w:rPr>
      </w:pPr>
      <w:bookmarkStart w:id="5" w:name="_Toc4128"/>
      <w:r>
        <w:rPr>
          <w:rFonts w:hint="eastAsia" w:hAnsi="宋体" w:cs="宋体"/>
          <w:szCs w:val="24"/>
          <w:highlight w:val="none"/>
        </w:rPr>
        <w:t>招标方职责</w:t>
      </w:r>
      <w:bookmarkEnd w:id="5"/>
    </w:p>
    <w:p>
      <w:pPr>
        <w:pStyle w:val="5"/>
        <w:rPr>
          <w:bCs/>
          <w:highlight w:val="none"/>
        </w:rPr>
      </w:pPr>
      <w:r>
        <w:rPr>
          <w:rFonts w:hint="eastAsia"/>
          <w:bCs/>
          <w:highlight w:val="none"/>
        </w:rPr>
        <w:t>负责提供与本项目有关的</w:t>
      </w:r>
      <w:r>
        <w:rPr>
          <w:rFonts w:hint="eastAsia"/>
          <w:bCs/>
          <w:highlight w:val="none"/>
          <w:lang w:eastAsia="zh-CN"/>
        </w:rPr>
        <w:t>公告</w:t>
      </w:r>
      <w:r>
        <w:rPr>
          <w:rFonts w:hint="eastAsia"/>
          <w:bCs/>
          <w:highlight w:val="none"/>
        </w:rPr>
        <w:t>、</w:t>
      </w:r>
      <w:r>
        <w:rPr>
          <w:rFonts w:hint="eastAsia"/>
          <w:bCs/>
          <w:highlight w:val="none"/>
          <w:lang w:eastAsia="zh-CN"/>
        </w:rPr>
        <w:t>注意事项、相关要求</w:t>
      </w:r>
      <w:r>
        <w:rPr>
          <w:rFonts w:hint="eastAsia"/>
          <w:bCs/>
          <w:highlight w:val="none"/>
        </w:rPr>
        <w:t>。</w:t>
      </w:r>
    </w:p>
    <w:p>
      <w:pPr>
        <w:pStyle w:val="5"/>
        <w:rPr>
          <w:bCs/>
          <w:highlight w:val="none"/>
        </w:rPr>
      </w:pPr>
      <w:r>
        <w:rPr>
          <w:rFonts w:hint="eastAsia"/>
          <w:bCs/>
          <w:highlight w:val="none"/>
        </w:rPr>
        <w:t>确认投标方提供的服务、</w:t>
      </w:r>
      <w:r>
        <w:rPr>
          <w:rFonts w:hint="eastAsia"/>
          <w:bCs/>
          <w:highlight w:val="none"/>
          <w:lang w:eastAsia="zh-CN"/>
        </w:rPr>
        <w:t>人力资源服务许可证</w:t>
      </w:r>
      <w:r>
        <w:rPr>
          <w:rFonts w:hint="eastAsia"/>
          <w:bCs/>
          <w:highlight w:val="none"/>
        </w:rPr>
        <w:t>。</w:t>
      </w:r>
    </w:p>
    <w:p>
      <w:pPr>
        <w:pStyle w:val="5"/>
        <w:rPr>
          <w:bCs/>
          <w:highlight w:val="none"/>
        </w:rPr>
      </w:pPr>
      <w:r>
        <w:rPr>
          <w:rFonts w:hint="eastAsia"/>
          <w:bCs/>
          <w:highlight w:val="none"/>
        </w:rPr>
        <w:t>提供满足投标方开展工作的环境条件</w:t>
      </w:r>
      <w:r>
        <w:rPr>
          <w:rFonts w:hint="eastAsia"/>
          <w:bCs/>
          <w:highlight w:val="none"/>
          <w:lang w:eastAsia="zh-CN"/>
        </w:rPr>
        <w:t>。</w:t>
      </w:r>
    </w:p>
    <w:p>
      <w:pPr>
        <w:pStyle w:val="5"/>
        <w:rPr>
          <w:bCs/>
          <w:highlight w:val="none"/>
        </w:rPr>
      </w:pPr>
      <w:r>
        <w:rPr>
          <w:rFonts w:hint="eastAsia"/>
          <w:bCs/>
          <w:highlight w:val="none"/>
        </w:rPr>
        <w:t>负责向投标方解释技术规范书中的要求。</w:t>
      </w:r>
    </w:p>
    <w:p>
      <w:pPr>
        <w:pStyle w:val="5"/>
        <w:rPr>
          <w:bCs/>
          <w:highlight w:val="none"/>
        </w:rPr>
      </w:pPr>
      <w:r>
        <w:rPr>
          <w:rFonts w:hint="eastAsia"/>
          <w:bCs/>
          <w:highlight w:val="none"/>
        </w:rPr>
        <w:t>配合投标方完成项目工作，并组织验收。</w:t>
      </w:r>
    </w:p>
    <w:p>
      <w:pPr>
        <w:pStyle w:val="3"/>
        <w:rPr>
          <w:rFonts w:cs="宋体"/>
          <w:szCs w:val="24"/>
          <w:highlight w:val="none"/>
        </w:rPr>
      </w:pPr>
      <w:bookmarkStart w:id="6" w:name="_Toc11275"/>
      <w:bookmarkStart w:id="7" w:name="_Toc351129172"/>
      <w:bookmarkStart w:id="8" w:name="_Toc28243"/>
      <w:bookmarkStart w:id="9" w:name="_Toc8018"/>
      <w:r>
        <w:rPr>
          <w:rFonts w:hint="eastAsia" w:cs="宋体"/>
          <w:szCs w:val="24"/>
          <w:highlight w:val="none"/>
          <w:lang w:val="en-US" w:eastAsia="zh-CN"/>
        </w:rPr>
        <w:t>2.</w:t>
      </w:r>
      <w:r>
        <w:rPr>
          <w:rFonts w:hint="eastAsia" w:cs="宋体"/>
          <w:szCs w:val="24"/>
          <w:highlight w:val="none"/>
        </w:rPr>
        <w:t>应遵循的主要标准</w:t>
      </w:r>
      <w:bookmarkEnd w:id="6"/>
      <w:bookmarkEnd w:id="7"/>
      <w:bookmarkEnd w:id="8"/>
      <w:bookmarkEnd w:id="9"/>
    </w:p>
    <w:p>
      <w:pPr>
        <w:ind w:firstLine="480" w:firstLineChars="200"/>
        <w:rPr>
          <w:rFonts w:cs="宋体"/>
          <w:highlight w:val="none"/>
        </w:rPr>
      </w:pPr>
      <w:r>
        <w:rPr>
          <w:rFonts w:hint="eastAsia" w:asciiTheme="minorEastAsia" w:hAnsiTheme="minorEastAsia" w:eastAsiaTheme="minorEastAsia"/>
          <w:highlight w:val="none"/>
        </w:rPr>
        <w:t>投标方在</w:t>
      </w:r>
      <w:r>
        <w:rPr>
          <w:rFonts w:hint="eastAsia" w:cs="宋体" w:eastAsiaTheme="minorEastAsia"/>
          <w:highlight w:val="none"/>
        </w:rPr>
        <w:t>服务支持</w:t>
      </w:r>
      <w:r>
        <w:rPr>
          <w:rFonts w:hint="eastAsia" w:asciiTheme="minorEastAsia" w:hAnsiTheme="minorEastAsia" w:eastAsiaTheme="minorEastAsia"/>
          <w:highlight w:val="none"/>
        </w:rPr>
        <w:t>工作过程中提供的所有服务、技术支持</w:t>
      </w:r>
      <w:r>
        <w:rPr>
          <w:rFonts w:hint="eastAsia" w:asciiTheme="minorEastAsia" w:hAnsiTheme="minorEastAsia" w:eastAsiaTheme="minorEastAsia"/>
          <w:highlight w:val="none"/>
          <w:lang w:eastAsia="zh-CN"/>
        </w:rPr>
        <w:t>均应</w:t>
      </w:r>
      <w:r>
        <w:rPr>
          <w:rFonts w:hint="eastAsia" w:asciiTheme="minorEastAsia" w:hAnsiTheme="minorEastAsia" w:eastAsiaTheme="minorEastAsia"/>
          <w:highlight w:val="none"/>
        </w:rPr>
        <w:t>严格遵守相关的法律法规、政策规定以及招标方提出的各项要求，确保投标过程合法合规</w:t>
      </w:r>
      <w:r>
        <w:rPr>
          <w:rFonts w:hint="eastAsia" w:asciiTheme="minorEastAsia" w:hAnsiTheme="minorEastAsia" w:eastAsiaTheme="minorEastAsia"/>
          <w:highlight w:val="none"/>
          <w:lang w:eastAsia="zh-CN"/>
        </w:rPr>
        <w:t>。投标方应具备招标方所要求的各项资格条件，如企业资质、业绩经验、人员配备等。</w:t>
      </w:r>
      <w:r>
        <w:rPr>
          <w:rFonts w:hint="eastAsia" w:asciiTheme="minorEastAsia" w:hAnsiTheme="minorEastAsia" w:eastAsiaTheme="minorEastAsia"/>
          <w:highlight w:val="none"/>
        </w:rPr>
        <w:t>投标方</w:t>
      </w:r>
      <w:r>
        <w:rPr>
          <w:rFonts w:hint="eastAsia" w:asciiTheme="minorEastAsia" w:hAnsiTheme="minorEastAsia" w:eastAsiaTheme="minorEastAsia"/>
          <w:highlight w:val="none"/>
          <w:lang w:eastAsia="zh-CN"/>
        </w:rPr>
        <w:t>提供详细、合理且具有针对性的</w:t>
      </w:r>
      <w:r>
        <w:rPr>
          <w:rFonts w:hint="eastAsia" w:asciiTheme="minorEastAsia" w:hAnsiTheme="minorEastAsia" w:eastAsiaTheme="minorEastAsia"/>
          <w:highlight w:val="none"/>
          <w:lang w:val="en-US" w:eastAsia="zh-CN"/>
        </w:rPr>
        <w:t>可视化终端调试</w:t>
      </w:r>
      <w:r>
        <w:rPr>
          <w:rFonts w:hint="eastAsia" w:asciiTheme="minorEastAsia" w:hAnsiTheme="minorEastAsia" w:eastAsiaTheme="minorEastAsia"/>
          <w:highlight w:val="none"/>
          <w:lang w:eastAsia="zh-CN"/>
        </w:rPr>
        <w:t>方案，包括</w:t>
      </w:r>
      <w:r>
        <w:rPr>
          <w:rFonts w:hint="eastAsia" w:asciiTheme="minorEastAsia" w:hAnsiTheme="minorEastAsia" w:eastAsiaTheme="minorEastAsia"/>
          <w:highlight w:val="none"/>
          <w:lang w:val="en-US" w:eastAsia="zh-CN"/>
        </w:rPr>
        <w:t>摄像头安装调试</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摄像头信号传送回南宁地调主站</w:t>
      </w:r>
      <w:r>
        <w:rPr>
          <w:rFonts w:hint="eastAsia" w:asciiTheme="minorEastAsia" w:hAnsiTheme="minorEastAsia" w:eastAsiaTheme="minorEastAsia"/>
          <w:highlight w:val="none"/>
          <w:lang w:eastAsia="zh-CN"/>
        </w:rPr>
        <w:t>、安全保密措施等方面。具备在</w:t>
      </w:r>
      <w:r>
        <w:rPr>
          <w:rFonts w:hint="eastAsia" w:asciiTheme="minorEastAsia" w:hAnsiTheme="minorEastAsia" w:eastAsiaTheme="minorEastAsia"/>
          <w:highlight w:val="none"/>
          <w:lang w:val="en-US" w:eastAsia="zh-CN"/>
        </w:rPr>
        <w:t>视频监控</w:t>
      </w:r>
      <w:r>
        <w:rPr>
          <w:rFonts w:hint="eastAsia" w:asciiTheme="minorEastAsia" w:hAnsiTheme="minorEastAsia" w:eastAsiaTheme="minorEastAsia"/>
          <w:highlight w:val="none"/>
          <w:lang w:eastAsia="zh-CN"/>
        </w:rPr>
        <w:t>相关的技术领域的能力：</w:t>
      </w:r>
      <w:r>
        <w:rPr>
          <w:rFonts w:hint="eastAsia" w:asciiTheme="minorEastAsia" w:hAnsiTheme="minorEastAsia" w:eastAsiaTheme="minorEastAsia"/>
          <w:highlight w:val="none"/>
          <w:lang w:val="en-US" w:eastAsia="zh-CN"/>
        </w:rPr>
        <w:t>摄像头画面</w:t>
      </w:r>
      <w:r>
        <w:rPr>
          <w:rFonts w:hint="eastAsia" w:asciiTheme="minorEastAsia" w:hAnsiTheme="minorEastAsia" w:eastAsiaTheme="minorEastAsia"/>
          <w:highlight w:val="none"/>
          <w:lang w:eastAsia="zh-CN"/>
        </w:rPr>
        <w:t>的稳定性、</w:t>
      </w:r>
      <w:r>
        <w:rPr>
          <w:rFonts w:hint="eastAsia" w:asciiTheme="minorEastAsia" w:hAnsiTheme="minorEastAsia" w:eastAsiaTheme="minorEastAsia"/>
          <w:highlight w:val="none"/>
          <w:lang w:val="en-US" w:eastAsia="zh-CN"/>
        </w:rPr>
        <w:t>摄像头画面添加至主站视频平台的</w:t>
      </w:r>
      <w:r>
        <w:rPr>
          <w:rFonts w:hint="eastAsia" w:asciiTheme="minorEastAsia" w:hAnsiTheme="minorEastAsia" w:eastAsiaTheme="minorEastAsia"/>
          <w:highlight w:val="none"/>
          <w:lang w:eastAsia="zh-CN"/>
        </w:rPr>
        <w:t>能力。确保</w:t>
      </w:r>
      <w:r>
        <w:rPr>
          <w:rFonts w:hint="eastAsia" w:asciiTheme="minorEastAsia" w:hAnsiTheme="minorEastAsia" w:eastAsiaTheme="minorEastAsia"/>
          <w:highlight w:val="none"/>
          <w:lang w:val="en-US" w:eastAsia="zh-CN"/>
        </w:rPr>
        <w:t>东博会保供电期间现场视频</w:t>
      </w:r>
      <w:r>
        <w:rPr>
          <w:rFonts w:hint="eastAsia" w:asciiTheme="minorEastAsia" w:hAnsiTheme="minorEastAsia" w:eastAsiaTheme="minorEastAsia"/>
          <w:highlight w:val="none"/>
          <w:lang w:eastAsia="zh-CN"/>
        </w:rPr>
        <w:t>的</w:t>
      </w:r>
      <w:r>
        <w:rPr>
          <w:rFonts w:hint="eastAsia" w:asciiTheme="minorEastAsia" w:hAnsiTheme="minorEastAsia" w:eastAsiaTheme="minorEastAsia"/>
          <w:highlight w:val="none"/>
          <w:lang w:val="en-US" w:eastAsia="zh-CN"/>
        </w:rPr>
        <w:t>清晰度及时效性</w:t>
      </w:r>
      <w:r>
        <w:rPr>
          <w:rFonts w:hint="eastAsia" w:asciiTheme="minorEastAsia" w:hAnsiTheme="minorEastAsia" w:eastAsiaTheme="minorEastAsia"/>
          <w:highlight w:val="none"/>
          <w:lang w:eastAsia="zh-CN"/>
        </w:rPr>
        <w:t>。具备一定的风险应对能力，对可能出现的风险，如突发情况、技术故障等，有切实可行的应对措施和预案。以上内容如有变动</w:t>
      </w:r>
      <w:r>
        <w:rPr>
          <w:rFonts w:hint="eastAsia" w:asciiTheme="minorEastAsia" w:hAnsiTheme="minorEastAsia" w:eastAsiaTheme="minorEastAsia"/>
          <w:highlight w:val="none"/>
        </w:rPr>
        <w:t>，应先征得招标方同意，再开展</w:t>
      </w:r>
      <w:r>
        <w:rPr>
          <w:rFonts w:hint="eastAsia" w:cs="宋体" w:eastAsiaTheme="minorEastAsia"/>
          <w:highlight w:val="none"/>
        </w:rPr>
        <w:t>服务支持</w:t>
      </w:r>
      <w:r>
        <w:rPr>
          <w:rFonts w:hint="eastAsia" w:asciiTheme="minorEastAsia" w:hAnsiTheme="minorEastAsia" w:eastAsiaTheme="minorEastAsia"/>
          <w:highlight w:val="none"/>
        </w:rPr>
        <w:t>工作</w:t>
      </w:r>
      <w:r>
        <w:rPr>
          <w:rFonts w:hint="eastAsia" w:cs="宋体"/>
          <w:highlight w:val="none"/>
        </w:rPr>
        <w:t>。</w:t>
      </w:r>
    </w:p>
    <w:p>
      <w:pPr>
        <w:rPr>
          <w:rFonts w:cs="宋体"/>
          <w:highlight w:val="none"/>
        </w:rPr>
      </w:pPr>
    </w:p>
    <w:p>
      <w:pPr>
        <w:pStyle w:val="3"/>
        <w:rPr>
          <w:rFonts w:cs="宋体"/>
          <w:highlight w:val="none"/>
        </w:rPr>
      </w:pPr>
      <w:bookmarkStart w:id="10" w:name="_Toc28605"/>
      <w:bookmarkStart w:id="11" w:name="_Toc16235"/>
      <w:bookmarkStart w:id="12" w:name="_Toc15122"/>
      <w:r>
        <w:rPr>
          <w:rFonts w:hint="eastAsia" w:cs="宋体"/>
          <w:szCs w:val="24"/>
          <w:highlight w:val="none"/>
          <w:lang w:val="en-US" w:eastAsia="zh-CN"/>
        </w:rPr>
        <w:t>3.</w:t>
      </w:r>
      <w:r>
        <w:rPr>
          <w:rFonts w:hint="eastAsia" w:cs="宋体"/>
          <w:szCs w:val="24"/>
          <w:highlight w:val="none"/>
        </w:rPr>
        <w:t>项目概述</w:t>
      </w:r>
      <w:bookmarkEnd w:id="10"/>
      <w:bookmarkEnd w:id="11"/>
      <w:bookmarkEnd w:id="12"/>
    </w:p>
    <w:p>
      <w:pPr>
        <w:spacing w:before="156" w:beforeLines="50" w:after="156" w:afterLines="50"/>
        <w:ind w:firstLine="480" w:firstLineChars="200"/>
        <w:rPr>
          <w:highlight w:val="none"/>
        </w:rPr>
      </w:pPr>
      <w:r>
        <w:rPr>
          <w:rFonts w:hint="eastAsia"/>
          <w:highlight w:val="none"/>
        </w:rPr>
        <w:t>根据2024年第21届东博会保供电要求，会展中心及荔园宾馆内的重要保电场所需实现可视化保电，对会展中心及荔园宾馆内的摄像头进行安装调试，以实现保供电现场信息能够实时回传南宁供电局应急指挥中心。</w:t>
      </w:r>
    </w:p>
    <w:p>
      <w:pPr>
        <w:pStyle w:val="3"/>
        <w:rPr>
          <w:rFonts w:cs="宋体"/>
          <w:szCs w:val="24"/>
          <w:highlight w:val="none"/>
        </w:rPr>
      </w:pPr>
      <w:bookmarkStart w:id="13" w:name="_Toc30627"/>
      <w:bookmarkStart w:id="14" w:name="_Toc14502"/>
      <w:bookmarkStart w:id="15" w:name="_Toc8211"/>
      <w:r>
        <w:rPr>
          <w:rFonts w:hint="eastAsia" w:cs="宋体"/>
          <w:szCs w:val="24"/>
          <w:highlight w:val="none"/>
          <w:lang w:val="en-US" w:eastAsia="zh-CN"/>
        </w:rPr>
        <w:t>4.</w:t>
      </w:r>
      <w:r>
        <w:rPr>
          <w:rFonts w:hint="eastAsia" w:cs="宋体"/>
          <w:szCs w:val="24"/>
          <w:highlight w:val="none"/>
        </w:rPr>
        <w:t>范围和内容</w:t>
      </w:r>
      <w:bookmarkEnd w:id="13"/>
      <w:bookmarkEnd w:id="14"/>
      <w:bookmarkEnd w:id="15"/>
    </w:p>
    <w:p>
      <w:pPr>
        <w:rPr>
          <w:rFonts w:cs="宋体"/>
          <w:highlight w:val="none"/>
        </w:rPr>
      </w:pPr>
      <w:r>
        <w:rPr>
          <w:rFonts w:hint="eastAsia" w:cs="宋体"/>
          <w:highlight w:val="none"/>
        </w:rPr>
        <w:t>投标方按此进行响应并</w:t>
      </w:r>
      <w:r>
        <w:rPr>
          <w:rFonts w:hint="eastAsia" w:cs="宋体"/>
          <w:highlight w:val="none"/>
          <w:lang w:val="en-US" w:eastAsia="zh-CN"/>
        </w:rPr>
        <w:t>进行分项</w:t>
      </w:r>
      <w:r>
        <w:rPr>
          <w:rFonts w:hint="eastAsia" w:cs="宋体"/>
          <w:highlight w:val="none"/>
        </w:rPr>
        <w:t>报价：</w:t>
      </w:r>
    </w:p>
    <w:tbl>
      <w:tblPr>
        <w:tblStyle w:val="20"/>
        <w:tblW w:w="889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08" w:type="dxa"/>
          <w:bottom w:w="15" w:type="dxa"/>
          <w:right w:w="108" w:type="dxa"/>
        </w:tblCellMar>
      </w:tblPr>
      <w:tblGrid>
        <w:gridCol w:w="1111"/>
        <w:gridCol w:w="1971"/>
        <w:gridCol w:w="58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555" w:hRule="atLeast"/>
        </w:trPr>
        <w:tc>
          <w:tcPr>
            <w:tcW w:w="1111" w:type="dxa"/>
            <w:tcBorders>
              <w:tl2br w:val="nil"/>
              <w:tr2bl w:val="nil"/>
            </w:tcBorders>
            <w:vAlign w:val="center"/>
          </w:tcPr>
          <w:p>
            <w:pPr>
              <w:widowControl/>
              <w:spacing w:line="240" w:lineRule="auto"/>
              <w:jc w:val="center"/>
              <w:rPr>
                <w:rFonts w:cs="宋体"/>
                <w:b/>
                <w:bCs/>
                <w:color w:val="000000"/>
                <w:kern w:val="0"/>
                <w:highlight w:val="none"/>
              </w:rPr>
            </w:pPr>
            <w:r>
              <w:rPr>
                <w:rFonts w:hint="eastAsia" w:cs="宋体"/>
                <w:b/>
                <w:bCs/>
                <w:color w:val="000000"/>
                <w:kern w:val="0"/>
                <w:highlight w:val="none"/>
              </w:rPr>
              <w:t>序号</w:t>
            </w:r>
          </w:p>
        </w:tc>
        <w:tc>
          <w:tcPr>
            <w:tcW w:w="1971" w:type="dxa"/>
            <w:tcBorders>
              <w:tl2br w:val="nil"/>
              <w:tr2bl w:val="nil"/>
            </w:tcBorders>
            <w:vAlign w:val="center"/>
          </w:tcPr>
          <w:p>
            <w:pPr>
              <w:widowControl/>
              <w:spacing w:line="240" w:lineRule="auto"/>
              <w:jc w:val="center"/>
              <w:rPr>
                <w:rFonts w:cs="宋体"/>
                <w:b/>
                <w:bCs/>
                <w:color w:val="000000"/>
                <w:kern w:val="0"/>
                <w:highlight w:val="none"/>
              </w:rPr>
            </w:pPr>
            <w:r>
              <w:rPr>
                <w:rFonts w:hint="eastAsia" w:cs="宋体"/>
                <w:b/>
                <w:bCs/>
                <w:color w:val="000000"/>
                <w:kern w:val="0"/>
                <w:highlight w:val="none"/>
              </w:rPr>
              <w:t>采购分项</w:t>
            </w:r>
          </w:p>
        </w:tc>
        <w:tc>
          <w:tcPr>
            <w:tcW w:w="5810" w:type="dxa"/>
            <w:tcBorders>
              <w:tl2br w:val="nil"/>
              <w:tr2bl w:val="nil"/>
            </w:tcBorders>
            <w:vAlign w:val="center"/>
          </w:tcPr>
          <w:p>
            <w:pPr>
              <w:widowControl/>
              <w:spacing w:line="240" w:lineRule="auto"/>
              <w:jc w:val="center"/>
              <w:rPr>
                <w:rFonts w:cs="宋体"/>
                <w:b/>
                <w:bCs/>
                <w:color w:val="000000"/>
                <w:kern w:val="0"/>
                <w:highlight w:val="none"/>
              </w:rPr>
            </w:pPr>
            <w:r>
              <w:rPr>
                <w:rFonts w:hint="eastAsia" w:cs="宋体"/>
                <w:b/>
                <w:bCs/>
                <w:color w:val="000000"/>
                <w:kern w:val="0"/>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trPr>
        <w:tc>
          <w:tcPr>
            <w:tcW w:w="1111" w:type="dxa"/>
            <w:tcBorders>
              <w:tl2br w:val="nil"/>
              <w:tr2bl w:val="nil"/>
            </w:tcBorders>
            <w:vAlign w:val="center"/>
          </w:tcPr>
          <w:p>
            <w:pPr>
              <w:spacing w:line="300" w:lineRule="auto"/>
              <w:jc w:val="center"/>
              <w:rPr>
                <w:rFonts w:cs="宋体"/>
                <w:kern w:val="0"/>
                <w:highlight w:val="none"/>
              </w:rPr>
            </w:pPr>
            <w:r>
              <w:rPr>
                <w:rFonts w:hint="eastAsia" w:cs="宋体"/>
                <w:kern w:val="0"/>
                <w:highlight w:val="none"/>
              </w:rPr>
              <w:t>1</w:t>
            </w:r>
          </w:p>
        </w:tc>
        <w:tc>
          <w:tcPr>
            <w:tcW w:w="7781" w:type="dxa"/>
            <w:gridSpan w:val="2"/>
            <w:tcBorders>
              <w:tl2br w:val="nil"/>
              <w:tr2bl w:val="nil"/>
            </w:tcBorders>
            <w:vAlign w:val="center"/>
          </w:tcPr>
          <w:p>
            <w:pPr>
              <w:widowControl/>
              <w:textAlignment w:val="center"/>
              <w:rPr>
                <w:rFonts w:cs="宋体"/>
                <w:b/>
                <w:bCs/>
                <w:kern w:val="0"/>
                <w:highlight w:val="none"/>
              </w:rPr>
            </w:pPr>
            <w:r>
              <w:rPr>
                <w:rFonts w:hint="eastAsia" w:cs="宋体"/>
                <w:b/>
                <w:bCs/>
                <w:kern w:val="0"/>
                <w:highlight w:val="none"/>
              </w:rPr>
              <w:t>2024年第21届东盟博览会保供电系统终端调试服务项目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111" w:type="dxa"/>
            <w:tcBorders>
              <w:tl2br w:val="nil"/>
              <w:tr2bl w:val="nil"/>
            </w:tcBorders>
            <w:vAlign w:val="center"/>
          </w:tcPr>
          <w:p>
            <w:pPr>
              <w:widowControl/>
              <w:jc w:val="center"/>
              <w:textAlignment w:val="center"/>
              <w:rPr>
                <w:rFonts w:cs="宋体"/>
                <w:kern w:val="0"/>
                <w:highlight w:val="none"/>
              </w:rPr>
            </w:pPr>
            <w:r>
              <w:rPr>
                <w:rFonts w:hint="eastAsia" w:cs="宋体"/>
                <w:color w:val="000000"/>
                <w:kern w:val="0"/>
                <w:highlight w:val="none"/>
                <w:lang w:bidi="ar"/>
              </w:rPr>
              <w:t>1.1</w:t>
            </w:r>
          </w:p>
        </w:tc>
        <w:tc>
          <w:tcPr>
            <w:tcW w:w="1971" w:type="dxa"/>
            <w:tcBorders>
              <w:tl2br w:val="nil"/>
              <w:tr2bl w:val="nil"/>
            </w:tcBorders>
            <w:vAlign w:val="center"/>
          </w:tcPr>
          <w:p>
            <w:pPr>
              <w:widowControl/>
              <w:jc w:val="left"/>
              <w:textAlignment w:val="center"/>
              <w:rPr>
                <w:rFonts w:cs="宋体"/>
                <w:kern w:val="0"/>
                <w:highlight w:val="none"/>
              </w:rPr>
            </w:pPr>
            <w:r>
              <w:rPr>
                <w:rFonts w:hint="eastAsia"/>
                <w:highlight w:val="none"/>
                <w:lang w:val="en-US" w:eastAsia="zh-CN"/>
              </w:rPr>
              <w:t>东盟博览会保供电系统摄像头调试支持</w:t>
            </w:r>
          </w:p>
        </w:tc>
        <w:tc>
          <w:tcPr>
            <w:tcW w:w="5810" w:type="dxa"/>
            <w:tcBorders>
              <w:tl2br w:val="nil"/>
              <w:tr2bl w:val="nil"/>
            </w:tcBorders>
          </w:tcPr>
          <w:p>
            <w:pPr>
              <w:widowControl/>
              <w:numPr>
                <w:ilvl w:val="0"/>
                <w:numId w:val="0"/>
              </w:numPr>
              <w:textAlignment w:val="center"/>
              <w:rPr>
                <w:rFonts w:cs="宋体"/>
                <w:kern w:val="0"/>
                <w:highlight w:val="none"/>
              </w:rPr>
            </w:pPr>
            <w:r>
              <w:rPr>
                <w:rFonts w:hint="eastAsia" w:cs="宋体"/>
                <w:kern w:val="0"/>
                <w:highlight w:val="none"/>
              </w:rPr>
              <w:t>21届东博会开幕前完成会展中心、荔园宾馆内主要配电房及现场指挥中心的视频监控安装调试接入主站。安装调试工作必须在东博会开幕封场前完成</w:t>
            </w:r>
            <w:r>
              <w:rPr>
                <w:rFonts w:hint="eastAsia" w:cs="宋体"/>
                <w:kern w:val="0"/>
                <w:highlight w:val="none"/>
                <w:lang w:eastAsia="zh-CN"/>
              </w:rPr>
              <w:t>。</w:t>
            </w:r>
            <w:r>
              <w:rPr>
                <w:rFonts w:hint="eastAsia" w:cs="宋体"/>
                <w:kern w:val="0"/>
                <w:highlight w:val="none"/>
              </w:rPr>
              <w:t>（详见:</w:t>
            </w:r>
            <w:r>
              <w:rPr>
                <w:rFonts w:hint="eastAsia" w:cs="宋体"/>
                <w:kern w:val="0"/>
                <w:highlight w:val="none"/>
                <w:lang w:val="en-US" w:eastAsia="zh-CN"/>
              </w:rPr>
              <w:t>11</w:t>
            </w:r>
            <w:r>
              <w:rPr>
                <w:rFonts w:hint="eastAsia" w:cs="宋体"/>
                <w:kern w:val="0"/>
                <w:highlight w:val="none"/>
              </w:rPr>
              <w:t>.</w:t>
            </w:r>
            <w:r>
              <w:rPr>
                <w:rFonts w:hint="eastAsia" w:cs="宋体"/>
                <w:kern w:val="0"/>
                <w:highlight w:val="none"/>
                <w:lang w:val="en-US" w:eastAsia="zh-CN"/>
              </w:rPr>
              <w:t>2</w:t>
            </w:r>
            <w:r>
              <w:rPr>
                <w:rFonts w:hint="eastAsia" w:cs="宋体"/>
                <w:kern w:val="0"/>
                <w:highlight w:val="none"/>
              </w:rPr>
              <w:t>第21届东博会可视化保电终端调试摄像头设备列表）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111" w:type="dxa"/>
            <w:tcBorders>
              <w:tl2br w:val="nil"/>
              <w:tr2bl w:val="nil"/>
            </w:tcBorders>
            <w:vAlign w:val="center"/>
          </w:tcPr>
          <w:p>
            <w:pPr>
              <w:widowControl/>
              <w:jc w:val="center"/>
              <w:textAlignment w:val="center"/>
              <w:rPr>
                <w:rFonts w:hint="eastAsia" w:eastAsia="宋体" w:cs="宋体"/>
                <w:color w:val="000000"/>
                <w:kern w:val="0"/>
                <w:highlight w:val="none"/>
                <w:lang w:val="en-US" w:eastAsia="zh-CN" w:bidi="ar"/>
              </w:rPr>
            </w:pPr>
            <w:r>
              <w:rPr>
                <w:rFonts w:hint="eastAsia" w:cs="宋体"/>
                <w:color w:val="000000"/>
                <w:kern w:val="0"/>
                <w:highlight w:val="none"/>
                <w:lang w:bidi="ar"/>
              </w:rPr>
              <w:t>1.</w:t>
            </w:r>
            <w:r>
              <w:rPr>
                <w:rFonts w:hint="eastAsia" w:cs="宋体"/>
                <w:color w:val="000000"/>
                <w:kern w:val="0"/>
                <w:highlight w:val="none"/>
                <w:lang w:val="en-US" w:eastAsia="zh-CN" w:bidi="ar"/>
              </w:rPr>
              <w:t>2</w:t>
            </w:r>
          </w:p>
        </w:tc>
        <w:tc>
          <w:tcPr>
            <w:tcW w:w="1971" w:type="dxa"/>
            <w:tcBorders>
              <w:tl2br w:val="nil"/>
              <w:tr2bl w:val="nil"/>
            </w:tcBorders>
            <w:vAlign w:val="center"/>
          </w:tcPr>
          <w:p>
            <w:pPr>
              <w:widowControl/>
              <w:jc w:val="left"/>
              <w:textAlignment w:val="center"/>
              <w:rPr>
                <w:rFonts w:cs="宋体"/>
                <w:kern w:val="0"/>
                <w:highlight w:val="none"/>
              </w:rPr>
            </w:pPr>
            <w:r>
              <w:rPr>
                <w:rFonts w:hint="eastAsia"/>
                <w:highlight w:val="none"/>
                <w:lang w:val="en-US" w:eastAsia="zh-CN"/>
              </w:rPr>
              <w:t>东盟博览会保供电系统现场驻场</w:t>
            </w:r>
            <w:bookmarkStart w:id="50" w:name="_GoBack"/>
            <w:bookmarkEnd w:id="50"/>
            <w:r>
              <w:rPr>
                <w:rFonts w:hint="eastAsia"/>
                <w:highlight w:val="none"/>
                <w:lang w:val="en-US" w:eastAsia="zh-CN"/>
              </w:rPr>
              <w:t>支持</w:t>
            </w:r>
          </w:p>
        </w:tc>
        <w:tc>
          <w:tcPr>
            <w:tcW w:w="5810" w:type="dxa"/>
            <w:tcBorders>
              <w:tl2br w:val="nil"/>
              <w:tr2bl w:val="nil"/>
            </w:tcBorders>
          </w:tcPr>
          <w:p>
            <w:pPr>
              <w:rPr>
                <w:rFonts w:hint="eastAsia" w:eastAsia="宋体" w:cs="宋体"/>
                <w:kern w:val="0"/>
                <w:highlight w:val="none"/>
                <w:lang w:eastAsia="zh-CN"/>
              </w:rPr>
            </w:pPr>
            <w:r>
              <w:rPr>
                <w:rFonts w:hint="eastAsia"/>
              </w:rPr>
              <w:t>21届东博会期间在会展中心南宁供电局现场指挥部驻场以确保现场信号的可靠传输。必须配合东博会管理机构提交相应材料办理进场证件。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 w:hRule="atLeast"/>
        </w:trPr>
        <w:tc>
          <w:tcPr>
            <w:tcW w:w="1111" w:type="dxa"/>
            <w:tcBorders>
              <w:tl2br w:val="nil"/>
              <w:tr2bl w:val="nil"/>
            </w:tcBorders>
            <w:vAlign w:val="center"/>
          </w:tcPr>
          <w:p>
            <w:pPr>
              <w:widowControl/>
              <w:jc w:val="center"/>
              <w:textAlignment w:val="center"/>
              <w:rPr>
                <w:rFonts w:hint="default" w:eastAsia="宋体" w:cs="宋体"/>
                <w:color w:val="000000"/>
                <w:kern w:val="0"/>
                <w:highlight w:val="none"/>
                <w:lang w:val="en-US" w:eastAsia="zh-CN" w:bidi="ar"/>
              </w:rPr>
            </w:pPr>
            <w:r>
              <w:rPr>
                <w:rFonts w:hint="eastAsia" w:cs="宋体"/>
                <w:color w:val="000000"/>
                <w:kern w:val="0"/>
                <w:highlight w:val="none"/>
                <w:lang w:val="en-US" w:eastAsia="zh-CN" w:bidi="ar"/>
              </w:rPr>
              <w:t>1.3</w:t>
            </w:r>
          </w:p>
        </w:tc>
        <w:tc>
          <w:tcPr>
            <w:tcW w:w="1971" w:type="dxa"/>
            <w:tcBorders>
              <w:tl2br w:val="nil"/>
              <w:tr2bl w:val="nil"/>
            </w:tcBorders>
            <w:vAlign w:val="center"/>
          </w:tcPr>
          <w:p>
            <w:pPr>
              <w:widowControl/>
              <w:jc w:val="left"/>
              <w:textAlignment w:val="center"/>
              <w:rPr>
                <w:rFonts w:hint="eastAsia"/>
                <w:highlight w:val="none"/>
                <w:lang w:val="en-US" w:eastAsia="zh-CN"/>
              </w:rPr>
            </w:pPr>
            <w:r>
              <w:rPr>
                <w:rFonts w:hint="eastAsia"/>
                <w:highlight w:val="none"/>
                <w:lang w:val="en-US" w:eastAsia="zh-CN"/>
              </w:rPr>
              <w:t>东盟博览会保供电系统摄像头拆除支持</w:t>
            </w:r>
          </w:p>
        </w:tc>
        <w:tc>
          <w:tcPr>
            <w:tcW w:w="5810" w:type="dxa"/>
            <w:tcBorders>
              <w:tl2br w:val="nil"/>
              <w:tr2bl w:val="nil"/>
            </w:tcBorders>
          </w:tcPr>
          <w:p>
            <w:pPr>
              <w:rPr>
                <w:rFonts w:hint="eastAsia"/>
              </w:rPr>
            </w:pPr>
            <w:r>
              <w:rPr>
                <w:rFonts w:hint="eastAsia"/>
              </w:rPr>
              <w:t>21届东博会后将摄像头设备拆除封存到指定地点封存。拆除工作不得破坏摄像头设备，以方便下一届东博会的使用。</w:t>
            </w:r>
          </w:p>
        </w:tc>
      </w:tr>
    </w:tbl>
    <w:p>
      <w:pPr>
        <w:pStyle w:val="16"/>
        <w:ind w:left="480"/>
        <w:rPr>
          <w:highlight w:val="none"/>
        </w:rPr>
      </w:pPr>
    </w:p>
    <w:p>
      <w:pPr>
        <w:pStyle w:val="3"/>
        <w:rPr>
          <w:rFonts w:cs="宋体"/>
          <w:szCs w:val="24"/>
          <w:highlight w:val="none"/>
        </w:rPr>
      </w:pPr>
      <w:bookmarkStart w:id="16" w:name="_Toc4885"/>
      <w:bookmarkStart w:id="17" w:name="_Toc23277"/>
      <w:bookmarkStart w:id="18" w:name="_Toc26628"/>
      <w:r>
        <w:rPr>
          <w:rFonts w:hint="eastAsia" w:cs="宋体"/>
          <w:szCs w:val="24"/>
          <w:highlight w:val="none"/>
          <w:lang w:val="en-US" w:eastAsia="zh-CN"/>
        </w:rPr>
        <w:t>5.</w:t>
      </w:r>
      <w:r>
        <w:rPr>
          <w:rFonts w:hint="eastAsia" w:cs="宋体"/>
          <w:szCs w:val="24"/>
          <w:highlight w:val="none"/>
        </w:rPr>
        <w:t>总体要求</w:t>
      </w:r>
      <w:bookmarkEnd w:id="16"/>
      <w:bookmarkEnd w:id="17"/>
      <w:bookmarkEnd w:id="18"/>
    </w:p>
    <w:p>
      <w:pPr>
        <w:rPr>
          <w:rFonts w:cs="宋体"/>
          <w:highlight w:val="none"/>
        </w:rPr>
      </w:pPr>
      <w:r>
        <w:rPr>
          <w:rFonts w:hint="eastAsia"/>
          <w:highlight w:val="none"/>
        </w:rPr>
        <w:t>投标方必须响应并承诺下列要求：</w:t>
      </w:r>
    </w:p>
    <w:p>
      <w:pPr>
        <w:pStyle w:val="4"/>
        <w:numPr>
          <w:ilvl w:val="1"/>
          <w:numId w:val="0"/>
        </w:numPr>
        <w:ind w:leftChars="0"/>
        <w:rPr>
          <w:highlight w:val="none"/>
        </w:rPr>
      </w:pPr>
      <w:r>
        <w:rPr>
          <w:rFonts w:hint="eastAsia"/>
          <w:b w:val="0"/>
          <w:bCs w:val="0"/>
          <w:highlight w:val="none"/>
          <w:lang w:val="en-US" w:eastAsia="zh-CN"/>
        </w:rPr>
        <w:t>5.1</w:t>
      </w:r>
      <w:r>
        <w:rPr>
          <w:rFonts w:hint="eastAsia"/>
          <w:b w:val="0"/>
          <w:bCs w:val="0"/>
          <w:highlight w:val="none"/>
        </w:rPr>
        <w:t>全面理解招标文件：投标方必须仔细研读招标文件，清晰把握招标方的需求、项目范围、技术规格、服务要求等关键内容。</w:t>
      </w:r>
    </w:p>
    <w:p>
      <w:pPr>
        <w:pStyle w:val="4"/>
        <w:numPr>
          <w:ilvl w:val="1"/>
          <w:numId w:val="0"/>
        </w:numPr>
        <w:ind w:leftChars="0"/>
        <w:rPr>
          <w:highlight w:val="none"/>
        </w:rPr>
      </w:pPr>
      <w:r>
        <w:rPr>
          <w:rFonts w:hint="eastAsia"/>
          <w:b w:val="0"/>
          <w:bCs w:val="0"/>
          <w:highlight w:val="none"/>
          <w:lang w:val="en-US" w:eastAsia="zh-CN"/>
        </w:rPr>
        <w:t>5.2</w:t>
      </w:r>
      <w:r>
        <w:rPr>
          <w:rFonts w:hint="eastAsia"/>
          <w:b w:val="0"/>
          <w:bCs w:val="0"/>
          <w:highlight w:val="none"/>
        </w:rPr>
        <w:t>投标方应列出各个单项工作的报价，还应对各个单项工作的不同阶段工作进行划分，并在列出各阶段工作的详细报价。</w:t>
      </w:r>
    </w:p>
    <w:p>
      <w:pPr>
        <w:pStyle w:val="4"/>
        <w:numPr>
          <w:ilvl w:val="1"/>
          <w:numId w:val="0"/>
        </w:numPr>
        <w:ind w:leftChars="0"/>
        <w:rPr>
          <w:highlight w:val="none"/>
        </w:rPr>
      </w:pPr>
      <w:r>
        <w:rPr>
          <w:rFonts w:hint="eastAsia"/>
          <w:b w:val="0"/>
          <w:bCs w:val="0"/>
          <w:highlight w:val="none"/>
          <w:lang w:val="en-US" w:eastAsia="zh-CN"/>
        </w:rPr>
        <w:t>5.3</w:t>
      </w:r>
      <w:r>
        <w:rPr>
          <w:rFonts w:hint="eastAsia"/>
          <w:b w:val="0"/>
          <w:bCs w:val="0"/>
          <w:highlight w:val="none"/>
        </w:rPr>
        <w:t>资格证明文件完整准确：提供齐全且真实有效的企业营业执照</w:t>
      </w:r>
      <w:r>
        <w:rPr>
          <w:rFonts w:hint="eastAsia"/>
          <w:b w:val="0"/>
          <w:bCs w:val="0"/>
          <w:highlight w:val="none"/>
          <w:lang w:eastAsia="zh-CN"/>
        </w:rPr>
        <w:t>、</w:t>
      </w:r>
      <w:r>
        <w:rPr>
          <w:rFonts w:hint="eastAsia"/>
          <w:b w:val="0"/>
          <w:bCs w:val="0"/>
          <w:highlight w:val="none"/>
        </w:rPr>
        <w:t>人力资源服务许可证，以证明具备参与投标的资格和能力。</w:t>
      </w:r>
      <w:bookmarkStart w:id="19" w:name="_Toc299720409"/>
      <w:bookmarkStart w:id="20" w:name="_Toc300816580"/>
      <w:bookmarkStart w:id="21" w:name="_Toc518635821"/>
    </w:p>
    <w:bookmarkEnd w:id="19"/>
    <w:bookmarkEnd w:id="20"/>
    <w:bookmarkEnd w:id="21"/>
    <w:p>
      <w:pPr>
        <w:pStyle w:val="3"/>
        <w:rPr>
          <w:rFonts w:cs="宋体"/>
          <w:szCs w:val="24"/>
          <w:highlight w:val="none"/>
        </w:rPr>
      </w:pPr>
      <w:bookmarkStart w:id="22" w:name="_Toc351129175"/>
      <w:bookmarkStart w:id="23" w:name="_Toc19661"/>
      <w:bookmarkStart w:id="24" w:name="_Toc8319"/>
      <w:bookmarkStart w:id="25" w:name="_Toc4637"/>
      <w:r>
        <w:rPr>
          <w:rFonts w:hint="eastAsia" w:cs="宋体"/>
          <w:szCs w:val="24"/>
          <w:highlight w:val="none"/>
          <w:lang w:val="en-US" w:eastAsia="zh-CN"/>
        </w:rPr>
        <w:t>6.</w:t>
      </w:r>
      <w:r>
        <w:rPr>
          <w:rFonts w:hint="eastAsia" w:cs="宋体"/>
          <w:szCs w:val="24"/>
          <w:highlight w:val="none"/>
        </w:rPr>
        <w:t>其他要求</w:t>
      </w:r>
      <w:bookmarkEnd w:id="22"/>
      <w:bookmarkEnd w:id="23"/>
      <w:bookmarkEnd w:id="24"/>
      <w:bookmarkEnd w:id="25"/>
    </w:p>
    <w:p>
      <w:pPr>
        <w:pStyle w:val="4"/>
        <w:numPr>
          <w:ilvl w:val="1"/>
          <w:numId w:val="0"/>
        </w:numPr>
        <w:ind w:leftChars="0"/>
        <w:outlineLvl w:val="0"/>
        <w:rPr>
          <w:rFonts w:hAnsi="宋体" w:cs="宋体"/>
          <w:szCs w:val="24"/>
          <w:highlight w:val="none"/>
        </w:rPr>
      </w:pPr>
      <w:bookmarkStart w:id="26" w:name="_Toc15844"/>
      <w:r>
        <w:rPr>
          <w:rFonts w:hint="eastAsia" w:hAnsi="宋体" w:cs="宋体"/>
          <w:szCs w:val="24"/>
          <w:highlight w:val="none"/>
          <w:lang w:val="en-US" w:eastAsia="zh-CN"/>
        </w:rPr>
        <w:t>6.1</w:t>
      </w:r>
      <w:r>
        <w:rPr>
          <w:rFonts w:hint="eastAsia" w:hAnsi="宋体" w:cs="宋体"/>
          <w:szCs w:val="24"/>
          <w:highlight w:val="none"/>
        </w:rPr>
        <w:t>项目进度</w:t>
      </w:r>
      <w:bookmarkEnd w:id="26"/>
    </w:p>
    <w:p>
      <w:pPr>
        <w:pStyle w:val="27"/>
        <w:numPr>
          <w:ilvl w:val="0"/>
          <w:numId w:val="0"/>
        </w:numPr>
        <w:ind w:leftChars="0"/>
        <w:rPr>
          <w:rFonts w:cs="宋体"/>
          <w:highlight w:val="none"/>
        </w:rPr>
      </w:pPr>
      <w:r>
        <w:rPr>
          <w:rFonts w:hint="eastAsia" w:cs="宋体"/>
          <w:highlight w:val="none"/>
          <w:lang w:val="en-US" w:eastAsia="zh-CN"/>
        </w:rPr>
        <w:t>6.1.1</w:t>
      </w:r>
      <w:r>
        <w:rPr>
          <w:rFonts w:hint="eastAsia" w:cs="宋体"/>
          <w:highlight w:val="none"/>
        </w:rPr>
        <w:t>本技术规范书范围和内容要求服务期</w:t>
      </w:r>
      <w:r>
        <w:rPr>
          <w:rFonts w:hint="eastAsia" w:cs="宋体"/>
          <w:highlight w:val="none"/>
          <w:lang w:val="en-US" w:eastAsia="zh-CN"/>
        </w:rPr>
        <w:t>2</w:t>
      </w:r>
      <w:r>
        <w:rPr>
          <w:rFonts w:hint="eastAsia" w:cs="宋体"/>
          <w:highlight w:val="none"/>
        </w:rPr>
        <w:t>个月，起止时间以合同约定时间为准。</w:t>
      </w:r>
    </w:p>
    <w:p>
      <w:pPr>
        <w:pStyle w:val="27"/>
        <w:numPr>
          <w:ilvl w:val="0"/>
          <w:numId w:val="0"/>
        </w:numPr>
        <w:ind w:leftChars="0"/>
        <w:rPr>
          <w:rFonts w:cs="宋体"/>
          <w:highlight w:val="none"/>
        </w:rPr>
      </w:pPr>
      <w:r>
        <w:rPr>
          <w:rFonts w:hint="eastAsia" w:cs="宋体"/>
          <w:highlight w:val="none"/>
          <w:lang w:val="en-US" w:eastAsia="zh-CN"/>
        </w:rPr>
        <w:t>6.1.2</w:t>
      </w:r>
      <w:r>
        <w:rPr>
          <w:rFonts w:hint="eastAsia" w:cs="宋体"/>
          <w:highlight w:val="none"/>
        </w:rPr>
        <w:t>投标方必须响应并承诺下列要求：投标方应在</w:t>
      </w:r>
      <w:r>
        <w:rPr>
          <w:rFonts w:hint="eastAsia" w:cs="宋体"/>
          <w:highlight w:val="none"/>
          <w:lang w:eastAsia="zh-CN"/>
        </w:rPr>
        <w:t>响应文件</w:t>
      </w:r>
      <w:r>
        <w:rPr>
          <w:rFonts w:hint="eastAsia" w:cs="宋体"/>
          <w:highlight w:val="none"/>
        </w:rPr>
        <w:t>中根据招标方要求的服务交付日期，提出详细的项目进度表及工作组织安排，合同签订时将在此基础上确定最终进度。投标方应明确对最短可行项目进度的承诺。</w:t>
      </w:r>
    </w:p>
    <w:p>
      <w:pPr>
        <w:pStyle w:val="4"/>
        <w:numPr>
          <w:ilvl w:val="1"/>
          <w:numId w:val="0"/>
        </w:numPr>
        <w:ind w:leftChars="0"/>
        <w:outlineLvl w:val="0"/>
        <w:rPr>
          <w:rFonts w:hAnsi="宋体" w:cs="宋体"/>
          <w:szCs w:val="24"/>
          <w:highlight w:val="none"/>
        </w:rPr>
      </w:pPr>
      <w:bookmarkStart w:id="27" w:name="_Toc2218"/>
      <w:r>
        <w:rPr>
          <w:rFonts w:hint="eastAsia" w:hAnsi="宋体" w:cs="宋体"/>
          <w:szCs w:val="24"/>
          <w:highlight w:val="none"/>
          <w:lang w:val="en-US" w:eastAsia="zh-CN"/>
        </w:rPr>
        <w:t>6.2</w:t>
      </w:r>
      <w:r>
        <w:rPr>
          <w:rFonts w:hint="eastAsia" w:hAnsi="宋体" w:cs="宋体"/>
          <w:szCs w:val="24"/>
          <w:highlight w:val="none"/>
        </w:rPr>
        <w:t>项目联络</w:t>
      </w:r>
      <w:bookmarkEnd w:id="27"/>
    </w:p>
    <w:p>
      <w:pPr>
        <w:pStyle w:val="5"/>
        <w:numPr>
          <w:ilvl w:val="2"/>
          <w:numId w:val="0"/>
        </w:numPr>
        <w:ind w:leftChars="0"/>
        <w:rPr>
          <w:bCs/>
          <w:highlight w:val="none"/>
        </w:rPr>
      </w:pPr>
      <w:r>
        <w:rPr>
          <w:rFonts w:hint="eastAsia"/>
          <w:bCs/>
          <w:highlight w:val="none"/>
          <w:lang w:val="en-US" w:eastAsia="zh-CN"/>
        </w:rPr>
        <w:t>6.2.1</w:t>
      </w:r>
      <w:r>
        <w:rPr>
          <w:rFonts w:hint="eastAsia"/>
          <w:bCs/>
          <w:highlight w:val="none"/>
        </w:rPr>
        <w:t>为审查和确认工作进展，便于合同按期执行，在技术服务过程中投标方根据招标方要求召开联络会，协调解决项目实施中的工作。</w:t>
      </w:r>
    </w:p>
    <w:p>
      <w:pPr>
        <w:pStyle w:val="5"/>
        <w:numPr>
          <w:ilvl w:val="2"/>
          <w:numId w:val="0"/>
        </w:numPr>
        <w:ind w:leftChars="0"/>
        <w:rPr>
          <w:rFonts w:cs="宋体"/>
          <w:highlight w:val="none"/>
        </w:rPr>
      </w:pPr>
      <w:r>
        <w:rPr>
          <w:rFonts w:hint="eastAsia"/>
          <w:bCs/>
          <w:highlight w:val="none"/>
          <w:lang w:val="en-US" w:eastAsia="zh-CN"/>
        </w:rPr>
        <w:t>6.2.2</w:t>
      </w:r>
      <w:r>
        <w:rPr>
          <w:rFonts w:hint="eastAsia"/>
          <w:bCs/>
          <w:highlight w:val="none"/>
        </w:rPr>
        <w:t>联络会内容由招标方确定，包括但不限于如下内容：</w:t>
      </w:r>
    </w:p>
    <w:p>
      <w:pPr>
        <w:rPr>
          <w:highlight w:val="none"/>
        </w:rPr>
      </w:pPr>
      <w:r>
        <w:rPr>
          <w:rFonts w:hint="eastAsia"/>
          <w:highlight w:val="none"/>
        </w:rPr>
        <w:t>（1）确认服务是否满足规范书要求。</w:t>
      </w:r>
    </w:p>
    <w:p>
      <w:pPr>
        <w:rPr>
          <w:highlight w:val="none"/>
        </w:rPr>
      </w:pPr>
      <w:r>
        <w:rPr>
          <w:rFonts w:hint="eastAsia"/>
          <w:highlight w:val="none"/>
        </w:rPr>
        <w:t>（2）确认服务的实施方案。</w:t>
      </w:r>
    </w:p>
    <w:p>
      <w:pPr>
        <w:rPr>
          <w:highlight w:val="none"/>
        </w:rPr>
      </w:pPr>
      <w:r>
        <w:rPr>
          <w:rFonts w:hint="eastAsia"/>
          <w:highlight w:val="none"/>
        </w:rPr>
        <w:t>（3）其他有关事项。</w:t>
      </w:r>
    </w:p>
    <w:p>
      <w:pPr>
        <w:pStyle w:val="4"/>
        <w:numPr>
          <w:ilvl w:val="1"/>
          <w:numId w:val="0"/>
        </w:numPr>
        <w:ind w:leftChars="0"/>
        <w:outlineLvl w:val="0"/>
        <w:rPr>
          <w:rFonts w:hAnsi="宋体" w:cs="宋体"/>
          <w:szCs w:val="24"/>
          <w:highlight w:val="none"/>
        </w:rPr>
      </w:pPr>
      <w:bookmarkStart w:id="28" w:name="_Toc14247"/>
      <w:r>
        <w:rPr>
          <w:rFonts w:hint="eastAsia" w:hAnsi="宋体" w:cs="宋体"/>
          <w:szCs w:val="24"/>
          <w:highlight w:val="none"/>
          <w:lang w:val="en-US" w:eastAsia="zh-CN"/>
        </w:rPr>
        <w:t>6.3</w:t>
      </w:r>
      <w:r>
        <w:rPr>
          <w:rFonts w:hint="eastAsia" w:hAnsi="宋体" w:cs="宋体"/>
          <w:szCs w:val="24"/>
          <w:highlight w:val="none"/>
        </w:rPr>
        <w:t>实施人员素质和人数要求</w:t>
      </w:r>
      <w:bookmarkEnd w:id="28"/>
    </w:p>
    <w:p>
      <w:pPr>
        <w:pStyle w:val="5"/>
        <w:numPr>
          <w:ilvl w:val="2"/>
          <w:numId w:val="0"/>
        </w:numPr>
        <w:rPr>
          <w:bCs/>
          <w:highlight w:val="none"/>
        </w:rPr>
      </w:pPr>
      <w:bookmarkStart w:id="29" w:name="_Toc477377765"/>
      <w:bookmarkStart w:id="30" w:name="_Toc477370884"/>
      <w:bookmarkStart w:id="31" w:name="_Toc477266282"/>
      <w:bookmarkStart w:id="32" w:name="_Toc477294545"/>
      <w:r>
        <w:rPr>
          <w:rFonts w:hint="eastAsia"/>
          <w:bCs/>
          <w:highlight w:val="none"/>
          <w:lang w:val="en-US" w:eastAsia="zh-CN"/>
        </w:rPr>
        <w:t>6</w:t>
      </w:r>
      <w:r>
        <w:rPr>
          <w:rFonts w:hint="eastAsia"/>
          <w:bCs/>
          <w:highlight w:val="none"/>
        </w:rPr>
        <w:t>.3.1服务</w:t>
      </w:r>
      <w:bookmarkEnd w:id="29"/>
      <w:bookmarkEnd w:id="30"/>
      <w:bookmarkEnd w:id="31"/>
      <w:r>
        <w:rPr>
          <w:rFonts w:hint="eastAsia"/>
          <w:bCs/>
          <w:highlight w:val="none"/>
        </w:rPr>
        <w:t>人员</w:t>
      </w:r>
    </w:p>
    <w:p>
      <w:pPr>
        <w:pStyle w:val="5"/>
        <w:numPr>
          <w:ilvl w:val="2"/>
          <w:numId w:val="0"/>
        </w:numPr>
        <w:rPr>
          <w:highlight w:val="none"/>
        </w:rPr>
      </w:pPr>
      <w:r>
        <w:rPr>
          <w:rFonts w:hint="eastAsia"/>
          <w:highlight w:val="none"/>
        </w:rPr>
        <w:t>★投标方技术支持服务的人员总数不少于3人，根据招标方需求，提供现场支持服务。</w:t>
      </w:r>
    </w:p>
    <w:p>
      <w:pPr>
        <w:pStyle w:val="4"/>
        <w:numPr>
          <w:ilvl w:val="1"/>
          <w:numId w:val="0"/>
        </w:numPr>
        <w:ind w:leftChars="0"/>
        <w:outlineLvl w:val="0"/>
        <w:rPr>
          <w:rFonts w:hint="eastAsia" w:hAnsi="宋体" w:cs="宋体"/>
          <w:szCs w:val="24"/>
          <w:highlight w:val="none"/>
          <w:lang w:val="en-US" w:eastAsia="zh-CN"/>
        </w:rPr>
      </w:pPr>
      <w:bookmarkStart w:id="33" w:name="_Toc119"/>
      <w:r>
        <w:rPr>
          <w:rFonts w:hint="eastAsia" w:hAnsi="宋体" w:cs="宋体"/>
          <w:szCs w:val="24"/>
          <w:highlight w:val="none"/>
          <w:lang w:val="en-US" w:eastAsia="zh-CN"/>
        </w:rPr>
        <w:t>7.人员技能、资格要求</w:t>
      </w:r>
      <w:bookmarkEnd w:id="33"/>
    </w:p>
    <w:p>
      <w:pPr>
        <w:pStyle w:val="6"/>
        <w:numPr>
          <w:ilvl w:val="0"/>
          <w:numId w:val="0"/>
        </w:numPr>
        <w:ind w:leftChars="0"/>
        <w:rPr>
          <w:rFonts w:hint="eastAsia"/>
          <w:highlight w:val="none"/>
        </w:rPr>
      </w:pPr>
      <w:r>
        <w:rPr>
          <w:rFonts w:hint="eastAsia"/>
          <w:highlight w:val="none"/>
        </w:rPr>
        <w:t>服务人员须具备以下经验或资历：服务人员具备不少于1年工作经验，至少在1个相同或类似项目中负责相关工作，能较好的完成本职工作。</w:t>
      </w:r>
    </w:p>
    <w:p>
      <w:pPr>
        <w:pStyle w:val="6"/>
        <w:numPr>
          <w:ilvl w:val="0"/>
          <w:numId w:val="0"/>
        </w:numPr>
        <w:ind w:leftChars="0"/>
        <w:rPr>
          <w:highlight w:val="none"/>
        </w:rPr>
      </w:pPr>
      <w:r>
        <w:rPr>
          <w:rFonts w:hint="eastAsia"/>
          <w:highlight w:val="none"/>
        </w:rPr>
        <w:t>招标方有对投标方所提供的技术支持服务人员进行面试的权力，对于不满足招标方要求的人员，招标方有权要求投标方无条件的更换人员，且不能影响项目进度。投标方必须向招标方保证人员组织的稳定性，在技术服务期间，投标方不得抽调和随意变更技术服务人员。在本项目结束前，参加本项目的技术服务人员变动必须取得招标方同意，并立即安排候补人员予以补充。招标方保留拒绝投标方人员变更要求的权利。</w:t>
      </w:r>
    </w:p>
    <w:bookmarkEnd w:id="32"/>
    <w:p>
      <w:pPr>
        <w:pStyle w:val="4"/>
        <w:numPr>
          <w:ilvl w:val="1"/>
          <w:numId w:val="0"/>
        </w:numPr>
        <w:ind w:leftChars="0"/>
        <w:outlineLvl w:val="0"/>
        <w:rPr>
          <w:rFonts w:hAnsi="宋体" w:cs="宋体"/>
          <w:szCs w:val="24"/>
          <w:highlight w:val="none"/>
        </w:rPr>
      </w:pPr>
      <w:bookmarkStart w:id="34" w:name="_Toc22942"/>
      <w:bookmarkStart w:id="35" w:name="_Toc477266283"/>
      <w:r>
        <w:rPr>
          <w:rFonts w:hint="eastAsia" w:hAnsi="宋体" w:cs="宋体"/>
          <w:szCs w:val="24"/>
          <w:highlight w:val="none"/>
          <w:lang w:val="en-US" w:eastAsia="zh-CN"/>
        </w:rPr>
        <w:t>8.</w:t>
      </w:r>
      <w:r>
        <w:rPr>
          <w:rFonts w:hint="eastAsia" w:hAnsi="宋体" w:cs="宋体"/>
          <w:szCs w:val="24"/>
          <w:highlight w:val="none"/>
        </w:rPr>
        <w:t>合作项目及设计确认</w:t>
      </w:r>
      <w:bookmarkEnd w:id="34"/>
    </w:p>
    <w:p>
      <w:pPr>
        <w:pStyle w:val="27"/>
        <w:numPr>
          <w:ilvl w:val="0"/>
          <w:numId w:val="0"/>
        </w:numPr>
        <w:ind w:leftChars="0"/>
        <w:rPr>
          <w:rFonts w:cs="宋体"/>
          <w:highlight w:val="none"/>
        </w:rPr>
      </w:pPr>
      <w:r>
        <w:rPr>
          <w:rFonts w:hint="eastAsia" w:cs="宋体"/>
          <w:highlight w:val="none"/>
          <w:lang w:val="en-US" w:eastAsia="zh-CN"/>
        </w:rPr>
        <w:t>8.1.1</w:t>
      </w:r>
      <w:r>
        <w:rPr>
          <w:rFonts w:hint="eastAsia" w:cs="宋体"/>
          <w:highlight w:val="none"/>
        </w:rPr>
        <w:t>为推进项目工作顺利开展，工作产品符合实际需要，招标方需进行全程参与合作项目。</w:t>
      </w:r>
    </w:p>
    <w:p>
      <w:pPr>
        <w:pStyle w:val="27"/>
        <w:numPr>
          <w:ilvl w:val="0"/>
          <w:numId w:val="0"/>
        </w:numPr>
        <w:ind w:leftChars="0"/>
        <w:rPr>
          <w:rFonts w:cs="宋体"/>
          <w:highlight w:val="none"/>
        </w:rPr>
      </w:pPr>
      <w:r>
        <w:rPr>
          <w:rFonts w:hint="eastAsia" w:cs="宋体"/>
          <w:highlight w:val="none"/>
          <w:lang w:val="en-US" w:eastAsia="zh-CN"/>
        </w:rPr>
        <w:t>8.1.2</w:t>
      </w:r>
      <w:r>
        <w:rPr>
          <w:rFonts w:hint="eastAsia" w:cs="宋体"/>
          <w:highlight w:val="none"/>
        </w:rPr>
        <w:t>双方责任</w:t>
      </w:r>
    </w:p>
    <w:p>
      <w:pPr>
        <w:pStyle w:val="25"/>
        <w:numPr>
          <w:ilvl w:val="0"/>
          <w:numId w:val="0"/>
        </w:numPr>
        <w:rPr>
          <w:rFonts w:cs="宋体"/>
          <w:highlight w:val="none"/>
        </w:rPr>
      </w:pPr>
      <w:r>
        <w:rPr>
          <w:rFonts w:hint="eastAsia" w:cs="宋体"/>
          <w:highlight w:val="none"/>
        </w:rPr>
        <w:t>在招标方的配合下，投标方全面负责合作配合工作，制定合作项目的工作计划并由招标方确认。</w:t>
      </w:r>
    </w:p>
    <w:p>
      <w:pPr>
        <w:pStyle w:val="4"/>
        <w:numPr>
          <w:ilvl w:val="1"/>
          <w:numId w:val="0"/>
        </w:numPr>
        <w:ind w:leftChars="0"/>
        <w:outlineLvl w:val="0"/>
        <w:rPr>
          <w:rFonts w:hAnsi="宋体" w:cs="宋体"/>
          <w:szCs w:val="24"/>
          <w:highlight w:val="none"/>
        </w:rPr>
      </w:pPr>
      <w:bookmarkStart w:id="36" w:name="_Toc21654"/>
      <w:r>
        <w:rPr>
          <w:rFonts w:hint="eastAsia" w:hAnsi="宋体" w:cs="宋体"/>
          <w:szCs w:val="24"/>
          <w:highlight w:val="none"/>
          <w:lang w:val="en-US" w:eastAsia="zh-CN"/>
        </w:rPr>
        <w:t>9.</w:t>
      </w:r>
      <w:r>
        <w:rPr>
          <w:rFonts w:hint="eastAsia" w:hAnsi="宋体" w:cs="宋体"/>
          <w:szCs w:val="24"/>
          <w:highlight w:val="none"/>
        </w:rPr>
        <w:t>评审与验收</w:t>
      </w:r>
      <w:bookmarkEnd w:id="36"/>
    </w:p>
    <w:p>
      <w:pPr>
        <w:pStyle w:val="5"/>
        <w:numPr>
          <w:ilvl w:val="2"/>
          <w:numId w:val="0"/>
        </w:numPr>
        <w:ind w:leftChars="0"/>
        <w:rPr>
          <w:bCs/>
          <w:highlight w:val="none"/>
        </w:rPr>
      </w:pPr>
      <w:r>
        <w:rPr>
          <w:rFonts w:hint="eastAsia"/>
          <w:bCs/>
          <w:highlight w:val="none"/>
          <w:lang w:val="en-US" w:eastAsia="zh-CN"/>
        </w:rPr>
        <w:t>9.1</w:t>
      </w:r>
      <w:r>
        <w:rPr>
          <w:rFonts w:hint="eastAsia"/>
          <w:bCs/>
          <w:highlight w:val="none"/>
        </w:rPr>
        <w:t>投标方应负责在项目验收时将项目的全部有关</w:t>
      </w:r>
      <w:r>
        <w:rPr>
          <w:rFonts w:hint="eastAsia"/>
          <w:bCs/>
          <w:highlight w:val="none"/>
          <w:lang w:val="en-US" w:eastAsia="zh-CN"/>
        </w:rPr>
        <w:t>调试服务报告</w:t>
      </w:r>
      <w:r>
        <w:rPr>
          <w:rFonts w:hint="eastAsia"/>
          <w:bCs/>
          <w:highlight w:val="none"/>
        </w:rPr>
        <w:t>等文档交付给招标方。</w:t>
      </w:r>
    </w:p>
    <w:p>
      <w:pPr>
        <w:pStyle w:val="5"/>
        <w:numPr>
          <w:ilvl w:val="2"/>
          <w:numId w:val="0"/>
        </w:numPr>
        <w:ind w:leftChars="0"/>
        <w:rPr>
          <w:bCs/>
          <w:highlight w:val="none"/>
        </w:rPr>
      </w:pPr>
      <w:r>
        <w:rPr>
          <w:rFonts w:hint="eastAsia"/>
          <w:bCs/>
          <w:highlight w:val="none"/>
          <w:lang w:val="en-US" w:eastAsia="zh-CN"/>
        </w:rPr>
        <w:t>9.2</w:t>
      </w:r>
      <w:r>
        <w:rPr>
          <w:bCs/>
          <w:highlight w:val="none"/>
        </w:rPr>
        <w:t>招标方可根据合同及招标书和招标方的有关规定进行修改和补充,经双方确认后形成验收文件作为验收依据。验收</w:t>
      </w:r>
      <w:r>
        <w:rPr>
          <w:rFonts w:hint="eastAsia"/>
          <w:bCs/>
          <w:highlight w:val="none"/>
        </w:rPr>
        <w:t>评审</w:t>
      </w:r>
      <w:r>
        <w:rPr>
          <w:bCs/>
          <w:highlight w:val="none"/>
        </w:rPr>
        <w:t>合格后</w:t>
      </w:r>
      <w:r>
        <w:rPr>
          <w:rFonts w:hint="eastAsia"/>
          <w:bCs/>
          <w:highlight w:val="none"/>
        </w:rPr>
        <w:t>30日内，若无问题，经</w:t>
      </w:r>
      <w:r>
        <w:rPr>
          <w:bCs/>
          <w:highlight w:val="none"/>
        </w:rPr>
        <w:t>双方</w:t>
      </w:r>
      <w:r>
        <w:rPr>
          <w:rFonts w:hint="eastAsia"/>
          <w:bCs/>
          <w:highlight w:val="none"/>
        </w:rPr>
        <w:t>确认后</w:t>
      </w:r>
      <w:r>
        <w:rPr>
          <w:bCs/>
          <w:highlight w:val="none"/>
        </w:rPr>
        <w:t>，签署最终验收文件。</w:t>
      </w:r>
    </w:p>
    <w:p>
      <w:pPr>
        <w:pStyle w:val="5"/>
        <w:numPr>
          <w:ilvl w:val="2"/>
          <w:numId w:val="0"/>
        </w:numPr>
        <w:ind w:leftChars="0"/>
        <w:rPr>
          <w:bCs/>
          <w:highlight w:val="none"/>
        </w:rPr>
      </w:pPr>
      <w:r>
        <w:rPr>
          <w:rFonts w:hint="eastAsia"/>
          <w:bCs/>
          <w:highlight w:val="none"/>
          <w:lang w:val="en-US" w:eastAsia="zh-CN"/>
        </w:rPr>
        <w:t>9.3</w:t>
      </w:r>
      <w:r>
        <w:rPr>
          <w:rFonts w:hint="eastAsia"/>
          <w:bCs/>
          <w:highlight w:val="none"/>
        </w:rPr>
        <w:t>如果在签</w:t>
      </w:r>
      <w:r>
        <w:rPr>
          <w:bCs/>
          <w:highlight w:val="none"/>
        </w:rPr>
        <w:t>署最终验收文件</w:t>
      </w:r>
      <w:r>
        <w:rPr>
          <w:rFonts w:hint="eastAsia"/>
          <w:bCs/>
          <w:highlight w:val="none"/>
        </w:rPr>
        <w:t>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4"/>
        <w:numPr>
          <w:ilvl w:val="1"/>
          <w:numId w:val="0"/>
        </w:numPr>
        <w:ind w:leftChars="0"/>
        <w:outlineLvl w:val="0"/>
        <w:rPr>
          <w:rFonts w:hAnsi="宋体" w:cs="宋体"/>
          <w:szCs w:val="24"/>
          <w:highlight w:val="none"/>
        </w:rPr>
      </w:pPr>
      <w:bookmarkStart w:id="37" w:name="_Toc11479"/>
      <w:r>
        <w:rPr>
          <w:rFonts w:hint="eastAsia" w:hAnsi="宋体" w:cs="宋体"/>
          <w:szCs w:val="24"/>
          <w:highlight w:val="none"/>
          <w:lang w:val="en-US" w:eastAsia="zh-CN"/>
        </w:rPr>
        <w:t>10.</w:t>
      </w:r>
      <w:r>
        <w:rPr>
          <w:rFonts w:hint="eastAsia" w:hAnsi="宋体" w:cs="宋体"/>
          <w:szCs w:val="24"/>
          <w:highlight w:val="none"/>
        </w:rPr>
        <w:t>售后服务</w:t>
      </w:r>
      <w:bookmarkEnd w:id="37"/>
    </w:p>
    <w:p>
      <w:pPr>
        <w:pStyle w:val="27"/>
        <w:rPr>
          <w:rFonts w:cs="宋体"/>
          <w:highlight w:val="none"/>
        </w:rPr>
      </w:pPr>
      <w:bookmarkStart w:id="38" w:name="_Toc93490580"/>
      <w:bookmarkStart w:id="39" w:name="_Toc351129176"/>
      <w:bookmarkStart w:id="40" w:name="_Toc529884811"/>
      <w:bookmarkStart w:id="41" w:name="_Toc167003829"/>
      <w:bookmarkStart w:id="42" w:name="_Toc137397828"/>
      <w:bookmarkStart w:id="43" w:name="_Toc93490630"/>
      <w:bookmarkStart w:id="44" w:name="_Toc93490801"/>
      <w:r>
        <w:rPr>
          <w:rFonts w:hint="eastAsia" w:cs="宋体"/>
          <w:highlight w:val="none"/>
          <w:lang w:val="en-US" w:eastAsia="zh-CN"/>
        </w:rPr>
        <w:t>10.1</w:t>
      </w:r>
      <w:r>
        <w:rPr>
          <w:rFonts w:hint="eastAsia" w:cs="宋体"/>
          <w:highlight w:val="none"/>
        </w:rPr>
        <w:t>项目验收通过后投标方无需继续提供免费技术咨询服务。</w:t>
      </w:r>
    </w:p>
    <w:p>
      <w:pPr>
        <w:pStyle w:val="3"/>
        <w:rPr>
          <w:rFonts w:cs="宋体"/>
          <w:szCs w:val="24"/>
          <w:highlight w:val="none"/>
        </w:rPr>
      </w:pPr>
      <w:bookmarkStart w:id="45" w:name="_Toc29507"/>
      <w:bookmarkStart w:id="46" w:name="_Toc31128"/>
      <w:bookmarkStart w:id="47" w:name="_Toc18254"/>
      <w:r>
        <w:rPr>
          <w:rFonts w:hint="eastAsia" w:cs="宋体"/>
          <w:szCs w:val="24"/>
          <w:highlight w:val="none"/>
          <w:lang w:val="en-US" w:eastAsia="zh-CN"/>
        </w:rPr>
        <w:t>11.</w:t>
      </w:r>
      <w:r>
        <w:rPr>
          <w:rFonts w:hint="eastAsia" w:cs="宋体"/>
          <w:szCs w:val="24"/>
          <w:highlight w:val="none"/>
        </w:rPr>
        <w:t>附件</w:t>
      </w:r>
      <w:bookmarkEnd w:id="35"/>
      <w:bookmarkEnd w:id="38"/>
      <w:bookmarkEnd w:id="39"/>
      <w:bookmarkEnd w:id="40"/>
      <w:bookmarkEnd w:id="41"/>
      <w:bookmarkEnd w:id="42"/>
      <w:bookmarkEnd w:id="43"/>
      <w:bookmarkEnd w:id="45"/>
      <w:bookmarkEnd w:id="46"/>
      <w:bookmarkEnd w:id="47"/>
    </w:p>
    <w:p>
      <w:pPr>
        <w:pStyle w:val="4"/>
        <w:numPr>
          <w:ilvl w:val="1"/>
          <w:numId w:val="0"/>
        </w:numPr>
        <w:ind w:leftChars="0"/>
        <w:outlineLvl w:val="0"/>
        <w:rPr>
          <w:rFonts w:hAnsi="宋体" w:cs="宋体"/>
          <w:szCs w:val="24"/>
          <w:highlight w:val="none"/>
        </w:rPr>
      </w:pPr>
      <w:bookmarkStart w:id="48" w:name="_Toc29282"/>
      <w:r>
        <w:rPr>
          <w:rFonts w:hint="eastAsia" w:hAnsi="宋体" w:cs="宋体"/>
          <w:szCs w:val="24"/>
          <w:highlight w:val="none"/>
          <w:lang w:val="en-US" w:eastAsia="zh-CN"/>
        </w:rPr>
        <w:t>11.1</w:t>
      </w:r>
      <w:r>
        <w:rPr>
          <w:rFonts w:hint="eastAsia" w:hAnsi="宋体" w:cs="宋体"/>
          <w:szCs w:val="24"/>
          <w:highlight w:val="none"/>
        </w:rPr>
        <w:t>差异表</w:t>
      </w:r>
      <w:bookmarkEnd w:id="48"/>
    </w:p>
    <w:tbl>
      <w:tblPr>
        <w:tblStyle w:val="20"/>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rPr>
                <w:rFonts w:cs="宋体"/>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rPr>
                <w:rFonts w:cs="宋体"/>
                <w:highlight w:val="none"/>
              </w:rPr>
            </w:pPr>
            <w:r>
              <w:rPr>
                <w:rFonts w:hint="eastAsia" w:cs="宋体"/>
                <w:highlight w:val="none"/>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020"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83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60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694" w:type="dxa"/>
            <w:tcBorders>
              <w:top w:val="single" w:color="auto" w:sz="4" w:space="0"/>
              <w:left w:val="single" w:color="auto" w:sz="4" w:space="0"/>
              <w:bottom w:val="single" w:color="auto" w:sz="4" w:space="0"/>
              <w:right w:val="single" w:color="auto" w:sz="4" w:space="0"/>
            </w:tcBorders>
          </w:tcPr>
          <w:p>
            <w:pPr>
              <w:rPr>
                <w:rFonts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020"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83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1605" w:type="dxa"/>
            <w:tcBorders>
              <w:top w:val="single" w:color="auto" w:sz="4" w:space="0"/>
              <w:left w:val="single" w:color="auto" w:sz="4" w:space="0"/>
              <w:bottom w:val="single" w:color="auto" w:sz="4" w:space="0"/>
              <w:right w:val="single" w:color="auto" w:sz="4" w:space="0"/>
            </w:tcBorders>
          </w:tcPr>
          <w:p>
            <w:pPr>
              <w:rPr>
                <w:rFonts w:cs="宋体"/>
                <w:highlight w:val="none"/>
              </w:rPr>
            </w:pPr>
          </w:p>
        </w:tc>
        <w:tc>
          <w:tcPr>
            <w:tcW w:w="2694" w:type="dxa"/>
            <w:tcBorders>
              <w:top w:val="single" w:color="auto" w:sz="4" w:space="0"/>
              <w:left w:val="single" w:color="auto" w:sz="4" w:space="0"/>
              <w:bottom w:val="single" w:color="auto" w:sz="4" w:space="0"/>
              <w:right w:val="single" w:color="auto" w:sz="4" w:space="0"/>
            </w:tcBorders>
          </w:tcPr>
          <w:p>
            <w:pPr>
              <w:rPr>
                <w:rFonts w:cs="宋体"/>
                <w:highlight w:val="none"/>
              </w:rPr>
            </w:pPr>
          </w:p>
        </w:tc>
      </w:tr>
    </w:tbl>
    <w:p>
      <w:pPr>
        <w:pStyle w:val="4"/>
        <w:numPr>
          <w:ilvl w:val="1"/>
          <w:numId w:val="0"/>
        </w:numPr>
        <w:ind w:leftChars="0"/>
        <w:outlineLvl w:val="0"/>
        <w:rPr>
          <w:rFonts w:hint="eastAsia" w:hAnsi="宋体" w:cs="宋体"/>
          <w:szCs w:val="24"/>
          <w:highlight w:val="none"/>
          <w:lang w:val="en-US" w:eastAsia="zh-CN"/>
        </w:rPr>
      </w:pPr>
      <w:r>
        <w:rPr>
          <w:rFonts w:hint="eastAsia" w:hAnsi="宋体" w:cs="宋体"/>
          <w:szCs w:val="24"/>
          <w:highlight w:val="none"/>
          <w:lang w:val="en-US" w:eastAsia="zh-CN"/>
        </w:rPr>
        <w:t>11.2第21届东博会可视化保电终端调试摄像头设备列表</w:t>
      </w:r>
    </w:p>
    <w:tbl>
      <w:tblPr>
        <w:tblStyle w:val="21"/>
        <w:tblW w:w="7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2819"/>
        <w:gridCol w:w="4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756" w:type="dxa"/>
            <w:vAlign w:val="center"/>
          </w:tcPr>
          <w:p>
            <w:pPr>
              <w:rPr>
                <w:rFonts w:hint="eastAsia" w:cs="宋体"/>
                <w:highlight w:val="none"/>
                <w:lang w:eastAsia="zh-CN"/>
              </w:rPr>
            </w:pPr>
            <w:r>
              <w:rPr>
                <w:rFonts w:hint="eastAsia" w:cs="宋体"/>
                <w:highlight w:val="none"/>
                <w:lang w:val="en-US" w:eastAsia="zh-CN"/>
              </w:rPr>
              <w:t>序号</w:t>
            </w:r>
          </w:p>
        </w:tc>
        <w:tc>
          <w:tcPr>
            <w:tcW w:w="2819" w:type="dxa"/>
            <w:vAlign w:val="center"/>
          </w:tcPr>
          <w:p>
            <w:pPr>
              <w:rPr>
                <w:rFonts w:hint="eastAsia" w:cs="宋体"/>
                <w:highlight w:val="none"/>
                <w:lang w:eastAsia="zh-CN"/>
              </w:rPr>
            </w:pPr>
            <w:r>
              <w:rPr>
                <w:rFonts w:hint="eastAsia" w:cs="宋体"/>
                <w:highlight w:val="none"/>
                <w:lang w:val="en-US" w:eastAsia="zh-CN"/>
              </w:rPr>
              <w:t>设备名称</w:t>
            </w:r>
          </w:p>
        </w:tc>
        <w:tc>
          <w:tcPr>
            <w:tcW w:w="4330" w:type="dxa"/>
            <w:vAlign w:val="center"/>
          </w:tcPr>
          <w:p>
            <w:pPr>
              <w:rPr>
                <w:rFonts w:hint="default" w:cs="宋体"/>
                <w:highlight w:val="none"/>
                <w:lang w:val="en-US" w:eastAsia="zh-CN"/>
              </w:rPr>
            </w:pPr>
            <w:r>
              <w:rPr>
                <w:rFonts w:hint="eastAsia" w:cs="宋体"/>
                <w:highlight w:val="none"/>
                <w:lang w:val="en-US" w:eastAsia="zh-CN"/>
              </w:rPr>
              <w:t>房间号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eastAsia" w:cs="宋体"/>
                <w:highlight w:val="none"/>
                <w:lang w:eastAsia="zh-CN"/>
              </w:rPr>
            </w:pPr>
            <w:r>
              <w:rPr>
                <w:rFonts w:hint="eastAsia" w:cs="宋体"/>
                <w:highlight w:val="none"/>
                <w:lang w:val="en-US" w:eastAsia="zh-CN"/>
              </w:rPr>
              <w:t>1</w:t>
            </w:r>
          </w:p>
        </w:tc>
        <w:tc>
          <w:tcPr>
            <w:tcW w:w="2819" w:type="dxa"/>
            <w:vAlign w:val="center"/>
          </w:tcPr>
          <w:p>
            <w:pPr>
              <w:rPr>
                <w:rFonts w:hint="eastAsia" w:cs="宋体"/>
                <w:highlight w:val="none"/>
                <w:lang w:eastAsia="zh-CN"/>
              </w:rPr>
            </w:pPr>
            <w:r>
              <w:rPr>
                <w:rFonts w:hint="eastAsia" w:cs="宋体"/>
                <w:highlight w:val="none"/>
                <w:lang w:val="en-US" w:eastAsia="zh-CN"/>
              </w:rPr>
              <w:t>摄像机</w:t>
            </w:r>
          </w:p>
        </w:tc>
        <w:tc>
          <w:tcPr>
            <w:tcW w:w="4330" w:type="dxa"/>
            <w:vAlign w:val="center"/>
          </w:tcPr>
          <w:p>
            <w:pPr>
              <w:rPr>
                <w:rFonts w:hint="eastAsia" w:cs="宋体"/>
                <w:highlight w:val="none"/>
                <w:lang w:val="en-US" w:eastAsia="zh-CN"/>
              </w:rPr>
            </w:pPr>
            <w:r>
              <w:rPr>
                <w:rFonts w:hint="eastAsia" w:cs="宋体"/>
                <w:highlight w:val="none"/>
                <w:lang w:val="en-US" w:eastAsia="zh-CN"/>
              </w:rPr>
              <w:t>会展中心B-185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eastAsia" w:cs="宋体"/>
                <w:highlight w:val="none"/>
                <w:lang w:eastAsia="zh-CN"/>
              </w:rPr>
            </w:pPr>
            <w:r>
              <w:rPr>
                <w:rFonts w:hint="eastAsia" w:cs="宋体"/>
                <w:highlight w:val="none"/>
                <w:lang w:val="en-US" w:eastAsia="zh-CN"/>
              </w:rPr>
              <w:t>2</w:t>
            </w:r>
          </w:p>
        </w:tc>
        <w:tc>
          <w:tcPr>
            <w:tcW w:w="2819" w:type="dxa"/>
            <w:vAlign w:val="center"/>
          </w:tcPr>
          <w:p>
            <w:pPr>
              <w:rPr>
                <w:rFonts w:hint="eastAsia" w:cs="宋体"/>
                <w:highlight w:val="none"/>
                <w:lang w:eastAsia="zh-CN"/>
              </w:rPr>
            </w:pPr>
            <w:r>
              <w:rPr>
                <w:rFonts w:hint="eastAsia" w:cs="宋体"/>
                <w:highlight w:val="none"/>
                <w:lang w:val="en-US" w:eastAsia="zh-CN"/>
              </w:rPr>
              <w:t>摄像机</w:t>
            </w:r>
          </w:p>
        </w:tc>
        <w:tc>
          <w:tcPr>
            <w:tcW w:w="4330" w:type="dxa"/>
            <w:vAlign w:val="center"/>
          </w:tcPr>
          <w:p>
            <w:pPr>
              <w:rPr>
                <w:rFonts w:hint="eastAsia" w:cs="宋体"/>
                <w:highlight w:val="none"/>
                <w:lang w:val="en-US" w:eastAsia="zh-CN"/>
              </w:rPr>
            </w:pPr>
            <w:r>
              <w:rPr>
                <w:rFonts w:hint="eastAsia" w:cs="宋体"/>
                <w:highlight w:val="none"/>
                <w:lang w:val="en-US" w:eastAsia="zh-CN"/>
              </w:rPr>
              <w:t>会展中心B-188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eastAsia" w:cs="宋体"/>
                <w:highlight w:val="none"/>
                <w:lang w:eastAsia="zh-CN"/>
              </w:rPr>
            </w:pPr>
            <w:r>
              <w:rPr>
                <w:rFonts w:hint="eastAsia" w:cs="宋体"/>
                <w:highlight w:val="none"/>
                <w:lang w:val="en-US" w:eastAsia="zh-CN"/>
              </w:rPr>
              <w:t>3</w:t>
            </w:r>
          </w:p>
        </w:tc>
        <w:tc>
          <w:tcPr>
            <w:tcW w:w="2819" w:type="dxa"/>
            <w:vAlign w:val="center"/>
          </w:tcPr>
          <w:p>
            <w:pPr>
              <w:rPr>
                <w:rFonts w:hint="eastAsia" w:cs="宋体"/>
                <w:highlight w:val="none"/>
                <w:lang w:eastAsia="zh-CN"/>
              </w:rPr>
            </w:pPr>
            <w:r>
              <w:rPr>
                <w:rFonts w:hint="eastAsia" w:cs="宋体"/>
                <w:highlight w:val="none"/>
                <w:lang w:val="en-US" w:eastAsia="zh-CN"/>
              </w:rPr>
              <w:t>摄像机</w:t>
            </w:r>
          </w:p>
        </w:tc>
        <w:tc>
          <w:tcPr>
            <w:tcW w:w="4330" w:type="dxa"/>
            <w:vAlign w:val="center"/>
          </w:tcPr>
          <w:p>
            <w:pPr>
              <w:rPr>
                <w:rFonts w:hint="eastAsia" w:cs="宋体"/>
                <w:highlight w:val="none"/>
                <w:lang w:eastAsia="zh-CN"/>
              </w:rPr>
            </w:pPr>
            <w:r>
              <w:rPr>
                <w:rFonts w:hint="eastAsia" w:cs="宋体"/>
                <w:highlight w:val="none"/>
                <w:lang w:val="en-US" w:eastAsia="zh-CN"/>
              </w:rPr>
              <w:t>会展中心B-186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eastAsia" w:cs="宋体"/>
                <w:highlight w:val="none"/>
                <w:lang w:eastAsia="zh-CN"/>
              </w:rPr>
            </w:pPr>
            <w:r>
              <w:rPr>
                <w:rFonts w:hint="eastAsia" w:cs="宋体"/>
                <w:highlight w:val="none"/>
                <w:lang w:val="en-US" w:eastAsia="zh-CN"/>
              </w:rPr>
              <w:t>4</w:t>
            </w:r>
          </w:p>
        </w:tc>
        <w:tc>
          <w:tcPr>
            <w:tcW w:w="2819" w:type="dxa"/>
            <w:vAlign w:val="center"/>
          </w:tcPr>
          <w:p>
            <w:pPr>
              <w:rPr>
                <w:rFonts w:hint="eastAsia" w:cs="宋体"/>
                <w:highlight w:val="none"/>
                <w:lang w:eastAsia="zh-CN"/>
              </w:rPr>
            </w:pPr>
            <w:r>
              <w:rPr>
                <w:rFonts w:hint="eastAsia" w:cs="宋体"/>
                <w:highlight w:val="none"/>
                <w:lang w:val="en-US" w:eastAsia="zh-CN"/>
              </w:rPr>
              <w:t>摄像机</w:t>
            </w:r>
          </w:p>
        </w:tc>
        <w:tc>
          <w:tcPr>
            <w:tcW w:w="4330" w:type="dxa"/>
            <w:vAlign w:val="center"/>
          </w:tcPr>
          <w:p>
            <w:pPr>
              <w:rPr>
                <w:rFonts w:hint="eastAsia" w:cs="宋体"/>
                <w:highlight w:val="none"/>
                <w:lang w:eastAsia="zh-CN"/>
              </w:rPr>
            </w:pPr>
            <w:r>
              <w:rPr>
                <w:rFonts w:hint="eastAsia" w:cs="宋体"/>
                <w:highlight w:val="none"/>
                <w:lang w:val="en-US" w:eastAsia="zh-CN"/>
              </w:rPr>
              <w:t>会展中心B2m27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eastAsia" w:cs="宋体"/>
                <w:highlight w:val="none"/>
                <w:lang w:eastAsia="zh-CN"/>
              </w:rPr>
            </w:pPr>
            <w:r>
              <w:rPr>
                <w:rFonts w:hint="eastAsia" w:cs="宋体"/>
                <w:highlight w:val="none"/>
                <w:lang w:val="en-US" w:eastAsia="zh-CN"/>
              </w:rPr>
              <w:t>5</w:t>
            </w:r>
          </w:p>
        </w:tc>
        <w:tc>
          <w:tcPr>
            <w:tcW w:w="2819" w:type="dxa"/>
            <w:vAlign w:val="center"/>
          </w:tcPr>
          <w:p>
            <w:pPr>
              <w:rPr>
                <w:rFonts w:hint="eastAsia" w:cs="宋体"/>
                <w:highlight w:val="none"/>
                <w:lang w:eastAsia="zh-CN"/>
              </w:rPr>
            </w:pPr>
            <w:r>
              <w:rPr>
                <w:rFonts w:hint="eastAsia" w:cs="宋体"/>
                <w:highlight w:val="none"/>
                <w:lang w:val="en-US" w:eastAsia="zh-CN"/>
              </w:rPr>
              <w:t>摄像机</w:t>
            </w:r>
          </w:p>
        </w:tc>
        <w:tc>
          <w:tcPr>
            <w:tcW w:w="4330" w:type="dxa"/>
            <w:vAlign w:val="center"/>
          </w:tcPr>
          <w:p>
            <w:pPr>
              <w:rPr>
                <w:rFonts w:hint="eastAsia" w:cs="宋体"/>
                <w:highlight w:val="none"/>
                <w:lang w:eastAsia="zh-CN"/>
              </w:rPr>
            </w:pPr>
            <w:r>
              <w:rPr>
                <w:rFonts w:hint="eastAsia" w:cs="宋体"/>
                <w:highlight w:val="none"/>
                <w:lang w:val="en-US" w:eastAsia="zh-CN"/>
              </w:rPr>
              <w:t>会展中心B2m24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eastAsia" w:cs="宋体"/>
                <w:highlight w:val="none"/>
                <w:lang w:eastAsia="zh-CN"/>
              </w:rPr>
            </w:pPr>
            <w:r>
              <w:rPr>
                <w:rFonts w:hint="eastAsia" w:cs="宋体"/>
                <w:highlight w:val="none"/>
                <w:lang w:val="en-US" w:eastAsia="zh-CN"/>
              </w:rPr>
              <w:t>6</w:t>
            </w:r>
          </w:p>
        </w:tc>
        <w:tc>
          <w:tcPr>
            <w:tcW w:w="2819" w:type="dxa"/>
            <w:vAlign w:val="center"/>
          </w:tcPr>
          <w:p>
            <w:pPr>
              <w:rPr>
                <w:rFonts w:hint="eastAsia" w:cs="宋体"/>
                <w:highlight w:val="none"/>
                <w:lang w:eastAsia="zh-CN"/>
              </w:rPr>
            </w:pPr>
            <w:r>
              <w:rPr>
                <w:rFonts w:hint="eastAsia" w:cs="宋体"/>
                <w:highlight w:val="none"/>
                <w:lang w:val="en-US" w:eastAsia="zh-CN"/>
              </w:rPr>
              <w:t>摄像机</w:t>
            </w:r>
          </w:p>
        </w:tc>
        <w:tc>
          <w:tcPr>
            <w:tcW w:w="4330" w:type="dxa"/>
            <w:vAlign w:val="center"/>
          </w:tcPr>
          <w:p>
            <w:pPr>
              <w:rPr>
                <w:rFonts w:hint="eastAsia" w:cs="宋体"/>
                <w:highlight w:val="none"/>
                <w:lang w:eastAsia="zh-CN"/>
              </w:rPr>
            </w:pPr>
            <w:r>
              <w:rPr>
                <w:rFonts w:hint="eastAsia" w:cs="宋体"/>
                <w:highlight w:val="none"/>
                <w:lang w:val="en-US" w:eastAsia="zh-CN"/>
              </w:rPr>
              <w:t>B1m17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eastAsia" w:cs="宋体"/>
                <w:highlight w:val="none"/>
                <w:lang w:eastAsia="zh-CN"/>
              </w:rPr>
            </w:pPr>
            <w:r>
              <w:rPr>
                <w:rFonts w:hint="eastAsia" w:cs="宋体"/>
                <w:highlight w:val="none"/>
                <w:lang w:val="en-US" w:eastAsia="zh-CN"/>
              </w:rPr>
              <w:t>7</w:t>
            </w:r>
          </w:p>
        </w:tc>
        <w:tc>
          <w:tcPr>
            <w:tcW w:w="2819" w:type="dxa"/>
            <w:vAlign w:val="center"/>
          </w:tcPr>
          <w:p>
            <w:pPr>
              <w:rPr>
                <w:rFonts w:hint="eastAsia" w:cs="宋体"/>
                <w:highlight w:val="none"/>
                <w:lang w:eastAsia="zh-CN"/>
              </w:rPr>
            </w:pPr>
            <w:r>
              <w:rPr>
                <w:rFonts w:hint="eastAsia" w:cs="宋体"/>
                <w:highlight w:val="none"/>
                <w:lang w:val="en-US" w:eastAsia="zh-CN"/>
              </w:rPr>
              <w:t>摄像机</w:t>
            </w:r>
          </w:p>
        </w:tc>
        <w:tc>
          <w:tcPr>
            <w:tcW w:w="4330" w:type="dxa"/>
            <w:vAlign w:val="center"/>
          </w:tcPr>
          <w:p>
            <w:pPr>
              <w:rPr>
                <w:rFonts w:hint="eastAsia" w:cs="宋体"/>
                <w:highlight w:val="none"/>
                <w:lang w:eastAsia="zh-CN"/>
              </w:rPr>
            </w:pPr>
            <w:r>
              <w:rPr>
                <w:rFonts w:hint="eastAsia" w:cs="宋体"/>
                <w:highlight w:val="none"/>
                <w:lang w:val="en-US" w:eastAsia="zh-CN"/>
              </w:rPr>
              <w:t>会展中心室外发电车值守点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eastAsia" w:cs="宋体"/>
                <w:highlight w:val="none"/>
                <w:lang w:eastAsia="zh-CN"/>
              </w:rPr>
            </w:pPr>
            <w:r>
              <w:rPr>
                <w:rFonts w:hint="eastAsia" w:cs="宋体"/>
                <w:highlight w:val="none"/>
                <w:lang w:val="en-US" w:eastAsia="zh-CN"/>
              </w:rPr>
              <w:t>8</w:t>
            </w:r>
          </w:p>
        </w:tc>
        <w:tc>
          <w:tcPr>
            <w:tcW w:w="2819" w:type="dxa"/>
            <w:vAlign w:val="center"/>
          </w:tcPr>
          <w:p>
            <w:pPr>
              <w:rPr>
                <w:rFonts w:hint="eastAsia" w:cs="宋体"/>
                <w:highlight w:val="none"/>
                <w:lang w:eastAsia="zh-CN"/>
              </w:rPr>
            </w:pPr>
            <w:r>
              <w:rPr>
                <w:rFonts w:hint="eastAsia" w:cs="宋体"/>
                <w:highlight w:val="none"/>
                <w:lang w:val="en-US" w:eastAsia="zh-CN"/>
              </w:rPr>
              <w:t>NVR</w:t>
            </w:r>
          </w:p>
        </w:tc>
        <w:tc>
          <w:tcPr>
            <w:tcW w:w="4330" w:type="dxa"/>
            <w:vAlign w:val="center"/>
          </w:tcPr>
          <w:p>
            <w:pPr>
              <w:rPr>
                <w:rFonts w:hint="eastAsia" w:cs="宋体"/>
                <w:highlight w:val="none"/>
                <w:lang w:eastAsia="zh-CN"/>
              </w:rPr>
            </w:pPr>
            <w:r>
              <w:rPr>
                <w:rFonts w:hint="eastAsia" w:cs="宋体"/>
                <w:highlight w:val="none"/>
                <w:lang w:val="en-US" w:eastAsia="zh-CN"/>
              </w:rPr>
              <w:t>会展中心B-189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eastAsia" w:cs="宋体"/>
                <w:highlight w:val="none"/>
                <w:lang w:eastAsia="zh-CN"/>
              </w:rPr>
            </w:pPr>
            <w:r>
              <w:rPr>
                <w:rFonts w:hint="eastAsia" w:cs="宋体"/>
                <w:highlight w:val="none"/>
                <w:lang w:val="en-US" w:eastAsia="zh-CN"/>
              </w:rPr>
              <w:t>9</w:t>
            </w:r>
          </w:p>
        </w:tc>
        <w:tc>
          <w:tcPr>
            <w:tcW w:w="2819" w:type="dxa"/>
            <w:vAlign w:val="center"/>
          </w:tcPr>
          <w:p>
            <w:pPr>
              <w:rPr>
                <w:rFonts w:hint="eastAsia" w:cs="宋体"/>
                <w:highlight w:val="none"/>
                <w:lang w:eastAsia="zh-CN"/>
              </w:rPr>
            </w:pPr>
            <w:r>
              <w:rPr>
                <w:rFonts w:hint="eastAsia" w:cs="宋体"/>
                <w:highlight w:val="none"/>
                <w:lang w:val="en-US" w:eastAsia="zh-CN"/>
              </w:rPr>
              <w:t>工控机</w:t>
            </w:r>
          </w:p>
        </w:tc>
        <w:tc>
          <w:tcPr>
            <w:tcW w:w="4330" w:type="dxa"/>
            <w:vAlign w:val="center"/>
          </w:tcPr>
          <w:p>
            <w:pPr>
              <w:rPr>
                <w:rFonts w:hint="eastAsia" w:cs="宋体"/>
                <w:highlight w:val="none"/>
                <w:lang w:eastAsia="zh-CN"/>
              </w:rPr>
            </w:pPr>
            <w:r>
              <w:rPr>
                <w:rFonts w:hint="eastAsia" w:cs="宋体"/>
                <w:highlight w:val="none"/>
                <w:lang w:val="en-US" w:eastAsia="zh-CN"/>
              </w:rPr>
              <w:t>会展中心B-189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default" w:cs="宋体"/>
                <w:highlight w:val="none"/>
                <w:lang w:val="en-US" w:eastAsia="zh-CN"/>
              </w:rPr>
            </w:pPr>
            <w:r>
              <w:rPr>
                <w:rFonts w:hint="eastAsia" w:cs="宋体"/>
                <w:highlight w:val="none"/>
                <w:lang w:val="en-US" w:eastAsia="zh-CN"/>
              </w:rPr>
              <w:t>10</w:t>
            </w:r>
          </w:p>
        </w:tc>
        <w:tc>
          <w:tcPr>
            <w:tcW w:w="2819" w:type="dxa"/>
            <w:vAlign w:val="center"/>
          </w:tcPr>
          <w:p>
            <w:pPr>
              <w:rPr>
                <w:rFonts w:hint="eastAsia" w:cs="宋体"/>
                <w:highlight w:val="none"/>
                <w:lang w:val="en-US" w:eastAsia="zh-CN"/>
              </w:rPr>
            </w:pPr>
            <w:r>
              <w:rPr>
                <w:rFonts w:hint="eastAsia" w:cs="宋体"/>
                <w:highlight w:val="none"/>
                <w:lang w:val="en-US" w:eastAsia="zh-CN"/>
              </w:rPr>
              <w:t>摄像机</w:t>
            </w:r>
          </w:p>
        </w:tc>
        <w:tc>
          <w:tcPr>
            <w:tcW w:w="4330" w:type="dxa"/>
            <w:vAlign w:val="center"/>
          </w:tcPr>
          <w:p>
            <w:pPr>
              <w:rPr>
                <w:rFonts w:hint="eastAsia" w:cs="宋体"/>
                <w:highlight w:val="none"/>
                <w:lang w:val="en-US" w:eastAsia="zh-CN"/>
              </w:rPr>
            </w:pPr>
            <w:r>
              <w:rPr>
                <w:rFonts w:hint="eastAsia" w:cs="宋体"/>
                <w:highlight w:val="none"/>
                <w:lang w:val="en-US" w:eastAsia="zh-CN"/>
              </w:rPr>
              <w:t>荔园山庄会议中心低压室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default" w:cs="宋体"/>
                <w:highlight w:val="none"/>
                <w:lang w:val="en-US" w:eastAsia="zh-CN"/>
              </w:rPr>
            </w:pPr>
            <w:r>
              <w:rPr>
                <w:rFonts w:hint="eastAsia" w:cs="宋体"/>
                <w:highlight w:val="none"/>
                <w:lang w:val="en-US" w:eastAsia="zh-CN"/>
              </w:rPr>
              <w:t>11</w:t>
            </w:r>
          </w:p>
        </w:tc>
        <w:tc>
          <w:tcPr>
            <w:tcW w:w="2819" w:type="dxa"/>
            <w:vAlign w:val="center"/>
          </w:tcPr>
          <w:p>
            <w:pPr>
              <w:rPr>
                <w:rFonts w:hint="eastAsia" w:cs="宋体"/>
                <w:highlight w:val="none"/>
                <w:lang w:val="en-US" w:eastAsia="zh-CN"/>
              </w:rPr>
            </w:pPr>
            <w:r>
              <w:rPr>
                <w:rFonts w:hint="eastAsia" w:cs="宋体"/>
                <w:highlight w:val="none"/>
                <w:lang w:val="en-US" w:eastAsia="zh-CN"/>
              </w:rPr>
              <w:t>摄像机</w:t>
            </w:r>
          </w:p>
        </w:tc>
        <w:tc>
          <w:tcPr>
            <w:tcW w:w="4330" w:type="dxa"/>
            <w:vAlign w:val="center"/>
          </w:tcPr>
          <w:p>
            <w:pPr>
              <w:rPr>
                <w:rFonts w:hint="eastAsia" w:cs="宋体"/>
                <w:highlight w:val="none"/>
                <w:lang w:val="en-US" w:eastAsia="zh-CN"/>
              </w:rPr>
            </w:pPr>
            <w:r>
              <w:rPr>
                <w:rFonts w:hint="eastAsia" w:cs="宋体"/>
                <w:highlight w:val="none"/>
                <w:lang w:val="en-US" w:eastAsia="zh-CN"/>
              </w:rPr>
              <w:t>荔园山庄会议中心高压室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default" w:cs="宋体"/>
                <w:highlight w:val="none"/>
                <w:lang w:val="en-US" w:eastAsia="zh-CN"/>
              </w:rPr>
            </w:pPr>
            <w:r>
              <w:rPr>
                <w:rFonts w:hint="eastAsia" w:cs="宋体"/>
                <w:highlight w:val="none"/>
                <w:lang w:val="en-US" w:eastAsia="zh-CN"/>
              </w:rPr>
              <w:t>12</w:t>
            </w:r>
          </w:p>
        </w:tc>
        <w:tc>
          <w:tcPr>
            <w:tcW w:w="2819" w:type="dxa"/>
            <w:vAlign w:val="center"/>
          </w:tcPr>
          <w:p>
            <w:pPr>
              <w:rPr>
                <w:rFonts w:hint="eastAsia" w:cs="宋体"/>
                <w:highlight w:val="none"/>
                <w:lang w:val="en-US" w:eastAsia="zh-CN"/>
              </w:rPr>
            </w:pPr>
            <w:r>
              <w:rPr>
                <w:rFonts w:hint="eastAsia" w:cs="宋体"/>
                <w:highlight w:val="none"/>
                <w:lang w:val="en-US" w:eastAsia="zh-CN"/>
              </w:rPr>
              <w:t>摄像机</w:t>
            </w:r>
          </w:p>
        </w:tc>
        <w:tc>
          <w:tcPr>
            <w:tcW w:w="4330" w:type="dxa"/>
            <w:vAlign w:val="center"/>
          </w:tcPr>
          <w:p>
            <w:pPr>
              <w:rPr>
                <w:rFonts w:hint="eastAsia" w:cs="宋体"/>
                <w:highlight w:val="none"/>
                <w:lang w:val="en-US" w:eastAsia="zh-CN"/>
              </w:rPr>
            </w:pPr>
            <w:r>
              <w:rPr>
                <w:rFonts w:hint="eastAsia" w:cs="宋体"/>
                <w:highlight w:val="none"/>
                <w:lang w:val="en-US" w:eastAsia="zh-CN"/>
              </w:rPr>
              <w:t>荔园山庄1号楼配电房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default" w:cs="宋体"/>
                <w:highlight w:val="none"/>
                <w:lang w:val="en-US" w:eastAsia="zh-CN"/>
              </w:rPr>
            </w:pPr>
            <w:r>
              <w:rPr>
                <w:rFonts w:hint="eastAsia" w:cs="宋体"/>
                <w:highlight w:val="none"/>
                <w:lang w:val="en-US" w:eastAsia="zh-CN"/>
              </w:rPr>
              <w:t>13</w:t>
            </w:r>
          </w:p>
        </w:tc>
        <w:tc>
          <w:tcPr>
            <w:tcW w:w="2819" w:type="dxa"/>
            <w:vAlign w:val="center"/>
          </w:tcPr>
          <w:p>
            <w:pPr>
              <w:rPr>
                <w:rFonts w:hint="eastAsia" w:cs="宋体"/>
                <w:highlight w:val="none"/>
                <w:lang w:val="en-US" w:eastAsia="zh-CN"/>
              </w:rPr>
            </w:pPr>
            <w:r>
              <w:rPr>
                <w:rFonts w:hint="eastAsia" w:cs="宋体"/>
                <w:highlight w:val="none"/>
                <w:lang w:val="en-US" w:eastAsia="zh-CN"/>
              </w:rPr>
              <w:t>NVR</w:t>
            </w:r>
          </w:p>
        </w:tc>
        <w:tc>
          <w:tcPr>
            <w:tcW w:w="4330" w:type="dxa"/>
            <w:vAlign w:val="center"/>
          </w:tcPr>
          <w:p>
            <w:pPr>
              <w:rPr>
                <w:rFonts w:hint="eastAsia" w:cs="宋体"/>
                <w:highlight w:val="none"/>
                <w:lang w:val="en-US" w:eastAsia="zh-CN"/>
              </w:rPr>
            </w:pPr>
            <w:r>
              <w:rPr>
                <w:rFonts w:hint="eastAsia" w:cs="宋体"/>
                <w:highlight w:val="none"/>
                <w:lang w:val="en-US" w:eastAsia="zh-CN"/>
              </w:rPr>
              <w:t>荔园山庄1号楼配电房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6" w:type="dxa"/>
            <w:vAlign w:val="center"/>
          </w:tcPr>
          <w:p>
            <w:pPr>
              <w:rPr>
                <w:rFonts w:hint="default" w:cs="宋体"/>
                <w:highlight w:val="none"/>
                <w:lang w:val="en-US" w:eastAsia="zh-CN"/>
              </w:rPr>
            </w:pPr>
            <w:r>
              <w:rPr>
                <w:rFonts w:hint="eastAsia" w:cs="宋体"/>
                <w:highlight w:val="none"/>
                <w:lang w:val="en-US" w:eastAsia="zh-CN"/>
              </w:rPr>
              <w:t>14</w:t>
            </w:r>
          </w:p>
        </w:tc>
        <w:tc>
          <w:tcPr>
            <w:tcW w:w="2819" w:type="dxa"/>
            <w:vAlign w:val="center"/>
          </w:tcPr>
          <w:p>
            <w:pPr>
              <w:rPr>
                <w:rFonts w:hint="eastAsia" w:cs="宋体"/>
                <w:highlight w:val="none"/>
                <w:lang w:val="en-US" w:eastAsia="zh-CN"/>
              </w:rPr>
            </w:pPr>
            <w:r>
              <w:rPr>
                <w:rFonts w:hint="eastAsia" w:cs="宋体"/>
                <w:highlight w:val="none"/>
                <w:lang w:val="en-US" w:eastAsia="zh-CN"/>
              </w:rPr>
              <w:t>工控机</w:t>
            </w:r>
          </w:p>
        </w:tc>
        <w:tc>
          <w:tcPr>
            <w:tcW w:w="4330" w:type="dxa"/>
            <w:vAlign w:val="center"/>
          </w:tcPr>
          <w:p>
            <w:pPr>
              <w:rPr>
                <w:rFonts w:hint="eastAsia" w:cs="宋体"/>
                <w:highlight w:val="none"/>
                <w:lang w:val="en-US" w:eastAsia="zh-CN"/>
              </w:rPr>
            </w:pPr>
            <w:r>
              <w:rPr>
                <w:rFonts w:hint="eastAsia" w:cs="宋体"/>
                <w:highlight w:val="none"/>
                <w:lang w:val="en-US" w:eastAsia="zh-CN"/>
              </w:rPr>
              <w:t>荔园山庄1号楼配电房</w:t>
            </w:r>
          </w:p>
        </w:tc>
      </w:tr>
    </w:tbl>
    <w:p>
      <w:pPr>
        <w:pStyle w:val="2"/>
        <w:rPr>
          <w:rFonts w:hint="default"/>
          <w:lang w:val="en-US" w:eastAsia="zh-CN"/>
        </w:rPr>
      </w:pPr>
    </w:p>
    <w:p>
      <w:pPr>
        <w:pStyle w:val="4"/>
        <w:numPr>
          <w:ilvl w:val="1"/>
          <w:numId w:val="0"/>
        </w:numPr>
        <w:ind w:leftChars="0"/>
        <w:outlineLvl w:val="0"/>
        <w:rPr>
          <w:rFonts w:hAnsi="宋体" w:cs="宋体"/>
          <w:szCs w:val="24"/>
          <w:highlight w:val="none"/>
        </w:rPr>
      </w:pPr>
      <w:bookmarkStart w:id="49" w:name="_Toc32270"/>
      <w:r>
        <w:rPr>
          <w:rFonts w:hint="eastAsia" w:hAnsi="宋体" w:cs="宋体"/>
          <w:szCs w:val="24"/>
          <w:highlight w:val="none"/>
          <w:lang w:val="en-US" w:eastAsia="zh-CN"/>
        </w:rPr>
        <w:t>11.3</w:t>
      </w:r>
      <w:r>
        <w:rPr>
          <w:rFonts w:hint="eastAsia" w:hAnsi="宋体" w:cs="宋体"/>
          <w:szCs w:val="24"/>
          <w:highlight w:val="none"/>
        </w:rPr>
        <w:t>投标方需要说明的其它问题</w:t>
      </w:r>
      <w:bookmarkEnd w:id="49"/>
    </w:p>
    <w:p>
      <w:pPr>
        <w:rPr>
          <w:rFonts w:hint="eastAsia" w:eastAsia="宋体" w:cs="宋体"/>
          <w:highlight w:val="none"/>
          <w:lang w:val="en-US" w:eastAsia="zh-CN"/>
        </w:rPr>
      </w:pPr>
      <w:r>
        <w:rPr>
          <w:rFonts w:hint="eastAsia" w:cs="宋体"/>
          <w:highlight w:val="none"/>
          <w:lang w:val="en-US" w:eastAsia="zh-CN"/>
        </w:rPr>
        <w:t>无</w:t>
      </w:r>
    </w:p>
    <w:bookmarkEnd w:id="44"/>
    <w:p>
      <w:pPr>
        <w:rPr>
          <w:highlight w:val="none"/>
        </w:rPr>
      </w:pPr>
    </w:p>
    <w:sectPr>
      <w:headerReference r:id="rId7" w:type="default"/>
      <w:footerReference r:id="rId8"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8</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C49747"/>
    <w:multiLevelType w:val="multilevel"/>
    <w:tmpl w:val="A5C49747"/>
    <w:lvl w:ilvl="0" w:tentative="0">
      <w:start w:val="1"/>
      <w:numFmt w:val="decimal"/>
      <w:suff w:val="space"/>
      <w:lvlText w:val="%1."/>
      <w:lvlJc w:val="left"/>
      <w:pPr>
        <w:tabs>
          <w:tab w:val="left" w:pos="0"/>
        </w:tabs>
        <w:ind w:left="0" w:firstLine="0"/>
      </w:pPr>
      <w:rPr>
        <w:rFonts w:hint="default"/>
      </w:rPr>
    </w:lvl>
    <w:lvl w:ilvl="1" w:tentative="0">
      <w:start w:val="1"/>
      <w:numFmt w:val="decimal"/>
      <w:isLgl/>
      <w:suff w:val="space"/>
      <w:lvlText w:val="%1.%2"/>
      <w:lvlJc w:val="left"/>
      <w:pPr>
        <w:ind w:left="0" w:firstLine="0"/>
      </w:pPr>
      <w:rPr>
        <w:rFonts w:hint="eastAsia"/>
        <w:lang w:val="en-US"/>
      </w:rPr>
    </w:lvl>
    <w:lvl w:ilvl="2" w:tentative="0">
      <w:start w:val="1"/>
      <w:numFmt w:val="decimal"/>
      <w:isLgl/>
      <w:suff w:val="space"/>
      <w:lvlText w:val="%1.%2.%3"/>
      <w:lvlJc w:val="left"/>
      <w:pPr>
        <w:ind w:left="0" w:firstLine="0"/>
      </w:pPr>
      <w:rPr>
        <w:rFonts w:hint="eastAsia"/>
        <w:b w:val="0"/>
        <w:i w:val="0"/>
      </w:rPr>
    </w:lvl>
    <w:lvl w:ilvl="3" w:tentative="0">
      <w:start w:val="1"/>
      <w:numFmt w:val="decimal"/>
      <w:pStyle w:val="25"/>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420"/>
        </w:tabs>
        <w:ind w:left="3260" w:hanging="1134"/>
      </w:pPr>
      <w:rPr>
        <w:rFonts w:hint="default" w:ascii="宋体" w:hAnsi="宋体" w:eastAsia="宋体" w:cs="宋体"/>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A980E884"/>
    <w:multiLevelType w:val="multilevel"/>
    <w:tmpl w:val="A980E884"/>
    <w:lvl w:ilvl="0" w:tentative="0">
      <w:start w:val="1"/>
      <w:numFmt w:val="decimal"/>
      <w:pStyle w:val="6"/>
      <w:suff w:val="space"/>
      <w:lvlText w:val="%1."/>
      <w:lvlJc w:val="left"/>
      <w:pPr>
        <w:tabs>
          <w:tab w:val="left" w:pos="6089"/>
        </w:tabs>
        <w:ind w:left="0" w:firstLine="0"/>
      </w:pPr>
      <w:rPr>
        <w:rFonts w:hint="default" w:ascii="宋体" w:hAnsi="宋体" w:eastAsia="宋体" w:cs="宋体"/>
      </w:rPr>
    </w:lvl>
    <w:lvl w:ilvl="1" w:tentative="0">
      <w:start w:val="1"/>
      <w:numFmt w:val="decimal"/>
      <w:pStyle w:val="4"/>
      <w:isLgl/>
      <w:suff w:val="space"/>
      <w:lvlText w:val="%1.%2"/>
      <w:lvlJc w:val="left"/>
      <w:pPr>
        <w:ind w:left="0" w:firstLine="0"/>
      </w:pPr>
      <w:rPr>
        <w:rFonts w:hint="default" w:ascii="宋体" w:hAnsi="宋体" w:eastAsia="宋体" w:cs="宋体"/>
        <w:lang w:val="en-US"/>
      </w:rPr>
    </w:lvl>
    <w:lvl w:ilvl="2" w:tentative="0">
      <w:start w:val="1"/>
      <w:numFmt w:val="decimal"/>
      <w:pStyle w:val="5"/>
      <w:isLgl/>
      <w:suff w:val="space"/>
      <w:lvlText w:val="%1.%2.%3"/>
      <w:lvlJc w:val="left"/>
      <w:pPr>
        <w:ind w:left="0" w:firstLine="0"/>
      </w:pPr>
      <w:rPr>
        <w:rFonts w:hint="default" w:ascii="宋体" w:hAnsi="宋体" w:eastAsia="宋体" w:cs="宋体"/>
        <w:b w:val="0"/>
        <w:i w:val="0"/>
      </w:rPr>
    </w:lvl>
    <w:lvl w:ilvl="3" w:tentative="0">
      <w:start w:val="1"/>
      <w:numFmt w:val="decimal"/>
      <w:isLgl/>
      <w:suff w:val="space"/>
      <w:lvlText w:val="%1.%2.%3.%4"/>
      <w:lvlJc w:val="left"/>
      <w:pPr>
        <w:ind w:left="0" w:firstLine="0"/>
      </w:pPr>
      <w:rPr>
        <w:rFonts w:hint="default" w:ascii="宋体" w:hAnsi="宋体" w:eastAsia="宋体" w:cs="宋体"/>
      </w:rPr>
    </w:lvl>
    <w:lvl w:ilvl="4" w:tentative="0">
      <w:start w:val="1"/>
      <w:numFmt w:val="decimal"/>
      <w:pStyle w:val="7"/>
      <w:isLgl/>
      <w:lvlText w:val="%1.%2.%3.%4.%5"/>
      <w:lvlJc w:val="left"/>
      <w:pPr>
        <w:tabs>
          <w:tab w:val="left" w:pos="420"/>
        </w:tabs>
        <w:ind w:left="0" w:firstLine="0"/>
      </w:pPr>
      <w:rPr>
        <w:rFonts w:hint="default" w:ascii="宋体" w:hAnsi="宋体" w:eastAsia="宋体" w:cs="宋体"/>
      </w:rPr>
    </w:lvl>
    <w:lvl w:ilvl="5" w:tentative="0">
      <w:start w:val="1"/>
      <w:numFmt w:val="decimal"/>
      <w:pStyle w:val="8"/>
      <w:isLgl/>
      <w:lvlText w:val="%1.%2.%3.%4.%5.%6"/>
      <w:lvlJc w:val="left"/>
      <w:pPr>
        <w:tabs>
          <w:tab w:val="left" w:pos="6086"/>
        </w:tabs>
        <w:ind w:left="3260" w:hanging="1563"/>
      </w:pPr>
      <w:rPr>
        <w:rFonts w:hint="default" w:ascii="宋体" w:hAnsi="宋体" w:eastAsia="宋体" w:cs="宋体"/>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FFFFFF89"/>
    <w:multiLevelType w:val="singleLevel"/>
    <w:tmpl w:val="FFFFFF89"/>
    <w:lvl w:ilvl="0" w:tentative="0">
      <w:start w:val="1"/>
      <w:numFmt w:val="bullet"/>
      <w:pStyle w:val="9"/>
      <w:lvlText w:val=""/>
      <w:lvlJc w:val="left"/>
      <w:pPr>
        <w:tabs>
          <w:tab w:val="left" w:pos="360"/>
        </w:tabs>
        <w:ind w:left="360" w:hanging="360"/>
      </w:pPr>
      <w:rPr>
        <w:rFonts w:hint="default" w:ascii="Symbol" w:hAnsi="Symbol"/>
      </w:rPr>
    </w:lvl>
  </w:abstractNum>
  <w:abstractNum w:abstractNumId="3">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lang w:val="en-US"/>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RkMTg5OTk5Yzg2NGQwYWM5YjYwMjhmMmM0ZTBjOGEifQ=="/>
  </w:docVars>
  <w:rsids>
    <w:rsidRoot w:val="00172A27"/>
    <w:rsid w:val="00003565"/>
    <w:rsid w:val="00004664"/>
    <w:rsid w:val="00004AC8"/>
    <w:rsid w:val="00004C63"/>
    <w:rsid w:val="00006A58"/>
    <w:rsid w:val="000076EF"/>
    <w:rsid w:val="00010702"/>
    <w:rsid w:val="00011490"/>
    <w:rsid w:val="000117A6"/>
    <w:rsid w:val="00012140"/>
    <w:rsid w:val="000136A5"/>
    <w:rsid w:val="0001565A"/>
    <w:rsid w:val="000159C0"/>
    <w:rsid w:val="00016BBD"/>
    <w:rsid w:val="0002084D"/>
    <w:rsid w:val="00021296"/>
    <w:rsid w:val="00021BBC"/>
    <w:rsid w:val="00025267"/>
    <w:rsid w:val="00025AE8"/>
    <w:rsid w:val="00032833"/>
    <w:rsid w:val="00034BF1"/>
    <w:rsid w:val="00034F54"/>
    <w:rsid w:val="00036A40"/>
    <w:rsid w:val="00037672"/>
    <w:rsid w:val="000402C0"/>
    <w:rsid w:val="00040510"/>
    <w:rsid w:val="00040C81"/>
    <w:rsid w:val="00041B5C"/>
    <w:rsid w:val="00046C9F"/>
    <w:rsid w:val="000475C1"/>
    <w:rsid w:val="000503A8"/>
    <w:rsid w:val="0005156F"/>
    <w:rsid w:val="00054F3C"/>
    <w:rsid w:val="00055224"/>
    <w:rsid w:val="000606EF"/>
    <w:rsid w:val="000612EB"/>
    <w:rsid w:val="000621FA"/>
    <w:rsid w:val="00063319"/>
    <w:rsid w:val="000638B8"/>
    <w:rsid w:val="00063B51"/>
    <w:rsid w:val="00065306"/>
    <w:rsid w:val="000669B4"/>
    <w:rsid w:val="0006701A"/>
    <w:rsid w:val="00071A4E"/>
    <w:rsid w:val="00071CBA"/>
    <w:rsid w:val="000721D3"/>
    <w:rsid w:val="00072990"/>
    <w:rsid w:val="00073525"/>
    <w:rsid w:val="00075B56"/>
    <w:rsid w:val="000778CC"/>
    <w:rsid w:val="00081569"/>
    <w:rsid w:val="00085A35"/>
    <w:rsid w:val="000865C8"/>
    <w:rsid w:val="00086F8F"/>
    <w:rsid w:val="00087F48"/>
    <w:rsid w:val="00093F4D"/>
    <w:rsid w:val="00095537"/>
    <w:rsid w:val="00095740"/>
    <w:rsid w:val="000962BE"/>
    <w:rsid w:val="000A16F7"/>
    <w:rsid w:val="000A4CC9"/>
    <w:rsid w:val="000B142D"/>
    <w:rsid w:val="000B2008"/>
    <w:rsid w:val="000B26DF"/>
    <w:rsid w:val="000B304A"/>
    <w:rsid w:val="000B3C9A"/>
    <w:rsid w:val="000B4B67"/>
    <w:rsid w:val="000B5C93"/>
    <w:rsid w:val="000B69B8"/>
    <w:rsid w:val="000B6CA3"/>
    <w:rsid w:val="000B7E70"/>
    <w:rsid w:val="000C095F"/>
    <w:rsid w:val="000C0BA9"/>
    <w:rsid w:val="000C0F9C"/>
    <w:rsid w:val="000C3567"/>
    <w:rsid w:val="000C4294"/>
    <w:rsid w:val="000C5664"/>
    <w:rsid w:val="000C74CC"/>
    <w:rsid w:val="000C7616"/>
    <w:rsid w:val="000C7A63"/>
    <w:rsid w:val="000D1B19"/>
    <w:rsid w:val="000D260C"/>
    <w:rsid w:val="000D37F5"/>
    <w:rsid w:val="000D4BD8"/>
    <w:rsid w:val="000D4EE4"/>
    <w:rsid w:val="000D5749"/>
    <w:rsid w:val="000D5AB5"/>
    <w:rsid w:val="000D6994"/>
    <w:rsid w:val="000E2B66"/>
    <w:rsid w:val="000E4401"/>
    <w:rsid w:val="000E593C"/>
    <w:rsid w:val="000E7049"/>
    <w:rsid w:val="000E74DC"/>
    <w:rsid w:val="000E7773"/>
    <w:rsid w:val="000F0103"/>
    <w:rsid w:val="000F1D2D"/>
    <w:rsid w:val="000F491A"/>
    <w:rsid w:val="000F4EBC"/>
    <w:rsid w:val="000F6910"/>
    <w:rsid w:val="000F7822"/>
    <w:rsid w:val="000F7CD5"/>
    <w:rsid w:val="0010114C"/>
    <w:rsid w:val="001012FC"/>
    <w:rsid w:val="00101802"/>
    <w:rsid w:val="00103CF6"/>
    <w:rsid w:val="00106700"/>
    <w:rsid w:val="0010739F"/>
    <w:rsid w:val="00107D5B"/>
    <w:rsid w:val="00110EDD"/>
    <w:rsid w:val="00110FEE"/>
    <w:rsid w:val="00111248"/>
    <w:rsid w:val="00112294"/>
    <w:rsid w:val="00113438"/>
    <w:rsid w:val="001139E3"/>
    <w:rsid w:val="00115167"/>
    <w:rsid w:val="001169D2"/>
    <w:rsid w:val="00117201"/>
    <w:rsid w:val="001178B4"/>
    <w:rsid w:val="00117F05"/>
    <w:rsid w:val="00120334"/>
    <w:rsid w:val="00120DDE"/>
    <w:rsid w:val="00121123"/>
    <w:rsid w:val="001230B9"/>
    <w:rsid w:val="0012434F"/>
    <w:rsid w:val="00126B8B"/>
    <w:rsid w:val="0013147E"/>
    <w:rsid w:val="001363CF"/>
    <w:rsid w:val="00136D94"/>
    <w:rsid w:val="00136E71"/>
    <w:rsid w:val="00137FA3"/>
    <w:rsid w:val="00141054"/>
    <w:rsid w:val="00141BB0"/>
    <w:rsid w:val="00142C5F"/>
    <w:rsid w:val="00143FD7"/>
    <w:rsid w:val="001446B1"/>
    <w:rsid w:val="001451C9"/>
    <w:rsid w:val="00145EC2"/>
    <w:rsid w:val="001507FD"/>
    <w:rsid w:val="00151BFF"/>
    <w:rsid w:val="00153627"/>
    <w:rsid w:val="00153DFF"/>
    <w:rsid w:val="001552AC"/>
    <w:rsid w:val="00155339"/>
    <w:rsid w:val="00160451"/>
    <w:rsid w:val="00160A72"/>
    <w:rsid w:val="00161B8C"/>
    <w:rsid w:val="00165C92"/>
    <w:rsid w:val="001710B0"/>
    <w:rsid w:val="00171E26"/>
    <w:rsid w:val="001729E7"/>
    <w:rsid w:val="00172A27"/>
    <w:rsid w:val="0017349B"/>
    <w:rsid w:val="0017529D"/>
    <w:rsid w:val="001765A9"/>
    <w:rsid w:val="001811F4"/>
    <w:rsid w:val="00181FCA"/>
    <w:rsid w:val="00182CB8"/>
    <w:rsid w:val="00183A4A"/>
    <w:rsid w:val="00187378"/>
    <w:rsid w:val="00190D94"/>
    <w:rsid w:val="00191CC6"/>
    <w:rsid w:val="00192B64"/>
    <w:rsid w:val="001A10AF"/>
    <w:rsid w:val="001A1B74"/>
    <w:rsid w:val="001A2DF0"/>
    <w:rsid w:val="001A36D8"/>
    <w:rsid w:val="001A4AB2"/>
    <w:rsid w:val="001A6C98"/>
    <w:rsid w:val="001A7D2F"/>
    <w:rsid w:val="001B06D5"/>
    <w:rsid w:val="001B2ACD"/>
    <w:rsid w:val="001B524A"/>
    <w:rsid w:val="001B54AD"/>
    <w:rsid w:val="001C1889"/>
    <w:rsid w:val="001C1ED4"/>
    <w:rsid w:val="001C21C8"/>
    <w:rsid w:val="001C694F"/>
    <w:rsid w:val="001D2BF1"/>
    <w:rsid w:val="001D2D5A"/>
    <w:rsid w:val="001D3B3D"/>
    <w:rsid w:val="001D65EB"/>
    <w:rsid w:val="001E30C7"/>
    <w:rsid w:val="001E384A"/>
    <w:rsid w:val="001E3C00"/>
    <w:rsid w:val="001E5C9F"/>
    <w:rsid w:val="001E6C89"/>
    <w:rsid w:val="001E6FB8"/>
    <w:rsid w:val="001E7CC1"/>
    <w:rsid w:val="001F1127"/>
    <w:rsid w:val="001F19C7"/>
    <w:rsid w:val="001F4291"/>
    <w:rsid w:val="001F618B"/>
    <w:rsid w:val="001F68B2"/>
    <w:rsid w:val="001F68BD"/>
    <w:rsid w:val="001F6F02"/>
    <w:rsid w:val="0020139E"/>
    <w:rsid w:val="00201695"/>
    <w:rsid w:val="00203AE5"/>
    <w:rsid w:val="002044C7"/>
    <w:rsid w:val="00211C85"/>
    <w:rsid w:val="00212D7C"/>
    <w:rsid w:val="00213E1C"/>
    <w:rsid w:val="0021472A"/>
    <w:rsid w:val="002154B5"/>
    <w:rsid w:val="002170F2"/>
    <w:rsid w:val="002176FE"/>
    <w:rsid w:val="00220566"/>
    <w:rsid w:val="0022071F"/>
    <w:rsid w:val="00222A63"/>
    <w:rsid w:val="00222DE4"/>
    <w:rsid w:val="00226496"/>
    <w:rsid w:val="00233BCB"/>
    <w:rsid w:val="00237C6F"/>
    <w:rsid w:val="00240150"/>
    <w:rsid w:val="00241CA9"/>
    <w:rsid w:val="002424FC"/>
    <w:rsid w:val="0024281F"/>
    <w:rsid w:val="002471B2"/>
    <w:rsid w:val="00247542"/>
    <w:rsid w:val="00247FFA"/>
    <w:rsid w:val="002514DF"/>
    <w:rsid w:val="0025443E"/>
    <w:rsid w:val="002545ED"/>
    <w:rsid w:val="002567B5"/>
    <w:rsid w:val="00257088"/>
    <w:rsid w:val="002577B4"/>
    <w:rsid w:val="0026093F"/>
    <w:rsid w:val="00261546"/>
    <w:rsid w:val="00262588"/>
    <w:rsid w:val="00262A68"/>
    <w:rsid w:val="00262C3E"/>
    <w:rsid w:val="00263235"/>
    <w:rsid w:val="00263C52"/>
    <w:rsid w:val="00264493"/>
    <w:rsid w:val="00265D42"/>
    <w:rsid w:val="00265F68"/>
    <w:rsid w:val="002711BE"/>
    <w:rsid w:val="002721F9"/>
    <w:rsid w:val="002729F8"/>
    <w:rsid w:val="0027482F"/>
    <w:rsid w:val="00274B89"/>
    <w:rsid w:val="00275FC8"/>
    <w:rsid w:val="002818CE"/>
    <w:rsid w:val="002858C2"/>
    <w:rsid w:val="002868A4"/>
    <w:rsid w:val="00287AE1"/>
    <w:rsid w:val="0029072F"/>
    <w:rsid w:val="00291732"/>
    <w:rsid w:val="00292B15"/>
    <w:rsid w:val="00294971"/>
    <w:rsid w:val="002949B0"/>
    <w:rsid w:val="0029513A"/>
    <w:rsid w:val="00295BA1"/>
    <w:rsid w:val="002962C7"/>
    <w:rsid w:val="002A06DE"/>
    <w:rsid w:val="002A1F4D"/>
    <w:rsid w:val="002A3C8C"/>
    <w:rsid w:val="002A4D5C"/>
    <w:rsid w:val="002A6D4B"/>
    <w:rsid w:val="002B0304"/>
    <w:rsid w:val="002B088A"/>
    <w:rsid w:val="002B0FA2"/>
    <w:rsid w:val="002B166E"/>
    <w:rsid w:val="002B2748"/>
    <w:rsid w:val="002B299C"/>
    <w:rsid w:val="002B4315"/>
    <w:rsid w:val="002B53AF"/>
    <w:rsid w:val="002B6C62"/>
    <w:rsid w:val="002B715A"/>
    <w:rsid w:val="002C0C85"/>
    <w:rsid w:val="002C2978"/>
    <w:rsid w:val="002C3412"/>
    <w:rsid w:val="002C417F"/>
    <w:rsid w:val="002C4546"/>
    <w:rsid w:val="002D2743"/>
    <w:rsid w:val="002D5779"/>
    <w:rsid w:val="002D6401"/>
    <w:rsid w:val="002D6F3B"/>
    <w:rsid w:val="002D7E1E"/>
    <w:rsid w:val="002E0005"/>
    <w:rsid w:val="002E1938"/>
    <w:rsid w:val="002E549A"/>
    <w:rsid w:val="002E65B4"/>
    <w:rsid w:val="002E72E7"/>
    <w:rsid w:val="002F03CF"/>
    <w:rsid w:val="002F2C7E"/>
    <w:rsid w:val="002F746A"/>
    <w:rsid w:val="002F7A89"/>
    <w:rsid w:val="00301BBF"/>
    <w:rsid w:val="00301F67"/>
    <w:rsid w:val="00302E65"/>
    <w:rsid w:val="0030358F"/>
    <w:rsid w:val="003043C4"/>
    <w:rsid w:val="00305C47"/>
    <w:rsid w:val="0030679D"/>
    <w:rsid w:val="00306A5C"/>
    <w:rsid w:val="003077A5"/>
    <w:rsid w:val="003135D4"/>
    <w:rsid w:val="00314B5C"/>
    <w:rsid w:val="0032389A"/>
    <w:rsid w:val="00324729"/>
    <w:rsid w:val="00331D00"/>
    <w:rsid w:val="0033344D"/>
    <w:rsid w:val="003340B6"/>
    <w:rsid w:val="00334AE8"/>
    <w:rsid w:val="0034011E"/>
    <w:rsid w:val="00341EEC"/>
    <w:rsid w:val="003439A0"/>
    <w:rsid w:val="0034400A"/>
    <w:rsid w:val="003444D9"/>
    <w:rsid w:val="003445D3"/>
    <w:rsid w:val="003446E9"/>
    <w:rsid w:val="00345ED8"/>
    <w:rsid w:val="00346CD4"/>
    <w:rsid w:val="0035083F"/>
    <w:rsid w:val="00352EDD"/>
    <w:rsid w:val="00354929"/>
    <w:rsid w:val="00356E5C"/>
    <w:rsid w:val="00362B75"/>
    <w:rsid w:val="003636DA"/>
    <w:rsid w:val="00364428"/>
    <w:rsid w:val="00367B44"/>
    <w:rsid w:val="00373CBC"/>
    <w:rsid w:val="00373CE3"/>
    <w:rsid w:val="0038071C"/>
    <w:rsid w:val="0038252C"/>
    <w:rsid w:val="00383099"/>
    <w:rsid w:val="003860BC"/>
    <w:rsid w:val="003873AC"/>
    <w:rsid w:val="00390E30"/>
    <w:rsid w:val="00390F98"/>
    <w:rsid w:val="00391896"/>
    <w:rsid w:val="00395D3A"/>
    <w:rsid w:val="00397749"/>
    <w:rsid w:val="003A0F64"/>
    <w:rsid w:val="003A3B09"/>
    <w:rsid w:val="003A3E86"/>
    <w:rsid w:val="003A42BC"/>
    <w:rsid w:val="003A4838"/>
    <w:rsid w:val="003A5F8D"/>
    <w:rsid w:val="003B0541"/>
    <w:rsid w:val="003B17D8"/>
    <w:rsid w:val="003B243A"/>
    <w:rsid w:val="003B3B16"/>
    <w:rsid w:val="003B426E"/>
    <w:rsid w:val="003B51C6"/>
    <w:rsid w:val="003B659E"/>
    <w:rsid w:val="003B669C"/>
    <w:rsid w:val="003B742F"/>
    <w:rsid w:val="003C04A4"/>
    <w:rsid w:val="003C0F01"/>
    <w:rsid w:val="003C165C"/>
    <w:rsid w:val="003C2A5A"/>
    <w:rsid w:val="003C3B79"/>
    <w:rsid w:val="003C4832"/>
    <w:rsid w:val="003C4AE7"/>
    <w:rsid w:val="003C54B9"/>
    <w:rsid w:val="003C7724"/>
    <w:rsid w:val="003D2D91"/>
    <w:rsid w:val="003D4163"/>
    <w:rsid w:val="003D5348"/>
    <w:rsid w:val="003D7283"/>
    <w:rsid w:val="003D7533"/>
    <w:rsid w:val="003D7D5A"/>
    <w:rsid w:val="003E0532"/>
    <w:rsid w:val="003E18C8"/>
    <w:rsid w:val="003E2354"/>
    <w:rsid w:val="003E2520"/>
    <w:rsid w:val="003F0A61"/>
    <w:rsid w:val="003F32EE"/>
    <w:rsid w:val="003F484F"/>
    <w:rsid w:val="003F6A9D"/>
    <w:rsid w:val="004009B0"/>
    <w:rsid w:val="00400AA2"/>
    <w:rsid w:val="00400CC6"/>
    <w:rsid w:val="00401A74"/>
    <w:rsid w:val="00401F7C"/>
    <w:rsid w:val="00402C56"/>
    <w:rsid w:val="00403223"/>
    <w:rsid w:val="004033C5"/>
    <w:rsid w:val="0040353B"/>
    <w:rsid w:val="0040397E"/>
    <w:rsid w:val="004051FB"/>
    <w:rsid w:val="00406424"/>
    <w:rsid w:val="00406690"/>
    <w:rsid w:val="00411CD1"/>
    <w:rsid w:val="004126A8"/>
    <w:rsid w:val="00413C5E"/>
    <w:rsid w:val="00413F17"/>
    <w:rsid w:val="00414B36"/>
    <w:rsid w:val="00414D80"/>
    <w:rsid w:val="0041643F"/>
    <w:rsid w:val="00420A01"/>
    <w:rsid w:val="0042152C"/>
    <w:rsid w:val="004240D6"/>
    <w:rsid w:val="00424BB8"/>
    <w:rsid w:val="00425DCE"/>
    <w:rsid w:val="00431D8E"/>
    <w:rsid w:val="0043294F"/>
    <w:rsid w:val="00432D80"/>
    <w:rsid w:val="0043379F"/>
    <w:rsid w:val="00433A4E"/>
    <w:rsid w:val="00434227"/>
    <w:rsid w:val="00436181"/>
    <w:rsid w:val="004366B8"/>
    <w:rsid w:val="004409F7"/>
    <w:rsid w:val="004419AC"/>
    <w:rsid w:val="00441AB6"/>
    <w:rsid w:val="004420E6"/>
    <w:rsid w:val="0044300F"/>
    <w:rsid w:val="00443308"/>
    <w:rsid w:val="00443370"/>
    <w:rsid w:val="00446014"/>
    <w:rsid w:val="0044629C"/>
    <w:rsid w:val="0044638A"/>
    <w:rsid w:val="00446F71"/>
    <w:rsid w:val="00455654"/>
    <w:rsid w:val="00456109"/>
    <w:rsid w:val="00457DF5"/>
    <w:rsid w:val="00460F8F"/>
    <w:rsid w:val="00461527"/>
    <w:rsid w:val="004638CE"/>
    <w:rsid w:val="00464936"/>
    <w:rsid w:val="00464BF1"/>
    <w:rsid w:val="00465816"/>
    <w:rsid w:val="004666C0"/>
    <w:rsid w:val="00466E21"/>
    <w:rsid w:val="00472584"/>
    <w:rsid w:val="004733AF"/>
    <w:rsid w:val="00473C0B"/>
    <w:rsid w:val="0047487D"/>
    <w:rsid w:val="00475ED9"/>
    <w:rsid w:val="00476CA0"/>
    <w:rsid w:val="00477351"/>
    <w:rsid w:val="004776B7"/>
    <w:rsid w:val="0048011B"/>
    <w:rsid w:val="00482482"/>
    <w:rsid w:val="004829D6"/>
    <w:rsid w:val="004845BB"/>
    <w:rsid w:val="00485FE9"/>
    <w:rsid w:val="0048715C"/>
    <w:rsid w:val="0049067F"/>
    <w:rsid w:val="004908C6"/>
    <w:rsid w:val="00490EF8"/>
    <w:rsid w:val="00491593"/>
    <w:rsid w:val="0049285C"/>
    <w:rsid w:val="00495301"/>
    <w:rsid w:val="00495910"/>
    <w:rsid w:val="004964CB"/>
    <w:rsid w:val="004A205D"/>
    <w:rsid w:val="004A43C1"/>
    <w:rsid w:val="004A4D97"/>
    <w:rsid w:val="004A4E80"/>
    <w:rsid w:val="004A508C"/>
    <w:rsid w:val="004A5AD1"/>
    <w:rsid w:val="004A6071"/>
    <w:rsid w:val="004A644D"/>
    <w:rsid w:val="004B1BB7"/>
    <w:rsid w:val="004B241D"/>
    <w:rsid w:val="004B7160"/>
    <w:rsid w:val="004C0C8B"/>
    <w:rsid w:val="004C4C19"/>
    <w:rsid w:val="004C57E1"/>
    <w:rsid w:val="004C7CED"/>
    <w:rsid w:val="004D266B"/>
    <w:rsid w:val="004D62FA"/>
    <w:rsid w:val="004D6C59"/>
    <w:rsid w:val="004D7449"/>
    <w:rsid w:val="004D77EE"/>
    <w:rsid w:val="004E0464"/>
    <w:rsid w:val="004E168D"/>
    <w:rsid w:val="004E25D4"/>
    <w:rsid w:val="004E25DD"/>
    <w:rsid w:val="004E4C73"/>
    <w:rsid w:val="004E67B9"/>
    <w:rsid w:val="004F0F7E"/>
    <w:rsid w:val="004F1199"/>
    <w:rsid w:val="004F15DC"/>
    <w:rsid w:val="004F1AC4"/>
    <w:rsid w:val="004F4988"/>
    <w:rsid w:val="004F4F99"/>
    <w:rsid w:val="004F5FED"/>
    <w:rsid w:val="004F7440"/>
    <w:rsid w:val="004F7D58"/>
    <w:rsid w:val="0050091B"/>
    <w:rsid w:val="00500D21"/>
    <w:rsid w:val="00504A16"/>
    <w:rsid w:val="00505884"/>
    <w:rsid w:val="00505911"/>
    <w:rsid w:val="0051388C"/>
    <w:rsid w:val="0051500E"/>
    <w:rsid w:val="00522D2A"/>
    <w:rsid w:val="005240A9"/>
    <w:rsid w:val="00526CF3"/>
    <w:rsid w:val="0053030B"/>
    <w:rsid w:val="00530603"/>
    <w:rsid w:val="00531CDA"/>
    <w:rsid w:val="00532AD6"/>
    <w:rsid w:val="0053361A"/>
    <w:rsid w:val="005351AB"/>
    <w:rsid w:val="0053572D"/>
    <w:rsid w:val="00536E10"/>
    <w:rsid w:val="00536F68"/>
    <w:rsid w:val="00540507"/>
    <w:rsid w:val="005445A1"/>
    <w:rsid w:val="00544E35"/>
    <w:rsid w:val="00546845"/>
    <w:rsid w:val="00552B2D"/>
    <w:rsid w:val="00553C25"/>
    <w:rsid w:val="00553DE7"/>
    <w:rsid w:val="005570C1"/>
    <w:rsid w:val="00561132"/>
    <w:rsid w:val="00562162"/>
    <w:rsid w:val="005625C9"/>
    <w:rsid w:val="005635E0"/>
    <w:rsid w:val="00563B71"/>
    <w:rsid w:val="00564686"/>
    <w:rsid w:val="00566B01"/>
    <w:rsid w:val="00566C97"/>
    <w:rsid w:val="00567E6D"/>
    <w:rsid w:val="005703BB"/>
    <w:rsid w:val="00570ED7"/>
    <w:rsid w:val="0057100D"/>
    <w:rsid w:val="00571160"/>
    <w:rsid w:val="005720D7"/>
    <w:rsid w:val="00572B9B"/>
    <w:rsid w:val="005737F0"/>
    <w:rsid w:val="005741CA"/>
    <w:rsid w:val="00574961"/>
    <w:rsid w:val="0058128D"/>
    <w:rsid w:val="0058247E"/>
    <w:rsid w:val="00585929"/>
    <w:rsid w:val="00585BFF"/>
    <w:rsid w:val="005871B3"/>
    <w:rsid w:val="00590C3A"/>
    <w:rsid w:val="00590F52"/>
    <w:rsid w:val="00591131"/>
    <w:rsid w:val="005923BC"/>
    <w:rsid w:val="0059264A"/>
    <w:rsid w:val="00595098"/>
    <w:rsid w:val="0059552A"/>
    <w:rsid w:val="00595B2D"/>
    <w:rsid w:val="005A055D"/>
    <w:rsid w:val="005A0895"/>
    <w:rsid w:val="005A1FE1"/>
    <w:rsid w:val="005A3339"/>
    <w:rsid w:val="005A5A38"/>
    <w:rsid w:val="005A78C1"/>
    <w:rsid w:val="005B1A98"/>
    <w:rsid w:val="005B1CEF"/>
    <w:rsid w:val="005B341A"/>
    <w:rsid w:val="005B4BBE"/>
    <w:rsid w:val="005B533D"/>
    <w:rsid w:val="005B70D5"/>
    <w:rsid w:val="005C2F32"/>
    <w:rsid w:val="005C537D"/>
    <w:rsid w:val="005C5E72"/>
    <w:rsid w:val="005D0109"/>
    <w:rsid w:val="005D2FCB"/>
    <w:rsid w:val="005D60C3"/>
    <w:rsid w:val="005E0AB2"/>
    <w:rsid w:val="005E1BDF"/>
    <w:rsid w:val="005E1C93"/>
    <w:rsid w:val="005E1F0D"/>
    <w:rsid w:val="005E36BA"/>
    <w:rsid w:val="005E39D8"/>
    <w:rsid w:val="005F00BC"/>
    <w:rsid w:val="005F1849"/>
    <w:rsid w:val="005F5A05"/>
    <w:rsid w:val="005F5AB0"/>
    <w:rsid w:val="005F700D"/>
    <w:rsid w:val="006002DE"/>
    <w:rsid w:val="0060097D"/>
    <w:rsid w:val="00601A5D"/>
    <w:rsid w:val="00601FA0"/>
    <w:rsid w:val="00604A5D"/>
    <w:rsid w:val="00605826"/>
    <w:rsid w:val="00611494"/>
    <w:rsid w:val="00611BAD"/>
    <w:rsid w:val="00613486"/>
    <w:rsid w:val="00613BC1"/>
    <w:rsid w:val="00614DA3"/>
    <w:rsid w:val="00614DDC"/>
    <w:rsid w:val="00615984"/>
    <w:rsid w:val="00617F48"/>
    <w:rsid w:val="006207E6"/>
    <w:rsid w:val="006228C8"/>
    <w:rsid w:val="00622AF0"/>
    <w:rsid w:val="00622E32"/>
    <w:rsid w:val="00623282"/>
    <w:rsid w:val="00623821"/>
    <w:rsid w:val="006259A2"/>
    <w:rsid w:val="006271A0"/>
    <w:rsid w:val="00627D40"/>
    <w:rsid w:val="00627E54"/>
    <w:rsid w:val="0063040E"/>
    <w:rsid w:val="00630950"/>
    <w:rsid w:val="00630BEB"/>
    <w:rsid w:val="0063179B"/>
    <w:rsid w:val="0063483F"/>
    <w:rsid w:val="00635890"/>
    <w:rsid w:val="00637798"/>
    <w:rsid w:val="006416B8"/>
    <w:rsid w:val="0064260F"/>
    <w:rsid w:val="00644452"/>
    <w:rsid w:val="006456B5"/>
    <w:rsid w:val="00645AC3"/>
    <w:rsid w:val="00645FFC"/>
    <w:rsid w:val="006462B3"/>
    <w:rsid w:val="00651AA6"/>
    <w:rsid w:val="00653191"/>
    <w:rsid w:val="006543C5"/>
    <w:rsid w:val="006622B7"/>
    <w:rsid w:val="006624C7"/>
    <w:rsid w:val="00663577"/>
    <w:rsid w:val="0066401A"/>
    <w:rsid w:val="006642EF"/>
    <w:rsid w:val="006643C1"/>
    <w:rsid w:val="00664790"/>
    <w:rsid w:val="00665D53"/>
    <w:rsid w:val="00667256"/>
    <w:rsid w:val="00670FB1"/>
    <w:rsid w:val="00671126"/>
    <w:rsid w:val="006713C0"/>
    <w:rsid w:val="00673708"/>
    <w:rsid w:val="006748DA"/>
    <w:rsid w:val="006757FD"/>
    <w:rsid w:val="00675A9F"/>
    <w:rsid w:val="00676783"/>
    <w:rsid w:val="0067797E"/>
    <w:rsid w:val="0068391F"/>
    <w:rsid w:val="00683C98"/>
    <w:rsid w:val="006849B4"/>
    <w:rsid w:val="0068536B"/>
    <w:rsid w:val="00685457"/>
    <w:rsid w:val="00685737"/>
    <w:rsid w:val="00691421"/>
    <w:rsid w:val="00691674"/>
    <w:rsid w:val="006925B3"/>
    <w:rsid w:val="00695AFB"/>
    <w:rsid w:val="00697CF1"/>
    <w:rsid w:val="006A0FA7"/>
    <w:rsid w:val="006A1DCF"/>
    <w:rsid w:val="006A40A1"/>
    <w:rsid w:val="006A4F19"/>
    <w:rsid w:val="006A57BD"/>
    <w:rsid w:val="006A7161"/>
    <w:rsid w:val="006B21A9"/>
    <w:rsid w:val="006B2B07"/>
    <w:rsid w:val="006B39DF"/>
    <w:rsid w:val="006B5341"/>
    <w:rsid w:val="006B6335"/>
    <w:rsid w:val="006B6384"/>
    <w:rsid w:val="006B6D7A"/>
    <w:rsid w:val="006B712C"/>
    <w:rsid w:val="006B7EC3"/>
    <w:rsid w:val="006C0CAE"/>
    <w:rsid w:val="006C2F0F"/>
    <w:rsid w:val="006C3CB6"/>
    <w:rsid w:val="006C515B"/>
    <w:rsid w:val="006C5979"/>
    <w:rsid w:val="006C673F"/>
    <w:rsid w:val="006D08B8"/>
    <w:rsid w:val="006D4CC2"/>
    <w:rsid w:val="006D5F43"/>
    <w:rsid w:val="006D6A89"/>
    <w:rsid w:val="006E02D1"/>
    <w:rsid w:val="006E0E29"/>
    <w:rsid w:val="006E0E90"/>
    <w:rsid w:val="006E2175"/>
    <w:rsid w:val="006E426B"/>
    <w:rsid w:val="006E5325"/>
    <w:rsid w:val="006E5CF4"/>
    <w:rsid w:val="006E6910"/>
    <w:rsid w:val="006E6A80"/>
    <w:rsid w:val="006E7801"/>
    <w:rsid w:val="006E7E4A"/>
    <w:rsid w:val="006F0029"/>
    <w:rsid w:val="006F2159"/>
    <w:rsid w:val="006F29BC"/>
    <w:rsid w:val="006F32EE"/>
    <w:rsid w:val="006F4B66"/>
    <w:rsid w:val="006F4C00"/>
    <w:rsid w:val="006F6A16"/>
    <w:rsid w:val="00702C8B"/>
    <w:rsid w:val="00704741"/>
    <w:rsid w:val="00706ED7"/>
    <w:rsid w:val="007079CC"/>
    <w:rsid w:val="007109BF"/>
    <w:rsid w:val="007115CB"/>
    <w:rsid w:val="00711AA2"/>
    <w:rsid w:val="00712F0B"/>
    <w:rsid w:val="007145D1"/>
    <w:rsid w:val="00714626"/>
    <w:rsid w:val="007151D0"/>
    <w:rsid w:val="007151D8"/>
    <w:rsid w:val="00725564"/>
    <w:rsid w:val="00725F29"/>
    <w:rsid w:val="00731240"/>
    <w:rsid w:val="00731586"/>
    <w:rsid w:val="00731A49"/>
    <w:rsid w:val="00736580"/>
    <w:rsid w:val="00741BE3"/>
    <w:rsid w:val="007435D5"/>
    <w:rsid w:val="0074416E"/>
    <w:rsid w:val="0074597B"/>
    <w:rsid w:val="00745E2A"/>
    <w:rsid w:val="00745F17"/>
    <w:rsid w:val="00747F2E"/>
    <w:rsid w:val="0075348E"/>
    <w:rsid w:val="00753535"/>
    <w:rsid w:val="00753B35"/>
    <w:rsid w:val="0075424D"/>
    <w:rsid w:val="007565C0"/>
    <w:rsid w:val="007573C9"/>
    <w:rsid w:val="00757618"/>
    <w:rsid w:val="00757812"/>
    <w:rsid w:val="007603E5"/>
    <w:rsid w:val="00762035"/>
    <w:rsid w:val="007627CA"/>
    <w:rsid w:val="00762A60"/>
    <w:rsid w:val="0076364E"/>
    <w:rsid w:val="00763B95"/>
    <w:rsid w:val="00763C76"/>
    <w:rsid w:val="00764777"/>
    <w:rsid w:val="00765B12"/>
    <w:rsid w:val="00767C20"/>
    <w:rsid w:val="00770261"/>
    <w:rsid w:val="00776091"/>
    <w:rsid w:val="007810F3"/>
    <w:rsid w:val="007835F7"/>
    <w:rsid w:val="0078647E"/>
    <w:rsid w:val="00786ABB"/>
    <w:rsid w:val="00790856"/>
    <w:rsid w:val="00790AF8"/>
    <w:rsid w:val="00792E0F"/>
    <w:rsid w:val="007946F7"/>
    <w:rsid w:val="007949D9"/>
    <w:rsid w:val="007A13C3"/>
    <w:rsid w:val="007A1D2B"/>
    <w:rsid w:val="007A224D"/>
    <w:rsid w:val="007A29C8"/>
    <w:rsid w:val="007A3AEC"/>
    <w:rsid w:val="007A660E"/>
    <w:rsid w:val="007A73CD"/>
    <w:rsid w:val="007A7559"/>
    <w:rsid w:val="007B1470"/>
    <w:rsid w:val="007B14B6"/>
    <w:rsid w:val="007B19C8"/>
    <w:rsid w:val="007B5199"/>
    <w:rsid w:val="007B6B25"/>
    <w:rsid w:val="007B6F70"/>
    <w:rsid w:val="007B7261"/>
    <w:rsid w:val="007C0D7E"/>
    <w:rsid w:val="007C1B0E"/>
    <w:rsid w:val="007C5110"/>
    <w:rsid w:val="007C5DB5"/>
    <w:rsid w:val="007C6346"/>
    <w:rsid w:val="007D32AC"/>
    <w:rsid w:val="007D3300"/>
    <w:rsid w:val="007D3EC2"/>
    <w:rsid w:val="007E095F"/>
    <w:rsid w:val="007E13C3"/>
    <w:rsid w:val="007E1932"/>
    <w:rsid w:val="007E1C9F"/>
    <w:rsid w:val="007E2BAF"/>
    <w:rsid w:val="007E62BD"/>
    <w:rsid w:val="007E6D4A"/>
    <w:rsid w:val="007F0F43"/>
    <w:rsid w:val="007F40F5"/>
    <w:rsid w:val="007F472D"/>
    <w:rsid w:val="007F5D26"/>
    <w:rsid w:val="007F5EC0"/>
    <w:rsid w:val="007F7847"/>
    <w:rsid w:val="007F7C25"/>
    <w:rsid w:val="008005E0"/>
    <w:rsid w:val="00800985"/>
    <w:rsid w:val="00802EBA"/>
    <w:rsid w:val="00803E0A"/>
    <w:rsid w:val="0080428E"/>
    <w:rsid w:val="00805534"/>
    <w:rsid w:val="008060D8"/>
    <w:rsid w:val="0080757D"/>
    <w:rsid w:val="00807672"/>
    <w:rsid w:val="00810CCE"/>
    <w:rsid w:val="00811F1B"/>
    <w:rsid w:val="00812465"/>
    <w:rsid w:val="008125FF"/>
    <w:rsid w:val="008132B9"/>
    <w:rsid w:val="00813DDF"/>
    <w:rsid w:val="00816273"/>
    <w:rsid w:val="008162B0"/>
    <w:rsid w:val="00816D46"/>
    <w:rsid w:val="00817322"/>
    <w:rsid w:val="00821D31"/>
    <w:rsid w:val="008245C5"/>
    <w:rsid w:val="00827D8D"/>
    <w:rsid w:val="008305EB"/>
    <w:rsid w:val="00830666"/>
    <w:rsid w:val="00832116"/>
    <w:rsid w:val="00832FFB"/>
    <w:rsid w:val="00834826"/>
    <w:rsid w:val="008356D5"/>
    <w:rsid w:val="00836CB8"/>
    <w:rsid w:val="008418A5"/>
    <w:rsid w:val="00844DBA"/>
    <w:rsid w:val="00850F4D"/>
    <w:rsid w:val="008513C9"/>
    <w:rsid w:val="008515E7"/>
    <w:rsid w:val="008534A5"/>
    <w:rsid w:val="0085437F"/>
    <w:rsid w:val="00855287"/>
    <w:rsid w:val="00855891"/>
    <w:rsid w:val="00856866"/>
    <w:rsid w:val="008601AE"/>
    <w:rsid w:val="00862700"/>
    <w:rsid w:val="008678B4"/>
    <w:rsid w:val="00867B14"/>
    <w:rsid w:val="008709BC"/>
    <w:rsid w:val="00871D25"/>
    <w:rsid w:val="00871DB3"/>
    <w:rsid w:val="0087399F"/>
    <w:rsid w:val="0087406B"/>
    <w:rsid w:val="0087535F"/>
    <w:rsid w:val="008761A3"/>
    <w:rsid w:val="00876F59"/>
    <w:rsid w:val="00877984"/>
    <w:rsid w:val="00880C91"/>
    <w:rsid w:val="00881940"/>
    <w:rsid w:val="00881FC1"/>
    <w:rsid w:val="008827A1"/>
    <w:rsid w:val="00882C65"/>
    <w:rsid w:val="00882C93"/>
    <w:rsid w:val="00883741"/>
    <w:rsid w:val="008845C7"/>
    <w:rsid w:val="0088475D"/>
    <w:rsid w:val="0088701F"/>
    <w:rsid w:val="00887BC5"/>
    <w:rsid w:val="008921C4"/>
    <w:rsid w:val="00892A46"/>
    <w:rsid w:val="00894205"/>
    <w:rsid w:val="008971FD"/>
    <w:rsid w:val="00897415"/>
    <w:rsid w:val="0089778F"/>
    <w:rsid w:val="008A3119"/>
    <w:rsid w:val="008A5346"/>
    <w:rsid w:val="008A5548"/>
    <w:rsid w:val="008A6BAB"/>
    <w:rsid w:val="008A71DA"/>
    <w:rsid w:val="008A71F9"/>
    <w:rsid w:val="008A73A8"/>
    <w:rsid w:val="008B1B63"/>
    <w:rsid w:val="008B2748"/>
    <w:rsid w:val="008B53CA"/>
    <w:rsid w:val="008B560F"/>
    <w:rsid w:val="008B6704"/>
    <w:rsid w:val="008C17C5"/>
    <w:rsid w:val="008C1AFD"/>
    <w:rsid w:val="008C2900"/>
    <w:rsid w:val="008C5C6A"/>
    <w:rsid w:val="008C662A"/>
    <w:rsid w:val="008D31F1"/>
    <w:rsid w:val="008D415F"/>
    <w:rsid w:val="008D59F9"/>
    <w:rsid w:val="008D6848"/>
    <w:rsid w:val="008D71E0"/>
    <w:rsid w:val="008E1F65"/>
    <w:rsid w:val="008E26E3"/>
    <w:rsid w:val="008E2820"/>
    <w:rsid w:val="008E531F"/>
    <w:rsid w:val="008E64BF"/>
    <w:rsid w:val="008F1C04"/>
    <w:rsid w:val="008F3E6A"/>
    <w:rsid w:val="008F3F6A"/>
    <w:rsid w:val="008F4707"/>
    <w:rsid w:val="008F6215"/>
    <w:rsid w:val="00900CD2"/>
    <w:rsid w:val="00901560"/>
    <w:rsid w:val="00903086"/>
    <w:rsid w:val="00903377"/>
    <w:rsid w:val="00904506"/>
    <w:rsid w:val="00904695"/>
    <w:rsid w:val="00904B42"/>
    <w:rsid w:val="00906D26"/>
    <w:rsid w:val="00913363"/>
    <w:rsid w:val="009159BA"/>
    <w:rsid w:val="00915F28"/>
    <w:rsid w:val="00917929"/>
    <w:rsid w:val="009208B8"/>
    <w:rsid w:val="00921E10"/>
    <w:rsid w:val="0092258C"/>
    <w:rsid w:val="00923D82"/>
    <w:rsid w:val="00925FA9"/>
    <w:rsid w:val="009269DF"/>
    <w:rsid w:val="00930F61"/>
    <w:rsid w:val="00930F8A"/>
    <w:rsid w:val="00932112"/>
    <w:rsid w:val="00933DF4"/>
    <w:rsid w:val="00933FF8"/>
    <w:rsid w:val="009347EA"/>
    <w:rsid w:val="00934B17"/>
    <w:rsid w:val="00937CE7"/>
    <w:rsid w:val="00940273"/>
    <w:rsid w:val="00941460"/>
    <w:rsid w:val="0094201D"/>
    <w:rsid w:val="00942C65"/>
    <w:rsid w:val="0094450C"/>
    <w:rsid w:val="00945FB7"/>
    <w:rsid w:val="009464F6"/>
    <w:rsid w:val="009473C7"/>
    <w:rsid w:val="009479E9"/>
    <w:rsid w:val="0095067A"/>
    <w:rsid w:val="00950D32"/>
    <w:rsid w:val="00952057"/>
    <w:rsid w:val="00952650"/>
    <w:rsid w:val="00956F20"/>
    <w:rsid w:val="00960E3C"/>
    <w:rsid w:val="00963097"/>
    <w:rsid w:val="00963F2C"/>
    <w:rsid w:val="009647FB"/>
    <w:rsid w:val="009660AB"/>
    <w:rsid w:val="00970039"/>
    <w:rsid w:val="009706C1"/>
    <w:rsid w:val="009709B1"/>
    <w:rsid w:val="00972774"/>
    <w:rsid w:val="00972F44"/>
    <w:rsid w:val="00975208"/>
    <w:rsid w:val="0097525E"/>
    <w:rsid w:val="00980750"/>
    <w:rsid w:val="0098093E"/>
    <w:rsid w:val="009821E1"/>
    <w:rsid w:val="00983770"/>
    <w:rsid w:val="009848A6"/>
    <w:rsid w:val="00985FBE"/>
    <w:rsid w:val="00987318"/>
    <w:rsid w:val="009910FD"/>
    <w:rsid w:val="00992A7A"/>
    <w:rsid w:val="00994DFA"/>
    <w:rsid w:val="00995B14"/>
    <w:rsid w:val="00995CE8"/>
    <w:rsid w:val="00995DB1"/>
    <w:rsid w:val="0099760F"/>
    <w:rsid w:val="009A0391"/>
    <w:rsid w:val="009A09CF"/>
    <w:rsid w:val="009A1B2D"/>
    <w:rsid w:val="009A3EEA"/>
    <w:rsid w:val="009A4692"/>
    <w:rsid w:val="009A48ED"/>
    <w:rsid w:val="009A57E5"/>
    <w:rsid w:val="009A6B72"/>
    <w:rsid w:val="009A6F21"/>
    <w:rsid w:val="009B2F7D"/>
    <w:rsid w:val="009B3BE1"/>
    <w:rsid w:val="009B5A6D"/>
    <w:rsid w:val="009B5C37"/>
    <w:rsid w:val="009C0545"/>
    <w:rsid w:val="009C2FC5"/>
    <w:rsid w:val="009C3C13"/>
    <w:rsid w:val="009C474F"/>
    <w:rsid w:val="009C526E"/>
    <w:rsid w:val="009C5FAE"/>
    <w:rsid w:val="009C61B9"/>
    <w:rsid w:val="009C6B54"/>
    <w:rsid w:val="009C73F6"/>
    <w:rsid w:val="009C7431"/>
    <w:rsid w:val="009C76B7"/>
    <w:rsid w:val="009D01EE"/>
    <w:rsid w:val="009D0A34"/>
    <w:rsid w:val="009D2C4D"/>
    <w:rsid w:val="009D4C4F"/>
    <w:rsid w:val="009D4EF7"/>
    <w:rsid w:val="009D5ED7"/>
    <w:rsid w:val="009D64F3"/>
    <w:rsid w:val="009D7C99"/>
    <w:rsid w:val="009E0ED6"/>
    <w:rsid w:val="009E2A34"/>
    <w:rsid w:val="009E3BF5"/>
    <w:rsid w:val="009E4040"/>
    <w:rsid w:val="009E455E"/>
    <w:rsid w:val="009E4CCB"/>
    <w:rsid w:val="009E4D41"/>
    <w:rsid w:val="009E4F3C"/>
    <w:rsid w:val="009E6750"/>
    <w:rsid w:val="009E70B0"/>
    <w:rsid w:val="009F1A1B"/>
    <w:rsid w:val="009F229E"/>
    <w:rsid w:val="009F41E4"/>
    <w:rsid w:val="009F451B"/>
    <w:rsid w:val="009F76FC"/>
    <w:rsid w:val="00A0141D"/>
    <w:rsid w:val="00A0417D"/>
    <w:rsid w:val="00A041AB"/>
    <w:rsid w:val="00A061B6"/>
    <w:rsid w:val="00A06A17"/>
    <w:rsid w:val="00A06F40"/>
    <w:rsid w:val="00A07F26"/>
    <w:rsid w:val="00A10E5F"/>
    <w:rsid w:val="00A11A5D"/>
    <w:rsid w:val="00A14178"/>
    <w:rsid w:val="00A22337"/>
    <w:rsid w:val="00A23868"/>
    <w:rsid w:val="00A2535E"/>
    <w:rsid w:val="00A255DC"/>
    <w:rsid w:val="00A25803"/>
    <w:rsid w:val="00A311A9"/>
    <w:rsid w:val="00A3476C"/>
    <w:rsid w:val="00A36793"/>
    <w:rsid w:val="00A36FF6"/>
    <w:rsid w:val="00A37114"/>
    <w:rsid w:val="00A37CD6"/>
    <w:rsid w:val="00A37CE4"/>
    <w:rsid w:val="00A4118D"/>
    <w:rsid w:val="00A42323"/>
    <w:rsid w:val="00A43A91"/>
    <w:rsid w:val="00A43FF1"/>
    <w:rsid w:val="00A443DF"/>
    <w:rsid w:val="00A44412"/>
    <w:rsid w:val="00A4496C"/>
    <w:rsid w:val="00A45649"/>
    <w:rsid w:val="00A4670E"/>
    <w:rsid w:val="00A47D14"/>
    <w:rsid w:val="00A50306"/>
    <w:rsid w:val="00A507EB"/>
    <w:rsid w:val="00A546BD"/>
    <w:rsid w:val="00A55CFD"/>
    <w:rsid w:val="00A55D1B"/>
    <w:rsid w:val="00A603D7"/>
    <w:rsid w:val="00A62F20"/>
    <w:rsid w:val="00A63160"/>
    <w:rsid w:val="00A649BE"/>
    <w:rsid w:val="00A67EB2"/>
    <w:rsid w:val="00A700AA"/>
    <w:rsid w:val="00A7072F"/>
    <w:rsid w:val="00A70A45"/>
    <w:rsid w:val="00A72B43"/>
    <w:rsid w:val="00A749C5"/>
    <w:rsid w:val="00A755C8"/>
    <w:rsid w:val="00A76D9F"/>
    <w:rsid w:val="00A76DE2"/>
    <w:rsid w:val="00A772DB"/>
    <w:rsid w:val="00A77D9A"/>
    <w:rsid w:val="00A80115"/>
    <w:rsid w:val="00A8105B"/>
    <w:rsid w:val="00A8237F"/>
    <w:rsid w:val="00A8256B"/>
    <w:rsid w:val="00A82869"/>
    <w:rsid w:val="00A82ECB"/>
    <w:rsid w:val="00A83A4A"/>
    <w:rsid w:val="00A84225"/>
    <w:rsid w:val="00A852C3"/>
    <w:rsid w:val="00A85795"/>
    <w:rsid w:val="00A85A77"/>
    <w:rsid w:val="00A8624A"/>
    <w:rsid w:val="00A91BDF"/>
    <w:rsid w:val="00A9219D"/>
    <w:rsid w:val="00A926E1"/>
    <w:rsid w:val="00A933A5"/>
    <w:rsid w:val="00A934E8"/>
    <w:rsid w:val="00A94D8A"/>
    <w:rsid w:val="00A9644C"/>
    <w:rsid w:val="00A97769"/>
    <w:rsid w:val="00A97E95"/>
    <w:rsid w:val="00AA30FC"/>
    <w:rsid w:val="00AA313B"/>
    <w:rsid w:val="00AA359D"/>
    <w:rsid w:val="00AA38DF"/>
    <w:rsid w:val="00AA5451"/>
    <w:rsid w:val="00AA6411"/>
    <w:rsid w:val="00AA6ED4"/>
    <w:rsid w:val="00AA7C0B"/>
    <w:rsid w:val="00AB08AE"/>
    <w:rsid w:val="00AB2895"/>
    <w:rsid w:val="00AB35CD"/>
    <w:rsid w:val="00AB3BEB"/>
    <w:rsid w:val="00AB4228"/>
    <w:rsid w:val="00AB427C"/>
    <w:rsid w:val="00AB6FFF"/>
    <w:rsid w:val="00AB7F90"/>
    <w:rsid w:val="00AC2C8B"/>
    <w:rsid w:val="00AC3D9A"/>
    <w:rsid w:val="00AC7187"/>
    <w:rsid w:val="00AC7594"/>
    <w:rsid w:val="00AC7B2F"/>
    <w:rsid w:val="00AD31FE"/>
    <w:rsid w:val="00AD44AF"/>
    <w:rsid w:val="00AD59DB"/>
    <w:rsid w:val="00AD6720"/>
    <w:rsid w:val="00AD6D45"/>
    <w:rsid w:val="00AE0A77"/>
    <w:rsid w:val="00AE2324"/>
    <w:rsid w:val="00AE282E"/>
    <w:rsid w:val="00AE5344"/>
    <w:rsid w:val="00AE7168"/>
    <w:rsid w:val="00AF2A50"/>
    <w:rsid w:val="00AF2F05"/>
    <w:rsid w:val="00AF3F33"/>
    <w:rsid w:val="00AF4164"/>
    <w:rsid w:val="00AF5F05"/>
    <w:rsid w:val="00AF7524"/>
    <w:rsid w:val="00B0086A"/>
    <w:rsid w:val="00B00BAC"/>
    <w:rsid w:val="00B01589"/>
    <w:rsid w:val="00B02662"/>
    <w:rsid w:val="00B0305E"/>
    <w:rsid w:val="00B0403B"/>
    <w:rsid w:val="00B04438"/>
    <w:rsid w:val="00B05488"/>
    <w:rsid w:val="00B11B53"/>
    <w:rsid w:val="00B132CD"/>
    <w:rsid w:val="00B14C46"/>
    <w:rsid w:val="00B17F37"/>
    <w:rsid w:val="00B201CC"/>
    <w:rsid w:val="00B20383"/>
    <w:rsid w:val="00B219D2"/>
    <w:rsid w:val="00B21DD4"/>
    <w:rsid w:val="00B2206D"/>
    <w:rsid w:val="00B24AF8"/>
    <w:rsid w:val="00B24CA2"/>
    <w:rsid w:val="00B24DC0"/>
    <w:rsid w:val="00B24EB3"/>
    <w:rsid w:val="00B252CE"/>
    <w:rsid w:val="00B2572F"/>
    <w:rsid w:val="00B25892"/>
    <w:rsid w:val="00B279EB"/>
    <w:rsid w:val="00B30F7A"/>
    <w:rsid w:val="00B344A1"/>
    <w:rsid w:val="00B347C1"/>
    <w:rsid w:val="00B363E9"/>
    <w:rsid w:val="00B402E9"/>
    <w:rsid w:val="00B40E2C"/>
    <w:rsid w:val="00B42E68"/>
    <w:rsid w:val="00B43FF8"/>
    <w:rsid w:val="00B45DC9"/>
    <w:rsid w:val="00B466E6"/>
    <w:rsid w:val="00B46C10"/>
    <w:rsid w:val="00B53CC3"/>
    <w:rsid w:val="00B54F56"/>
    <w:rsid w:val="00B566D7"/>
    <w:rsid w:val="00B56A6A"/>
    <w:rsid w:val="00B57A06"/>
    <w:rsid w:val="00B57F5C"/>
    <w:rsid w:val="00B6152A"/>
    <w:rsid w:val="00B6159C"/>
    <w:rsid w:val="00B61CCD"/>
    <w:rsid w:val="00B620D9"/>
    <w:rsid w:val="00B62733"/>
    <w:rsid w:val="00B642D3"/>
    <w:rsid w:val="00B6459A"/>
    <w:rsid w:val="00B6588B"/>
    <w:rsid w:val="00B66F26"/>
    <w:rsid w:val="00B672F7"/>
    <w:rsid w:val="00B7074A"/>
    <w:rsid w:val="00B70BE1"/>
    <w:rsid w:val="00B72684"/>
    <w:rsid w:val="00B74273"/>
    <w:rsid w:val="00B74E3A"/>
    <w:rsid w:val="00B761D7"/>
    <w:rsid w:val="00B7671B"/>
    <w:rsid w:val="00B77D14"/>
    <w:rsid w:val="00B828EC"/>
    <w:rsid w:val="00B86313"/>
    <w:rsid w:val="00B878E3"/>
    <w:rsid w:val="00B91492"/>
    <w:rsid w:val="00B919C9"/>
    <w:rsid w:val="00B9270F"/>
    <w:rsid w:val="00B9445A"/>
    <w:rsid w:val="00B968F2"/>
    <w:rsid w:val="00B971D7"/>
    <w:rsid w:val="00BA36F0"/>
    <w:rsid w:val="00BA3EF9"/>
    <w:rsid w:val="00BA68F0"/>
    <w:rsid w:val="00BB35A4"/>
    <w:rsid w:val="00BB5B8A"/>
    <w:rsid w:val="00BB7DE7"/>
    <w:rsid w:val="00BC0508"/>
    <w:rsid w:val="00BC0868"/>
    <w:rsid w:val="00BC13C2"/>
    <w:rsid w:val="00BC19C2"/>
    <w:rsid w:val="00BC21D6"/>
    <w:rsid w:val="00BC612E"/>
    <w:rsid w:val="00BC638A"/>
    <w:rsid w:val="00BC6871"/>
    <w:rsid w:val="00BD095B"/>
    <w:rsid w:val="00BD10B6"/>
    <w:rsid w:val="00BD12A0"/>
    <w:rsid w:val="00BD36AE"/>
    <w:rsid w:val="00BD47C8"/>
    <w:rsid w:val="00BD5945"/>
    <w:rsid w:val="00BD5EFA"/>
    <w:rsid w:val="00BD76A6"/>
    <w:rsid w:val="00BE0EA3"/>
    <w:rsid w:val="00BE201B"/>
    <w:rsid w:val="00BE3FB8"/>
    <w:rsid w:val="00BE7C40"/>
    <w:rsid w:val="00BF0CF8"/>
    <w:rsid w:val="00BF14BE"/>
    <w:rsid w:val="00BF210E"/>
    <w:rsid w:val="00BF25D7"/>
    <w:rsid w:val="00BF393B"/>
    <w:rsid w:val="00BF3C25"/>
    <w:rsid w:val="00BF3E17"/>
    <w:rsid w:val="00BF5674"/>
    <w:rsid w:val="00BF5978"/>
    <w:rsid w:val="00BF5CB1"/>
    <w:rsid w:val="00BF66C4"/>
    <w:rsid w:val="00BF6AA8"/>
    <w:rsid w:val="00BF79BA"/>
    <w:rsid w:val="00C01459"/>
    <w:rsid w:val="00C02CB5"/>
    <w:rsid w:val="00C05B7A"/>
    <w:rsid w:val="00C05E82"/>
    <w:rsid w:val="00C06A01"/>
    <w:rsid w:val="00C07CC9"/>
    <w:rsid w:val="00C10134"/>
    <w:rsid w:val="00C11C1F"/>
    <w:rsid w:val="00C129D3"/>
    <w:rsid w:val="00C13A2B"/>
    <w:rsid w:val="00C15B9B"/>
    <w:rsid w:val="00C15E7E"/>
    <w:rsid w:val="00C15F87"/>
    <w:rsid w:val="00C17324"/>
    <w:rsid w:val="00C173E9"/>
    <w:rsid w:val="00C2004E"/>
    <w:rsid w:val="00C203D5"/>
    <w:rsid w:val="00C20596"/>
    <w:rsid w:val="00C30112"/>
    <w:rsid w:val="00C307BB"/>
    <w:rsid w:val="00C32993"/>
    <w:rsid w:val="00C33F9A"/>
    <w:rsid w:val="00C35219"/>
    <w:rsid w:val="00C35F1A"/>
    <w:rsid w:val="00C36263"/>
    <w:rsid w:val="00C41664"/>
    <w:rsid w:val="00C41A6A"/>
    <w:rsid w:val="00C45F64"/>
    <w:rsid w:val="00C46FD0"/>
    <w:rsid w:val="00C5056B"/>
    <w:rsid w:val="00C50CD2"/>
    <w:rsid w:val="00C523EE"/>
    <w:rsid w:val="00C52532"/>
    <w:rsid w:val="00C5443D"/>
    <w:rsid w:val="00C55172"/>
    <w:rsid w:val="00C55403"/>
    <w:rsid w:val="00C55453"/>
    <w:rsid w:val="00C55629"/>
    <w:rsid w:val="00C5616A"/>
    <w:rsid w:val="00C56752"/>
    <w:rsid w:val="00C56F79"/>
    <w:rsid w:val="00C57D00"/>
    <w:rsid w:val="00C61BDA"/>
    <w:rsid w:val="00C61CC8"/>
    <w:rsid w:val="00C64FB4"/>
    <w:rsid w:val="00C67883"/>
    <w:rsid w:val="00C70525"/>
    <w:rsid w:val="00C71837"/>
    <w:rsid w:val="00C7311F"/>
    <w:rsid w:val="00C75E74"/>
    <w:rsid w:val="00C778C1"/>
    <w:rsid w:val="00C77AF3"/>
    <w:rsid w:val="00C81038"/>
    <w:rsid w:val="00C833F6"/>
    <w:rsid w:val="00C848BC"/>
    <w:rsid w:val="00C84E4C"/>
    <w:rsid w:val="00C851BF"/>
    <w:rsid w:val="00C855C2"/>
    <w:rsid w:val="00C85BC9"/>
    <w:rsid w:val="00C86CDD"/>
    <w:rsid w:val="00C874C4"/>
    <w:rsid w:val="00C90CDE"/>
    <w:rsid w:val="00C92C39"/>
    <w:rsid w:val="00C93AA2"/>
    <w:rsid w:val="00C93C5D"/>
    <w:rsid w:val="00C94D69"/>
    <w:rsid w:val="00C9507F"/>
    <w:rsid w:val="00C9634A"/>
    <w:rsid w:val="00CA0118"/>
    <w:rsid w:val="00CA25A1"/>
    <w:rsid w:val="00CA3C0C"/>
    <w:rsid w:val="00CA4BEA"/>
    <w:rsid w:val="00CA7C5B"/>
    <w:rsid w:val="00CB276A"/>
    <w:rsid w:val="00CB35A7"/>
    <w:rsid w:val="00CB55C8"/>
    <w:rsid w:val="00CC0257"/>
    <w:rsid w:val="00CC08E2"/>
    <w:rsid w:val="00CC1EEE"/>
    <w:rsid w:val="00CC2C88"/>
    <w:rsid w:val="00CC2FA6"/>
    <w:rsid w:val="00CC3F82"/>
    <w:rsid w:val="00CC5934"/>
    <w:rsid w:val="00CC5D99"/>
    <w:rsid w:val="00CC62AB"/>
    <w:rsid w:val="00CC6DA0"/>
    <w:rsid w:val="00CD06BB"/>
    <w:rsid w:val="00CD0DC6"/>
    <w:rsid w:val="00CD27FC"/>
    <w:rsid w:val="00CD3AA0"/>
    <w:rsid w:val="00CD57E8"/>
    <w:rsid w:val="00CD5D77"/>
    <w:rsid w:val="00CD64F0"/>
    <w:rsid w:val="00CD6CB6"/>
    <w:rsid w:val="00CE3A59"/>
    <w:rsid w:val="00CE4160"/>
    <w:rsid w:val="00CE66B6"/>
    <w:rsid w:val="00CE72BB"/>
    <w:rsid w:val="00CF03CB"/>
    <w:rsid w:val="00CF1447"/>
    <w:rsid w:val="00CF3686"/>
    <w:rsid w:val="00CF3CA5"/>
    <w:rsid w:val="00CF464E"/>
    <w:rsid w:val="00CF4AC1"/>
    <w:rsid w:val="00CF62BF"/>
    <w:rsid w:val="00CF6D28"/>
    <w:rsid w:val="00CF6F35"/>
    <w:rsid w:val="00D01E47"/>
    <w:rsid w:val="00D026FD"/>
    <w:rsid w:val="00D057C8"/>
    <w:rsid w:val="00D0598A"/>
    <w:rsid w:val="00D07654"/>
    <w:rsid w:val="00D117EB"/>
    <w:rsid w:val="00D12AA2"/>
    <w:rsid w:val="00D162A7"/>
    <w:rsid w:val="00D16EDA"/>
    <w:rsid w:val="00D17162"/>
    <w:rsid w:val="00D236BA"/>
    <w:rsid w:val="00D237CC"/>
    <w:rsid w:val="00D23D3E"/>
    <w:rsid w:val="00D24FA0"/>
    <w:rsid w:val="00D26CCF"/>
    <w:rsid w:val="00D30A94"/>
    <w:rsid w:val="00D31455"/>
    <w:rsid w:val="00D33C63"/>
    <w:rsid w:val="00D35004"/>
    <w:rsid w:val="00D352D6"/>
    <w:rsid w:val="00D36DC4"/>
    <w:rsid w:val="00D40195"/>
    <w:rsid w:val="00D41641"/>
    <w:rsid w:val="00D41E1C"/>
    <w:rsid w:val="00D42537"/>
    <w:rsid w:val="00D5256C"/>
    <w:rsid w:val="00D52A39"/>
    <w:rsid w:val="00D54367"/>
    <w:rsid w:val="00D543AD"/>
    <w:rsid w:val="00D545B5"/>
    <w:rsid w:val="00D54F96"/>
    <w:rsid w:val="00D56D27"/>
    <w:rsid w:val="00D606E9"/>
    <w:rsid w:val="00D66D61"/>
    <w:rsid w:val="00D71679"/>
    <w:rsid w:val="00D7359D"/>
    <w:rsid w:val="00D73CD1"/>
    <w:rsid w:val="00D73DA4"/>
    <w:rsid w:val="00D74061"/>
    <w:rsid w:val="00D74C01"/>
    <w:rsid w:val="00D76398"/>
    <w:rsid w:val="00D76E06"/>
    <w:rsid w:val="00D8029A"/>
    <w:rsid w:val="00D8210C"/>
    <w:rsid w:val="00D8266D"/>
    <w:rsid w:val="00D86A53"/>
    <w:rsid w:val="00D87DBD"/>
    <w:rsid w:val="00D926AF"/>
    <w:rsid w:val="00D92C55"/>
    <w:rsid w:val="00D94755"/>
    <w:rsid w:val="00D952A4"/>
    <w:rsid w:val="00D9633D"/>
    <w:rsid w:val="00DA04D6"/>
    <w:rsid w:val="00DA3B09"/>
    <w:rsid w:val="00DA4B01"/>
    <w:rsid w:val="00DA4EB2"/>
    <w:rsid w:val="00DA5B53"/>
    <w:rsid w:val="00DA7591"/>
    <w:rsid w:val="00DA798A"/>
    <w:rsid w:val="00DB0215"/>
    <w:rsid w:val="00DB0BCA"/>
    <w:rsid w:val="00DB2355"/>
    <w:rsid w:val="00DB2E53"/>
    <w:rsid w:val="00DB37C4"/>
    <w:rsid w:val="00DB4267"/>
    <w:rsid w:val="00DB58B7"/>
    <w:rsid w:val="00DB5CB6"/>
    <w:rsid w:val="00DB7BBB"/>
    <w:rsid w:val="00DB7BED"/>
    <w:rsid w:val="00DB7FE0"/>
    <w:rsid w:val="00DC0BEF"/>
    <w:rsid w:val="00DC1CDA"/>
    <w:rsid w:val="00DC1F53"/>
    <w:rsid w:val="00DC3BC4"/>
    <w:rsid w:val="00DC5433"/>
    <w:rsid w:val="00DC7142"/>
    <w:rsid w:val="00DD0B06"/>
    <w:rsid w:val="00DD0C49"/>
    <w:rsid w:val="00DD603F"/>
    <w:rsid w:val="00DD6CC8"/>
    <w:rsid w:val="00DD7B08"/>
    <w:rsid w:val="00DD7BBA"/>
    <w:rsid w:val="00DE06C9"/>
    <w:rsid w:val="00DE15D1"/>
    <w:rsid w:val="00DE5A6F"/>
    <w:rsid w:val="00DE5EBD"/>
    <w:rsid w:val="00DE741D"/>
    <w:rsid w:val="00DF0588"/>
    <w:rsid w:val="00DF38DA"/>
    <w:rsid w:val="00DF391E"/>
    <w:rsid w:val="00DF55D5"/>
    <w:rsid w:val="00DF5F8D"/>
    <w:rsid w:val="00DF6328"/>
    <w:rsid w:val="00DF6C87"/>
    <w:rsid w:val="00E00B36"/>
    <w:rsid w:val="00E026B4"/>
    <w:rsid w:val="00E028C3"/>
    <w:rsid w:val="00E03B34"/>
    <w:rsid w:val="00E03D27"/>
    <w:rsid w:val="00E05478"/>
    <w:rsid w:val="00E0584E"/>
    <w:rsid w:val="00E13756"/>
    <w:rsid w:val="00E153E5"/>
    <w:rsid w:val="00E15EAD"/>
    <w:rsid w:val="00E1637B"/>
    <w:rsid w:val="00E16ACF"/>
    <w:rsid w:val="00E23B31"/>
    <w:rsid w:val="00E243F2"/>
    <w:rsid w:val="00E262EF"/>
    <w:rsid w:val="00E26545"/>
    <w:rsid w:val="00E3043C"/>
    <w:rsid w:val="00E30FD6"/>
    <w:rsid w:val="00E31439"/>
    <w:rsid w:val="00E3153B"/>
    <w:rsid w:val="00E317C9"/>
    <w:rsid w:val="00E3358F"/>
    <w:rsid w:val="00E343D5"/>
    <w:rsid w:val="00E348B6"/>
    <w:rsid w:val="00E402F3"/>
    <w:rsid w:val="00E40E4B"/>
    <w:rsid w:val="00E418D5"/>
    <w:rsid w:val="00E41E08"/>
    <w:rsid w:val="00E41F48"/>
    <w:rsid w:val="00E42D7F"/>
    <w:rsid w:val="00E439EF"/>
    <w:rsid w:val="00E43C90"/>
    <w:rsid w:val="00E45E66"/>
    <w:rsid w:val="00E47746"/>
    <w:rsid w:val="00E50C50"/>
    <w:rsid w:val="00E51D29"/>
    <w:rsid w:val="00E529C7"/>
    <w:rsid w:val="00E56484"/>
    <w:rsid w:val="00E57F37"/>
    <w:rsid w:val="00E62775"/>
    <w:rsid w:val="00E64EDA"/>
    <w:rsid w:val="00E65CB6"/>
    <w:rsid w:val="00E66704"/>
    <w:rsid w:val="00E701D8"/>
    <w:rsid w:val="00E705DE"/>
    <w:rsid w:val="00E72270"/>
    <w:rsid w:val="00E72B8B"/>
    <w:rsid w:val="00E74B6F"/>
    <w:rsid w:val="00E7535F"/>
    <w:rsid w:val="00E75750"/>
    <w:rsid w:val="00E75DCF"/>
    <w:rsid w:val="00E81410"/>
    <w:rsid w:val="00E8196C"/>
    <w:rsid w:val="00E81F23"/>
    <w:rsid w:val="00E82C9F"/>
    <w:rsid w:val="00E83F8F"/>
    <w:rsid w:val="00E8492E"/>
    <w:rsid w:val="00E91079"/>
    <w:rsid w:val="00E91A68"/>
    <w:rsid w:val="00E94FBD"/>
    <w:rsid w:val="00E956EF"/>
    <w:rsid w:val="00E95BA1"/>
    <w:rsid w:val="00E96248"/>
    <w:rsid w:val="00E96F9A"/>
    <w:rsid w:val="00EA2108"/>
    <w:rsid w:val="00EA5B45"/>
    <w:rsid w:val="00EB074E"/>
    <w:rsid w:val="00EB2A48"/>
    <w:rsid w:val="00EB3243"/>
    <w:rsid w:val="00EB4055"/>
    <w:rsid w:val="00EB498E"/>
    <w:rsid w:val="00EB54E6"/>
    <w:rsid w:val="00EB5911"/>
    <w:rsid w:val="00EB5E6F"/>
    <w:rsid w:val="00EB74EC"/>
    <w:rsid w:val="00EB7944"/>
    <w:rsid w:val="00EC0CC1"/>
    <w:rsid w:val="00EC15D2"/>
    <w:rsid w:val="00EC2645"/>
    <w:rsid w:val="00EC380A"/>
    <w:rsid w:val="00EC402F"/>
    <w:rsid w:val="00EC4141"/>
    <w:rsid w:val="00EC4871"/>
    <w:rsid w:val="00EC65C2"/>
    <w:rsid w:val="00EC69A8"/>
    <w:rsid w:val="00ED1DBD"/>
    <w:rsid w:val="00ED2CBA"/>
    <w:rsid w:val="00ED68AD"/>
    <w:rsid w:val="00ED6C10"/>
    <w:rsid w:val="00ED7076"/>
    <w:rsid w:val="00EE00E1"/>
    <w:rsid w:val="00EE0D94"/>
    <w:rsid w:val="00EE0E5A"/>
    <w:rsid w:val="00EE2B38"/>
    <w:rsid w:val="00EE4213"/>
    <w:rsid w:val="00EE4965"/>
    <w:rsid w:val="00EE52E6"/>
    <w:rsid w:val="00EE5B03"/>
    <w:rsid w:val="00EE661A"/>
    <w:rsid w:val="00EE7C5B"/>
    <w:rsid w:val="00EF2366"/>
    <w:rsid w:val="00EF668C"/>
    <w:rsid w:val="00F00F24"/>
    <w:rsid w:val="00F020CA"/>
    <w:rsid w:val="00F03433"/>
    <w:rsid w:val="00F057E0"/>
    <w:rsid w:val="00F06C2B"/>
    <w:rsid w:val="00F105B2"/>
    <w:rsid w:val="00F116E7"/>
    <w:rsid w:val="00F13A99"/>
    <w:rsid w:val="00F247EE"/>
    <w:rsid w:val="00F25CB5"/>
    <w:rsid w:val="00F26D1B"/>
    <w:rsid w:val="00F34443"/>
    <w:rsid w:val="00F40212"/>
    <w:rsid w:val="00F40233"/>
    <w:rsid w:val="00F42998"/>
    <w:rsid w:val="00F4517F"/>
    <w:rsid w:val="00F46C34"/>
    <w:rsid w:val="00F50C4A"/>
    <w:rsid w:val="00F50D95"/>
    <w:rsid w:val="00F50DD1"/>
    <w:rsid w:val="00F50EB0"/>
    <w:rsid w:val="00F51A4E"/>
    <w:rsid w:val="00F51C1F"/>
    <w:rsid w:val="00F54B1C"/>
    <w:rsid w:val="00F5647A"/>
    <w:rsid w:val="00F56EE4"/>
    <w:rsid w:val="00F60ED3"/>
    <w:rsid w:val="00F60FE2"/>
    <w:rsid w:val="00F62BA9"/>
    <w:rsid w:val="00F63175"/>
    <w:rsid w:val="00F640AE"/>
    <w:rsid w:val="00F64C15"/>
    <w:rsid w:val="00F650BE"/>
    <w:rsid w:val="00F655CE"/>
    <w:rsid w:val="00F70777"/>
    <w:rsid w:val="00F75B12"/>
    <w:rsid w:val="00F77BDC"/>
    <w:rsid w:val="00F858E7"/>
    <w:rsid w:val="00F86036"/>
    <w:rsid w:val="00F90DAC"/>
    <w:rsid w:val="00F9129B"/>
    <w:rsid w:val="00F92D5A"/>
    <w:rsid w:val="00F94703"/>
    <w:rsid w:val="00F94FDB"/>
    <w:rsid w:val="00FA16DE"/>
    <w:rsid w:val="00FA2712"/>
    <w:rsid w:val="00FA3F40"/>
    <w:rsid w:val="00FA4197"/>
    <w:rsid w:val="00FA5095"/>
    <w:rsid w:val="00FA768D"/>
    <w:rsid w:val="00FB01CD"/>
    <w:rsid w:val="00FB2CB3"/>
    <w:rsid w:val="00FB2E98"/>
    <w:rsid w:val="00FB2F6F"/>
    <w:rsid w:val="00FB5719"/>
    <w:rsid w:val="00FC23C3"/>
    <w:rsid w:val="00FC4ADB"/>
    <w:rsid w:val="00FC5410"/>
    <w:rsid w:val="00FD00D9"/>
    <w:rsid w:val="00FD0A98"/>
    <w:rsid w:val="00FD1809"/>
    <w:rsid w:val="00FD1A90"/>
    <w:rsid w:val="00FD4887"/>
    <w:rsid w:val="00FE0CFC"/>
    <w:rsid w:val="00FE1C7E"/>
    <w:rsid w:val="00FE2A66"/>
    <w:rsid w:val="00FE7456"/>
    <w:rsid w:val="00FE7F65"/>
    <w:rsid w:val="00FF15B7"/>
    <w:rsid w:val="00FF3E9E"/>
    <w:rsid w:val="00FF57F4"/>
    <w:rsid w:val="00FF5DEA"/>
    <w:rsid w:val="00FF67A7"/>
    <w:rsid w:val="00FF7EC4"/>
    <w:rsid w:val="014D059F"/>
    <w:rsid w:val="01EA3F16"/>
    <w:rsid w:val="01F65FCB"/>
    <w:rsid w:val="025E15E3"/>
    <w:rsid w:val="028329F9"/>
    <w:rsid w:val="029D3FFE"/>
    <w:rsid w:val="02F25FBC"/>
    <w:rsid w:val="03943B0B"/>
    <w:rsid w:val="03A349F1"/>
    <w:rsid w:val="03CC18DB"/>
    <w:rsid w:val="04306F9E"/>
    <w:rsid w:val="04AC51BF"/>
    <w:rsid w:val="04B40DC0"/>
    <w:rsid w:val="04B95381"/>
    <w:rsid w:val="04E2514F"/>
    <w:rsid w:val="04E95F50"/>
    <w:rsid w:val="050B6777"/>
    <w:rsid w:val="05136C9B"/>
    <w:rsid w:val="06495464"/>
    <w:rsid w:val="06913FF1"/>
    <w:rsid w:val="06AE712D"/>
    <w:rsid w:val="06E810D4"/>
    <w:rsid w:val="06EA09AB"/>
    <w:rsid w:val="06EC2A9D"/>
    <w:rsid w:val="074E76F0"/>
    <w:rsid w:val="081A3D1F"/>
    <w:rsid w:val="082E5425"/>
    <w:rsid w:val="08962BFA"/>
    <w:rsid w:val="0898738D"/>
    <w:rsid w:val="092A587F"/>
    <w:rsid w:val="093F263F"/>
    <w:rsid w:val="097F2422"/>
    <w:rsid w:val="0A3F6F26"/>
    <w:rsid w:val="0ACE122F"/>
    <w:rsid w:val="0AF07AAF"/>
    <w:rsid w:val="0BA41798"/>
    <w:rsid w:val="0C2E2523"/>
    <w:rsid w:val="0C447303"/>
    <w:rsid w:val="0CC03A2F"/>
    <w:rsid w:val="0D006B6B"/>
    <w:rsid w:val="0D1C254B"/>
    <w:rsid w:val="0D206FB7"/>
    <w:rsid w:val="0D6A5EFF"/>
    <w:rsid w:val="0D7935BD"/>
    <w:rsid w:val="0D921674"/>
    <w:rsid w:val="0DB24A08"/>
    <w:rsid w:val="0DCD463A"/>
    <w:rsid w:val="0DE9729A"/>
    <w:rsid w:val="0E1B655B"/>
    <w:rsid w:val="0EFF4F50"/>
    <w:rsid w:val="0F010301"/>
    <w:rsid w:val="0F2A17EF"/>
    <w:rsid w:val="0F3E01A7"/>
    <w:rsid w:val="0FD1565A"/>
    <w:rsid w:val="0FF74E29"/>
    <w:rsid w:val="0FF82E63"/>
    <w:rsid w:val="10577E13"/>
    <w:rsid w:val="10A53656"/>
    <w:rsid w:val="119B6414"/>
    <w:rsid w:val="133857F5"/>
    <w:rsid w:val="135A5572"/>
    <w:rsid w:val="135F1102"/>
    <w:rsid w:val="14267BB9"/>
    <w:rsid w:val="145B0D2D"/>
    <w:rsid w:val="148217B1"/>
    <w:rsid w:val="14A127E5"/>
    <w:rsid w:val="14BC6CC5"/>
    <w:rsid w:val="153E0A27"/>
    <w:rsid w:val="15416935"/>
    <w:rsid w:val="157E6292"/>
    <w:rsid w:val="15934A6C"/>
    <w:rsid w:val="16B17D4F"/>
    <w:rsid w:val="16D1487C"/>
    <w:rsid w:val="171467D2"/>
    <w:rsid w:val="17CB1014"/>
    <w:rsid w:val="17D760B4"/>
    <w:rsid w:val="184A0A45"/>
    <w:rsid w:val="184B770B"/>
    <w:rsid w:val="185F5569"/>
    <w:rsid w:val="18777296"/>
    <w:rsid w:val="18D01D1E"/>
    <w:rsid w:val="19672B2D"/>
    <w:rsid w:val="196F67FD"/>
    <w:rsid w:val="19F31E6C"/>
    <w:rsid w:val="1A8D179F"/>
    <w:rsid w:val="1AB93547"/>
    <w:rsid w:val="1B2C557B"/>
    <w:rsid w:val="1C3F6A0D"/>
    <w:rsid w:val="1C96116A"/>
    <w:rsid w:val="1CA4105D"/>
    <w:rsid w:val="1CD97816"/>
    <w:rsid w:val="1CDD1361"/>
    <w:rsid w:val="1CFD6AEF"/>
    <w:rsid w:val="1DB97DFB"/>
    <w:rsid w:val="1ED10788"/>
    <w:rsid w:val="1ED72167"/>
    <w:rsid w:val="1FF46C08"/>
    <w:rsid w:val="1FF500C3"/>
    <w:rsid w:val="20746F8B"/>
    <w:rsid w:val="20AB3548"/>
    <w:rsid w:val="20AE4FA9"/>
    <w:rsid w:val="20C96F67"/>
    <w:rsid w:val="211A253A"/>
    <w:rsid w:val="212E4CB8"/>
    <w:rsid w:val="21485A16"/>
    <w:rsid w:val="21B40469"/>
    <w:rsid w:val="21CA447C"/>
    <w:rsid w:val="21DF316B"/>
    <w:rsid w:val="21EE74CF"/>
    <w:rsid w:val="2273129E"/>
    <w:rsid w:val="227A1D4B"/>
    <w:rsid w:val="22E3669D"/>
    <w:rsid w:val="24423308"/>
    <w:rsid w:val="24676BED"/>
    <w:rsid w:val="24736B59"/>
    <w:rsid w:val="24C04EC5"/>
    <w:rsid w:val="24FA4496"/>
    <w:rsid w:val="25243AD0"/>
    <w:rsid w:val="257B2ABA"/>
    <w:rsid w:val="25820965"/>
    <w:rsid w:val="25CF4527"/>
    <w:rsid w:val="25E80E25"/>
    <w:rsid w:val="25FE1F27"/>
    <w:rsid w:val="26201F3E"/>
    <w:rsid w:val="265C0805"/>
    <w:rsid w:val="265E0B0C"/>
    <w:rsid w:val="26AC1216"/>
    <w:rsid w:val="26C6392A"/>
    <w:rsid w:val="27437345"/>
    <w:rsid w:val="27543411"/>
    <w:rsid w:val="275740F1"/>
    <w:rsid w:val="27655BC9"/>
    <w:rsid w:val="278051F5"/>
    <w:rsid w:val="279336EA"/>
    <w:rsid w:val="27B84C89"/>
    <w:rsid w:val="280A19D7"/>
    <w:rsid w:val="280B4F3E"/>
    <w:rsid w:val="28152633"/>
    <w:rsid w:val="28982A3A"/>
    <w:rsid w:val="28CF7D89"/>
    <w:rsid w:val="28D4768A"/>
    <w:rsid w:val="28F84311"/>
    <w:rsid w:val="28FA1BD4"/>
    <w:rsid w:val="292E5E90"/>
    <w:rsid w:val="296F3E66"/>
    <w:rsid w:val="29716C81"/>
    <w:rsid w:val="297B3F00"/>
    <w:rsid w:val="297E7FB7"/>
    <w:rsid w:val="29BB480D"/>
    <w:rsid w:val="2A01372A"/>
    <w:rsid w:val="2A721FA6"/>
    <w:rsid w:val="2AAA498A"/>
    <w:rsid w:val="2ACB2954"/>
    <w:rsid w:val="2ADC4B86"/>
    <w:rsid w:val="2B9F7CD4"/>
    <w:rsid w:val="2BEF3853"/>
    <w:rsid w:val="2BF444D3"/>
    <w:rsid w:val="2C11336A"/>
    <w:rsid w:val="2C7076F9"/>
    <w:rsid w:val="2C857DBA"/>
    <w:rsid w:val="2CA32FBB"/>
    <w:rsid w:val="2CA439CC"/>
    <w:rsid w:val="2CF96358"/>
    <w:rsid w:val="2D3F5855"/>
    <w:rsid w:val="2DB706BB"/>
    <w:rsid w:val="2E136A66"/>
    <w:rsid w:val="2E372A60"/>
    <w:rsid w:val="2E99041B"/>
    <w:rsid w:val="2EEA1C1B"/>
    <w:rsid w:val="2F9B4141"/>
    <w:rsid w:val="2F9B699A"/>
    <w:rsid w:val="30995EA3"/>
    <w:rsid w:val="309F4D47"/>
    <w:rsid w:val="30A1659C"/>
    <w:rsid w:val="311346E6"/>
    <w:rsid w:val="31232385"/>
    <w:rsid w:val="312A571E"/>
    <w:rsid w:val="317E6FB5"/>
    <w:rsid w:val="319D60E6"/>
    <w:rsid w:val="31C14FCC"/>
    <w:rsid w:val="31F35F4D"/>
    <w:rsid w:val="321C658C"/>
    <w:rsid w:val="3221681F"/>
    <w:rsid w:val="323D47B1"/>
    <w:rsid w:val="326435A9"/>
    <w:rsid w:val="32812A4A"/>
    <w:rsid w:val="3299107C"/>
    <w:rsid w:val="337C6FC0"/>
    <w:rsid w:val="34280137"/>
    <w:rsid w:val="348D6945"/>
    <w:rsid w:val="34AD38BA"/>
    <w:rsid w:val="34F51968"/>
    <w:rsid w:val="352029FD"/>
    <w:rsid w:val="359D13EE"/>
    <w:rsid w:val="36327EBA"/>
    <w:rsid w:val="36852F67"/>
    <w:rsid w:val="36BF2E7A"/>
    <w:rsid w:val="36E47182"/>
    <w:rsid w:val="36EA7EB1"/>
    <w:rsid w:val="37D768E7"/>
    <w:rsid w:val="386025F7"/>
    <w:rsid w:val="38A208D4"/>
    <w:rsid w:val="38C034DC"/>
    <w:rsid w:val="39CA5BD2"/>
    <w:rsid w:val="39E76736"/>
    <w:rsid w:val="3A280B24"/>
    <w:rsid w:val="3A713FA0"/>
    <w:rsid w:val="3ABE36A6"/>
    <w:rsid w:val="3AE6638E"/>
    <w:rsid w:val="3B0B3BFF"/>
    <w:rsid w:val="3B213501"/>
    <w:rsid w:val="3B286032"/>
    <w:rsid w:val="3B33518F"/>
    <w:rsid w:val="3BA07B34"/>
    <w:rsid w:val="3BA349A7"/>
    <w:rsid w:val="3BB149FB"/>
    <w:rsid w:val="3C0839FD"/>
    <w:rsid w:val="3CEB3807"/>
    <w:rsid w:val="3D2539CD"/>
    <w:rsid w:val="3D8430E8"/>
    <w:rsid w:val="3D864515"/>
    <w:rsid w:val="3DF83EF8"/>
    <w:rsid w:val="3E1D6DB6"/>
    <w:rsid w:val="3E653E7B"/>
    <w:rsid w:val="3EA01E45"/>
    <w:rsid w:val="3EB949E4"/>
    <w:rsid w:val="3EBF6A19"/>
    <w:rsid w:val="3F5D444D"/>
    <w:rsid w:val="3F605FCA"/>
    <w:rsid w:val="3F771E6F"/>
    <w:rsid w:val="3FED5566"/>
    <w:rsid w:val="4000156B"/>
    <w:rsid w:val="403E25EA"/>
    <w:rsid w:val="404577E6"/>
    <w:rsid w:val="406F3D87"/>
    <w:rsid w:val="40711049"/>
    <w:rsid w:val="40766C97"/>
    <w:rsid w:val="407C4B53"/>
    <w:rsid w:val="40B0596E"/>
    <w:rsid w:val="40E34453"/>
    <w:rsid w:val="40F65D30"/>
    <w:rsid w:val="41060947"/>
    <w:rsid w:val="413A1D00"/>
    <w:rsid w:val="414339E3"/>
    <w:rsid w:val="41AD2980"/>
    <w:rsid w:val="41E40AE4"/>
    <w:rsid w:val="422D0CDB"/>
    <w:rsid w:val="423C170F"/>
    <w:rsid w:val="425A26D5"/>
    <w:rsid w:val="429736E7"/>
    <w:rsid w:val="42B96EC7"/>
    <w:rsid w:val="42E836F2"/>
    <w:rsid w:val="431E4FB7"/>
    <w:rsid w:val="43374462"/>
    <w:rsid w:val="435F780D"/>
    <w:rsid w:val="43CC013F"/>
    <w:rsid w:val="4400509B"/>
    <w:rsid w:val="4423303D"/>
    <w:rsid w:val="44F05476"/>
    <w:rsid w:val="454934CA"/>
    <w:rsid w:val="45A51D14"/>
    <w:rsid w:val="45D21141"/>
    <w:rsid w:val="46C042A0"/>
    <w:rsid w:val="46C101D0"/>
    <w:rsid w:val="46C213F6"/>
    <w:rsid w:val="47450157"/>
    <w:rsid w:val="47602379"/>
    <w:rsid w:val="47640605"/>
    <w:rsid w:val="47B240AF"/>
    <w:rsid w:val="47D3403D"/>
    <w:rsid w:val="47F108B7"/>
    <w:rsid w:val="480F3E46"/>
    <w:rsid w:val="48171BE2"/>
    <w:rsid w:val="48350F84"/>
    <w:rsid w:val="485A072D"/>
    <w:rsid w:val="487149E9"/>
    <w:rsid w:val="488B6F2B"/>
    <w:rsid w:val="48C52F78"/>
    <w:rsid w:val="496A7B44"/>
    <w:rsid w:val="4993047C"/>
    <w:rsid w:val="4A162E25"/>
    <w:rsid w:val="4A314C42"/>
    <w:rsid w:val="4A563E35"/>
    <w:rsid w:val="4A9862D9"/>
    <w:rsid w:val="4AA85A1E"/>
    <w:rsid w:val="4AF37D2B"/>
    <w:rsid w:val="4B1F0FAE"/>
    <w:rsid w:val="4BAE7EDE"/>
    <w:rsid w:val="4C87154F"/>
    <w:rsid w:val="4CBB2851"/>
    <w:rsid w:val="4CC3053D"/>
    <w:rsid w:val="4D7B3903"/>
    <w:rsid w:val="4DAB0B1E"/>
    <w:rsid w:val="4DCE3887"/>
    <w:rsid w:val="4EA46F4E"/>
    <w:rsid w:val="4EDA79F5"/>
    <w:rsid w:val="4F41354B"/>
    <w:rsid w:val="4F6D2183"/>
    <w:rsid w:val="50462B8D"/>
    <w:rsid w:val="50A637E2"/>
    <w:rsid w:val="50B16E15"/>
    <w:rsid w:val="50E06040"/>
    <w:rsid w:val="52286D61"/>
    <w:rsid w:val="52EE7B5D"/>
    <w:rsid w:val="53995BE2"/>
    <w:rsid w:val="53A77200"/>
    <w:rsid w:val="53BB2EA7"/>
    <w:rsid w:val="53D2230C"/>
    <w:rsid w:val="54311159"/>
    <w:rsid w:val="543F16AA"/>
    <w:rsid w:val="547772E1"/>
    <w:rsid w:val="54D01EF2"/>
    <w:rsid w:val="54F72C5D"/>
    <w:rsid w:val="550751A9"/>
    <w:rsid w:val="55154643"/>
    <w:rsid w:val="55551B92"/>
    <w:rsid w:val="55A11F41"/>
    <w:rsid w:val="55F50DA0"/>
    <w:rsid w:val="560138FE"/>
    <w:rsid w:val="56F00FFE"/>
    <w:rsid w:val="57077057"/>
    <w:rsid w:val="574602DB"/>
    <w:rsid w:val="576F5222"/>
    <w:rsid w:val="57763155"/>
    <w:rsid w:val="579C2146"/>
    <w:rsid w:val="57AE1554"/>
    <w:rsid w:val="57D6543B"/>
    <w:rsid w:val="57DE59B5"/>
    <w:rsid w:val="582251DD"/>
    <w:rsid w:val="58243307"/>
    <w:rsid w:val="58666156"/>
    <w:rsid w:val="58860971"/>
    <w:rsid w:val="58CE383A"/>
    <w:rsid w:val="596E4BBE"/>
    <w:rsid w:val="598453EE"/>
    <w:rsid w:val="5A155CC7"/>
    <w:rsid w:val="5A2C537C"/>
    <w:rsid w:val="5A9442A4"/>
    <w:rsid w:val="5B0F6869"/>
    <w:rsid w:val="5BA91710"/>
    <w:rsid w:val="5BAF5017"/>
    <w:rsid w:val="5CAA0BFC"/>
    <w:rsid w:val="5CD219EA"/>
    <w:rsid w:val="5CFA191D"/>
    <w:rsid w:val="5D145629"/>
    <w:rsid w:val="5DA573E6"/>
    <w:rsid w:val="5DFF7999"/>
    <w:rsid w:val="5E243D90"/>
    <w:rsid w:val="5E3C202A"/>
    <w:rsid w:val="5F897B1B"/>
    <w:rsid w:val="5F8F38E0"/>
    <w:rsid w:val="5FF9560C"/>
    <w:rsid w:val="60456E7E"/>
    <w:rsid w:val="613C26F4"/>
    <w:rsid w:val="614B68F6"/>
    <w:rsid w:val="61786DB6"/>
    <w:rsid w:val="61BD6D4D"/>
    <w:rsid w:val="62296F89"/>
    <w:rsid w:val="627C7813"/>
    <w:rsid w:val="62BE04ED"/>
    <w:rsid w:val="62C04947"/>
    <w:rsid w:val="62FA1DC7"/>
    <w:rsid w:val="63386C0E"/>
    <w:rsid w:val="63615644"/>
    <w:rsid w:val="63DF479A"/>
    <w:rsid w:val="63F924B5"/>
    <w:rsid w:val="64022DDE"/>
    <w:rsid w:val="642B2C86"/>
    <w:rsid w:val="64624686"/>
    <w:rsid w:val="6538233D"/>
    <w:rsid w:val="668D68D0"/>
    <w:rsid w:val="66991FF5"/>
    <w:rsid w:val="67163706"/>
    <w:rsid w:val="67451100"/>
    <w:rsid w:val="684073FF"/>
    <w:rsid w:val="68A91127"/>
    <w:rsid w:val="68EC454E"/>
    <w:rsid w:val="68F80938"/>
    <w:rsid w:val="692D6500"/>
    <w:rsid w:val="69927D96"/>
    <w:rsid w:val="69C76F69"/>
    <w:rsid w:val="6A175BAC"/>
    <w:rsid w:val="6A4152E4"/>
    <w:rsid w:val="6A4C6D32"/>
    <w:rsid w:val="6ACC4D53"/>
    <w:rsid w:val="6B9D6DB9"/>
    <w:rsid w:val="6BD4276B"/>
    <w:rsid w:val="6BD44C4F"/>
    <w:rsid w:val="6C1E5CE2"/>
    <w:rsid w:val="6C2910C5"/>
    <w:rsid w:val="6C30610F"/>
    <w:rsid w:val="6C33515E"/>
    <w:rsid w:val="6CD77A20"/>
    <w:rsid w:val="6CE42A34"/>
    <w:rsid w:val="6D312146"/>
    <w:rsid w:val="6DBE3839"/>
    <w:rsid w:val="6DCE5BFC"/>
    <w:rsid w:val="6E20564B"/>
    <w:rsid w:val="6E233E20"/>
    <w:rsid w:val="6E2D0B14"/>
    <w:rsid w:val="6E903EB5"/>
    <w:rsid w:val="6E9901BC"/>
    <w:rsid w:val="6F275331"/>
    <w:rsid w:val="6F7E073C"/>
    <w:rsid w:val="6F99334B"/>
    <w:rsid w:val="6FBD7F24"/>
    <w:rsid w:val="6FC975B0"/>
    <w:rsid w:val="703D4520"/>
    <w:rsid w:val="70B30B1E"/>
    <w:rsid w:val="70DF737C"/>
    <w:rsid w:val="70FA6B4A"/>
    <w:rsid w:val="711A34D1"/>
    <w:rsid w:val="718C5DA6"/>
    <w:rsid w:val="71D65A6D"/>
    <w:rsid w:val="72063304"/>
    <w:rsid w:val="726F604C"/>
    <w:rsid w:val="727A2E5D"/>
    <w:rsid w:val="72AD63B2"/>
    <w:rsid w:val="72D251EC"/>
    <w:rsid w:val="72EE4103"/>
    <w:rsid w:val="73422B8C"/>
    <w:rsid w:val="73541D4A"/>
    <w:rsid w:val="736A15A5"/>
    <w:rsid w:val="73786CE7"/>
    <w:rsid w:val="7386076C"/>
    <w:rsid w:val="73AD50D5"/>
    <w:rsid w:val="74116287"/>
    <w:rsid w:val="741268AA"/>
    <w:rsid w:val="74467602"/>
    <w:rsid w:val="74472CBF"/>
    <w:rsid w:val="74741C95"/>
    <w:rsid w:val="75070D9A"/>
    <w:rsid w:val="77215877"/>
    <w:rsid w:val="77AC3489"/>
    <w:rsid w:val="788C00D4"/>
    <w:rsid w:val="78AF1F93"/>
    <w:rsid w:val="78CA1598"/>
    <w:rsid w:val="7A646987"/>
    <w:rsid w:val="7AC4171B"/>
    <w:rsid w:val="7B294E22"/>
    <w:rsid w:val="7B3D4917"/>
    <w:rsid w:val="7B910FC6"/>
    <w:rsid w:val="7BF32BDC"/>
    <w:rsid w:val="7C4F354B"/>
    <w:rsid w:val="7C601D49"/>
    <w:rsid w:val="7CA7738F"/>
    <w:rsid w:val="7CCA0524"/>
    <w:rsid w:val="7D976FC0"/>
    <w:rsid w:val="7DAA417D"/>
    <w:rsid w:val="7DBA51DF"/>
    <w:rsid w:val="7DD46650"/>
    <w:rsid w:val="7E0908EF"/>
    <w:rsid w:val="7E81783D"/>
    <w:rsid w:val="7E867AE4"/>
    <w:rsid w:val="7F072BCD"/>
    <w:rsid w:val="7F5027ED"/>
    <w:rsid w:val="7F554121"/>
    <w:rsid w:val="7F9745B4"/>
    <w:rsid w:val="7FEC65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Times New Roman"/>
      <w:kern w:val="2"/>
      <w:sz w:val="24"/>
      <w:szCs w:val="24"/>
      <w:lang w:val="en-US" w:eastAsia="zh-CN" w:bidi="ar-SA"/>
    </w:rPr>
  </w:style>
  <w:style w:type="paragraph" w:styleId="3">
    <w:name w:val="heading 1"/>
    <w:basedOn w:val="1"/>
    <w:next w:val="1"/>
    <w:link w:val="31"/>
    <w:qFormat/>
    <w:uiPriority w:val="0"/>
    <w:pPr>
      <w:keepNext/>
      <w:keepLines/>
      <w:tabs>
        <w:tab w:val="left" w:pos="0"/>
      </w:tabs>
      <w:outlineLvl w:val="0"/>
    </w:pPr>
    <w:rPr>
      <w:b/>
      <w:bCs/>
      <w:kern w:val="44"/>
      <w:szCs w:val="44"/>
    </w:rPr>
  </w:style>
  <w:style w:type="paragraph" w:styleId="4">
    <w:name w:val="heading 2"/>
    <w:basedOn w:val="1"/>
    <w:next w:val="1"/>
    <w:link w:val="33"/>
    <w:qFormat/>
    <w:uiPriority w:val="0"/>
    <w:pPr>
      <w:keepNext/>
      <w:keepLines/>
      <w:numPr>
        <w:ilvl w:val="1"/>
        <w:numId w:val="1"/>
      </w:numPr>
      <w:outlineLvl w:val="1"/>
    </w:pPr>
    <w:rPr>
      <w:rFonts w:hAnsi="Arial"/>
      <w:b/>
      <w:bCs/>
      <w:kern w:val="0"/>
      <w:szCs w:val="32"/>
    </w:rPr>
  </w:style>
  <w:style w:type="paragraph" w:styleId="5">
    <w:name w:val="heading 3"/>
    <w:basedOn w:val="1"/>
    <w:next w:val="1"/>
    <w:link w:val="43"/>
    <w:qFormat/>
    <w:uiPriority w:val="9"/>
    <w:pPr>
      <w:numPr>
        <w:ilvl w:val="2"/>
        <w:numId w:val="1"/>
      </w:numPr>
      <w:outlineLvl w:val="2"/>
    </w:pPr>
    <w:rPr>
      <w:kern w:val="0"/>
    </w:rPr>
  </w:style>
  <w:style w:type="paragraph" w:styleId="6">
    <w:name w:val="heading 4"/>
    <w:basedOn w:val="1"/>
    <w:next w:val="1"/>
    <w:link w:val="40"/>
    <w:qFormat/>
    <w:uiPriority w:val="0"/>
    <w:pPr>
      <w:keepNext/>
      <w:keepLines/>
      <w:numPr>
        <w:ilvl w:val="0"/>
        <w:numId w:val="1"/>
      </w:numPr>
      <w:tabs>
        <w:tab w:val="left" w:pos="0"/>
      </w:tabs>
      <w:outlineLvl w:val="3"/>
    </w:pPr>
    <w:rPr>
      <w:rFonts w:ascii="Cambria" w:hAnsi="Cambria"/>
      <w:bCs/>
      <w:szCs w:val="28"/>
    </w:rPr>
  </w:style>
  <w:style w:type="paragraph" w:styleId="7">
    <w:name w:val="heading 5"/>
    <w:basedOn w:val="1"/>
    <w:next w:val="1"/>
    <w:link w:val="26"/>
    <w:qFormat/>
    <w:uiPriority w:val="0"/>
    <w:pPr>
      <w:keepNext/>
      <w:keepLines/>
      <w:numPr>
        <w:ilvl w:val="4"/>
        <w:numId w:val="1"/>
      </w:numPr>
      <w:tabs>
        <w:tab w:val="left" w:pos="0"/>
      </w:tabs>
      <w:spacing w:before="40" w:after="50"/>
      <w:outlineLvl w:val="4"/>
    </w:pPr>
    <w:rPr>
      <w:bCs/>
      <w:szCs w:val="28"/>
    </w:rPr>
  </w:style>
  <w:style w:type="paragraph" w:styleId="8">
    <w:name w:val="heading 6"/>
    <w:basedOn w:val="1"/>
    <w:next w:val="1"/>
    <w:link w:val="47"/>
    <w:unhideWhenUsed/>
    <w:qFormat/>
    <w:uiPriority w:val="9"/>
    <w:pPr>
      <w:keepNext/>
      <w:keepLines/>
      <w:numPr>
        <w:ilvl w:val="5"/>
        <w:numId w:val="1"/>
      </w:numPr>
      <w:tabs>
        <w:tab w:val="left" w:pos="420"/>
      </w:tabs>
      <w:spacing w:before="240" w:after="64" w:line="320" w:lineRule="auto"/>
      <w:outlineLvl w:val="5"/>
    </w:pPr>
    <w:rPr>
      <w:rFonts w:asciiTheme="majorHAnsi" w:hAnsiTheme="majorHAnsi" w:eastAsiaTheme="majorEastAsia" w:cstheme="majorBidi"/>
      <w:bCs/>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9"/>
    <w:qFormat/>
    <w:uiPriority w:val="0"/>
    <w:pPr>
      <w:spacing w:after="120" w:line="300" w:lineRule="auto"/>
    </w:pPr>
    <w:rPr>
      <w:rFonts w:ascii="Calibri" w:eastAsia="仿宋_GB2312"/>
    </w:rPr>
  </w:style>
  <w:style w:type="paragraph" w:styleId="9">
    <w:name w:val="List Bullet"/>
    <w:basedOn w:val="1"/>
    <w:unhideWhenUsed/>
    <w:qFormat/>
    <w:uiPriority w:val="99"/>
    <w:pPr>
      <w:widowControl/>
      <w:numPr>
        <w:ilvl w:val="0"/>
        <w:numId w:val="2"/>
      </w:numPr>
      <w:spacing w:after="200" w:line="276" w:lineRule="auto"/>
      <w:contextualSpacing/>
      <w:jc w:val="left"/>
    </w:pPr>
    <w:rPr>
      <w:rFonts w:asciiTheme="minorHAnsi" w:hAnsiTheme="minorHAnsi" w:eastAsiaTheme="minorEastAsia" w:cstheme="minorBidi"/>
      <w:kern w:val="0"/>
      <w:sz w:val="22"/>
      <w:szCs w:val="22"/>
      <w:lang w:eastAsia="en-US"/>
    </w:rPr>
  </w:style>
  <w:style w:type="paragraph" w:styleId="10">
    <w:name w:val="Document Map"/>
    <w:basedOn w:val="1"/>
    <w:link w:val="30"/>
    <w:unhideWhenUsed/>
    <w:qFormat/>
    <w:uiPriority w:val="99"/>
    <w:rPr>
      <w:kern w:val="0"/>
    </w:rPr>
  </w:style>
  <w:style w:type="paragraph" w:styleId="11">
    <w:name w:val="annotation text"/>
    <w:basedOn w:val="1"/>
    <w:link w:val="42"/>
    <w:unhideWhenUsed/>
    <w:qFormat/>
    <w:uiPriority w:val="99"/>
    <w:pPr>
      <w:jc w:val="left"/>
    </w:pPr>
    <w:rPr>
      <w:kern w:val="0"/>
    </w:rPr>
  </w:style>
  <w:style w:type="paragraph" w:styleId="12">
    <w:name w:val="Balloon Text"/>
    <w:basedOn w:val="1"/>
    <w:link w:val="41"/>
    <w:unhideWhenUsed/>
    <w:qFormat/>
    <w:uiPriority w:val="99"/>
    <w:pPr>
      <w:spacing w:line="240" w:lineRule="auto"/>
    </w:pPr>
    <w:rPr>
      <w:kern w:val="0"/>
      <w:sz w:val="18"/>
      <w:szCs w:val="18"/>
    </w:rPr>
  </w:style>
  <w:style w:type="paragraph" w:styleId="13">
    <w:name w:val="footer"/>
    <w:basedOn w:val="1"/>
    <w:link w:val="32"/>
    <w:unhideWhenUsed/>
    <w:qFormat/>
    <w:uiPriority w:val="99"/>
    <w:pPr>
      <w:tabs>
        <w:tab w:val="center" w:pos="4153"/>
        <w:tab w:val="right" w:pos="8306"/>
      </w:tabs>
      <w:snapToGrid w:val="0"/>
      <w:spacing w:line="240" w:lineRule="auto"/>
      <w:jc w:val="left"/>
    </w:pPr>
    <w:rPr>
      <w:kern w:val="0"/>
      <w:sz w:val="18"/>
      <w:szCs w:val="18"/>
    </w:rPr>
  </w:style>
  <w:style w:type="paragraph" w:styleId="14">
    <w:name w:val="header"/>
    <w:basedOn w:val="1"/>
    <w:link w:val="36"/>
    <w:unhideWhenUsed/>
    <w:qFormat/>
    <w:uiPriority w:val="99"/>
    <w:pPr>
      <w:pBdr>
        <w:bottom w:val="single" w:color="auto" w:sz="6" w:space="1"/>
      </w:pBdr>
      <w:tabs>
        <w:tab w:val="center" w:pos="4153"/>
        <w:tab w:val="right" w:pos="8306"/>
      </w:tabs>
      <w:snapToGrid w:val="0"/>
      <w:spacing w:line="240" w:lineRule="auto"/>
      <w:jc w:val="center"/>
    </w:pPr>
    <w:rPr>
      <w:kern w:val="0"/>
      <w:sz w:val="18"/>
      <w:szCs w:val="18"/>
    </w:rPr>
  </w:style>
  <w:style w:type="paragraph" w:styleId="15">
    <w:name w:val="toc 1"/>
    <w:basedOn w:val="1"/>
    <w:next w:val="1"/>
    <w:qFormat/>
    <w:uiPriority w:val="39"/>
    <w:pPr>
      <w:tabs>
        <w:tab w:val="right" w:leader="dot" w:pos="8296"/>
      </w:tabs>
    </w:pPr>
  </w:style>
  <w:style w:type="paragraph" w:styleId="16">
    <w:name w:val="toc 2"/>
    <w:basedOn w:val="1"/>
    <w:next w:val="1"/>
    <w:qFormat/>
    <w:uiPriority w:val="39"/>
    <w:pPr>
      <w:spacing w:line="300" w:lineRule="auto"/>
      <w:ind w:left="420" w:leftChars="200"/>
    </w:pPr>
    <w:rPr>
      <w:rFonts w:ascii="Times New Roman" w:eastAsia="仿宋_GB2312"/>
    </w:rPr>
  </w:style>
  <w:style w:type="paragraph" w:styleId="17">
    <w:name w:val="Normal (Web)"/>
    <w:basedOn w:val="1"/>
    <w:unhideWhenUsed/>
    <w:qFormat/>
    <w:uiPriority w:val="99"/>
  </w:style>
  <w:style w:type="paragraph" w:styleId="18">
    <w:name w:val="Title"/>
    <w:basedOn w:val="1"/>
    <w:next w:val="1"/>
    <w:link w:val="38"/>
    <w:qFormat/>
    <w:uiPriority w:val="10"/>
    <w:pPr>
      <w:spacing w:before="240" w:after="60"/>
      <w:jc w:val="center"/>
      <w:outlineLvl w:val="0"/>
    </w:pPr>
    <w:rPr>
      <w:rFonts w:ascii="Calibri Light" w:hAnsi="Calibri Light"/>
      <w:b/>
      <w:bCs/>
      <w:sz w:val="32"/>
      <w:szCs w:val="32"/>
    </w:rPr>
  </w:style>
  <w:style w:type="paragraph" w:styleId="19">
    <w:name w:val="annotation subject"/>
    <w:basedOn w:val="11"/>
    <w:next w:val="11"/>
    <w:link w:val="34"/>
    <w:unhideWhenUsed/>
    <w:qFormat/>
    <w:uiPriority w:val="99"/>
    <w:rPr>
      <w:b/>
      <w:bCs/>
    </w:rPr>
  </w:style>
  <w:style w:type="table" w:styleId="21">
    <w:name w:val="Table Gri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Hyperlink"/>
    <w:unhideWhenUsed/>
    <w:qFormat/>
    <w:uiPriority w:val="99"/>
    <w:rPr>
      <w:color w:val="0000FF"/>
      <w:u w:val="single"/>
    </w:rPr>
  </w:style>
  <w:style w:type="character" w:styleId="24">
    <w:name w:val="annotation reference"/>
    <w:unhideWhenUsed/>
    <w:qFormat/>
    <w:uiPriority w:val="99"/>
    <w:rPr>
      <w:sz w:val="21"/>
      <w:szCs w:val="21"/>
    </w:rPr>
  </w:style>
  <w:style w:type="paragraph" w:customStyle="1" w:styleId="25">
    <w:name w:val="样式2"/>
    <w:basedOn w:val="1"/>
    <w:link w:val="37"/>
    <w:qFormat/>
    <w:uiPriority w:val="99"/>
    <w:pPr>
      <w:numPr>
        <w:ilvl w:val="3"/>
        <w:numId w:val="3"/>
      </w:numPr>
    </w:pPr>
    <w:rPr>
      <w:kern w:val="0"/>
    </w:rPr>
  </w:style>
  <w:style w:type="character" w:customStyle="1" w:styleId="26">
    <w:name w:val="标题 5 字符"/>
    <w:link w:val="7"/>
    <w:semiHidden/>
    <w:qFormat/>
    <w:uiPriority w:val="9"/>
    <w:rPr>
      <w:rFonts w:ascii="宋体" w:hAnsi="宋体" w:eastAsia="宋体"/>
      <w:bCs/>
      <w:kern w:val="2"/>
      <w:sz w:val="24"/>
      <w:szCs w:val="28"/>
    </w:rPr>
  </w:style>
  <w:style w:type="paragraph" w:customStyle="1" w:styleId="27">
    <w:name w:val="样式1"/>
    <w:basedOn w:val="1"/>
    <w:qFormat/>
    <w:uiPriority w:val="99"/>
  </w:style>
  <w:style w:type="paragraph" w:customStyle="1" w:styleId="28">
    <w:name w:val="列出段落1"/>
    <w:basedOn w:val="1"/>
    <w:link w:val="29"/>
    <w:qFormat/>
    <w:uiPriority w:val="34"/>
    <w:pPr>
      <w:widowControl/>
      <w:spacing w:after="200" w:line="276" w:lineRule="auto"/>
      <w:ind w:left="720"/>
      <w:contextualSpacing/>
    </w:pPr>
    <w:rPr>
      <w:rFonts w:ascii="Calibri"/>
      <w:kern w:val="0"/>
      <w:sz w:val="20"/>
      <w:szCs w:val="20"/>
      <w:lang w:eastAsia="en-US" w:bidi="en-US"/>
    </w:rPr>
  </w:style>
  <w:style w:type="character" w:customStyle="1" w:styleId="29">
    <w:name w:val="列出段落 Char"/>
    <w:link w:val="28"/>
    <w:qFormat/>
    <w:uiPriority w:val="34"/>
    <w:rPr>
      <w:lang w:eastAsia="en-US" w:bidi="en-US"/>
    </w:rPr>
  </w:style>
  <w:style w:type="character" w:customStyle="1" w:styleId="30">
    <w:name w:val="文档结构图 字符"/>
    <w:link w:val="10"/>
    <w:semiHidden/>
    <w:qFormat/>
    <w:uiPriority w:val="99"/>
    <w:rPr>
      <w:rFonts w:ascii="宋体" w:hAnsi="Times New Roman" w:eastAsia="宋体" w:cs="Times New Roman"/>
      <w:sz w:val="24"/>
      <w:szCs w:val="24"/>
    </w:rPr>
  </w:style>
  <w:style w:type="character" w:customStyle="1" w:styleId="31">
    <w:name w:val="标题 1 字符"/>
    <w:link w:val="3"/>
    <w:qFormat/>
    <w:uiPriority w:val="0"/>
    <w:rPr>
      <w:rFonts w:ascii="宋体" w:hAnsi="宋体"/>
      <w:b/>
      <w:bCs/>
      <w:kern w:val="44"/>
      <w:sz w:val="24"/>
      <w:szCs w:val="44"/>
    </w:rPr>
  </w:style>
  <w:style w:type="character" w:customStyle="1" w:styleId="32">
    <w:name w:val="页脚 字符"/>
    <w:link w:val="13"/>
    <w:qFormat/>
    <w:uiPriority w:val="99"/>
    <w:rPr>
      <w:rFonts w:ascii="宋体" w:hAnsi="Times New Roman" w:eastAsia="宋体" w:cs="Times New Roman"/>
      <w:sz w:val="18"/>
      <w:szCs w:val="18"/>
    </w:rPr>
  </w:style>
  <w:style w:type="character" w:customStyle="1" w:styleId="33">
    <w:name w:val="标题 2 字符"/>
    <w:link w:val="4"/>
    <w:qFormat/>
    <w:uiPriority w:val="0"/>
    <w:rPr>
      <w:rFonts w:ascii="宋体" w:hAnsi="Arial"/>
      <w:b/>
      <w:bCs/>
      <w:sz w:val="24"/>
      <w:szCs w:val="32"/>
    </w:rPr>
  </w:style>
  <w:style w:type="character" w:customStyle="1" w:styleId="34">
    <w:name w:val="批注主题 字符"/>
    <w:link w:val="19"/>
    <w:semiHidden/>
    <w:qFormat/>
    <w:uiPriority w:val="99"/>
    <w:rPr>
      <w:rFonts w:ascii="宋体" w:hAnsi="Times New Roman" w:eastAsia="宋体" w:cs="Times New Roman"/>
      <w:b/>
      <w:bCs/>
      <w:sz w:val="24"/>
      <w:szCs w:val="24"/>
    </w:rPr>
  </w:style>
  <w:style w:type="character" w:customStyle="1" w:styleId="35">
    <w:name w:val="标题 4 字符"/>
    <w:qFormat/>
    <w:uiPriority w:val="99"/>
    <w:rPr>
      <w:rFonts w:ascii="Cambria" w:hAnsi="Cambria"/>
      <w:b/>
      <w:bCs/>
      <w:sz w:val="28"/>
      <w:szCs w:val="28"/>
    </w:rPr>
  </w:style>
  <w:style w:type="character" w:customStyle="1" w:styleId="36">
    <w:name w:val="页眉 字符"/>
    <w:link w:val="14"/>
    <w:qFormat/>
    <w:uiPriority w:val="99"/>
    <w:rPr>
      <w:rFonts w:ascii="宋体" w:hAnsi="Times New Roman" w:eastAsia="宋体" w:cs="Times New Roman"/>
      <w:sz w:val="18"/>
      <w:szCs w:val="18"/>
    </w:rPr>
  </w:style>
  <w:style w:type="character" w:customStyle="1" w:styleId="37">
    <w:name w:val="样式2 Char"/>
    <w:link w:val="25"/>
    <w:qFormat/>
    <w:uiPriority w:val="0"/>
    <w:rPr>
      <w:rFonts w:ascii="宋体" w:hAnsi="Times New Roman"/>
      <w:sz w:val="24"/>
      <w:szCs w:val="24"/>
    </w:rPr>
  </w:style>
  <w:style w:type="character" w:customStyle="1" w:styleId="38">
    <w:name w:val="标题 字符"/>
    <w:link w:val="18"/>
    <w:qFormat/>
    <w:uiPriority w:val="10"/>
    <w:rPr>
      <w:rFonts w:ascii="Calibri Light" w:hAnsi="Calibri Light" w:cs="Times New Roman"/>
      <w:b/>
      <w:bCs/>
      <w:kern w:val="2"/>
      <w:sz w:val="32"/>
      <w:szCs w:val="32"/>
    </w:rPr>
  </w:style>
  <w:style w:type="character" w:customStyle="1" w:styleId="39">
    <w:name w:val="正文文本 字符"/>
    <w:link w:val="2"/>
    <w:qFormat/>
    <w:uiPriority w:val="0"/>
    <w:rPr>
      <w:rFonts w:eastAsia="仿宋_GB2312"/>
      <w:kern w:val="2"/>
      <w:sz w:val="24"/>
      <w:szCs w:val="24"/>
    </w:rPr>
  </w:style>
  <w:style w:type="character" w:customStyle="1" w:styleId="40">
    <w:name w:val="标题 4 字符1"/>
    <w:link w:val="6"/>
    <w:qFormat/>
    <w:uiPriority w:val="0"/>
    <w:rPr>
      <w:rFonts w:ascii="Cambria" w:hAnsi="Cambria" w:eastAsia="宋体"/>
      <w:bCs/>
      <w:sz w:val="24"/>
      <w:szCs w:val="28"/>
    </w:rPr>
  </w:style>
  <w:style w:type="character" w:customStyle="1" w:styleId="41">
    <w:name w:val="批注框文本 字符"/>
    <w:link w:val="12"/>
    <w:semiHidden/>
    <w:qFormat/>
    <w:uiPriority w:val="99"/>
    <w:rPr>
      <w:rFonts w:ascii="宋体" w:hAnsi="Times New Roman" w:eastAsia="宋体" w:cs="Times New Roman"/>
      <w:sz w:val="18"/>
      <w:szCs w:val="18"/>
    </w:rPr>
  </w:style>
  <w:style w:type="character" w:customStyle="1" w:styleId="42">
    <w:name w:val="批注文字 字符"/>
    <w:link w:val="11"/>
    <w:qFormat/>
    <w:uiPriority w:val="99"/>
    <w:rPr>
      <w:rFonts w:ascii="宋体" w:hAnsi="Times New Roman" w:eastAsia="宋体" w:cs="Times New Roman"/>
      <w:sz w:val="24"/>
      <w:szCs w:val="24"/>
    </w:rPr>
  </w:style>
  <w:style w:type="character" w:customStyle="1" w:styleId="43">
    <w:name w:val="标题 3 字符"/>
    <w:link w:val="5"/>
    <w:qFormat/>
    <w:uiPriority w:val="0"/>
    <w:rPr>
      <w:rFonts w:ascii="宋体" w:hAnsi="宋体" w:eastAsia="宋体"/>
      <w:sz w:val="24"/>
      <w:szCs w:val="24"/>
    </w:rPr>
  </w:style>
  <w:style w:type="character" w:customStyle="1" w:styleId="44">
    <w:name w:val="正文文本 Char1"/>
    <w:semiHidden/>
    <w:qFormat/>
    <w:uiPriority w:val="99"/>
    <w:rPr>
      <w:rFonts w:ascii="宋体" w:hAnsi="Times New Roman"/>
      <w:kern w:val="2"/>
      <w:sz w:val="24"/>
      <w:szCs w:val="24"/>
    </w:rPr>
  </w:style>
  <w:style w:type="paragraph" w:customStyle="1" w:styleId="45">
    <w:name w:val="列出段落2"/>
    <w:basedOn w:val="1"/>
    <w:qFormat/>
    <w:uiPriority w:val="99"/>
    <w:pPr>
      <w:ind w:firstLine="420"/>
    </w:pPr>
  </w:style>
  <w:style w:type="paragraph" w:customStyle="1" w:styleId="46">
    <w:name w:val="列出段落3"/>
    <w:basedOn w:val="1"/>
    <w:qFormat/>
    <w:uiPriority w:val="34"/>
    <w:pPr>
      <w:widowControl/>
      <w:spacing w:after="200" w:line="276" w:lineRule="auto"/>
      <w:ind w:left="720"/>
      <w:contextualSpacing/>
    </w:pPr>
    <w:rPr>
      <w:rFonts w:ascii="Calibri"/>
      <w:kern w:val="0"/>
      <w:sz w:val="20"/>
      <w:szCs w:val="20"/>
      <w:lang w:eastAsia="en-US" w:bidi="en-US"/>
    </w:rPr>
  </w:style>
  <w:style w:type="character" w:customStyle="1" w:styleId="47">
    <w:name w:val="标题 6 字符"/>
    <w:basedOn w:val="22"/>
    <w:link w:val="8"/>
    <w:semiHidden/>
    <w:qFormat/>
    <w:uiPriority w:val="9"/>
    <w:rPr>
      <w:rFonts w:asciiTheme="majorHAnsi" w:hAnsiTheme="majorHAnsi" w:eastAsiaTheme="majorEastAsia" w:cstheme="majorBidi"/>
      <w:bCs/>
      <w:kern w:val="2"/>
      <w:sz w:val="24"/>
      <w:szCs w:val="24"/>
    </w:rPr>
  </w:style>
  <w:style w:type="paragraph" w:customStyle="1" w:styleId="48">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3DE4C-B733-4864-B1CE-35EB1D6FD47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Pages>
  <Words>748</Words>
  <Characters>4268</Characters>
  <Lines>35</Lines>
  <Paragraphs>10</Paragraphs>
  <TotalTime>4</TotalTime>
  <ScaleCrop>false</ScaleCrop>
  <LinksUpToDate>false</LinksUpToDate>
  <CharactersWithSpaces>5006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2022-08-09T00:57:00Z</dcterms:created>
  <dc:creator>叶耿</dc:creator>
  <cp:lastModifiedBy>邓霄</cp:lastModifiedBy>
  <cp:lastPrinted>2016-04-29T02:57:00Z</cp:lastPrinted>
  <dcterms:modified xsi:type="dcterms:W3CDTF">2024-08-19T11:16:49Z</dcterms:modified>
  <dc:title>综合数据网管理平台数据质量治理</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18425B19ED0D4F8C8FCAECF6D834B2D4</vt:lpwstr>
  </property>
</Properties>
</file>