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spacing w:line="360" w:lineRule="auto"/>
        <w:jc w:val="center"/>
        <w:rPr>
          <w:rFonts w:hint="eastAsia" w:eastAsia="黑体"/>
          <w:b/>
          <w:bCs/>
          <w:sz w:val="48"/>
          <w:szCs w:val="24"/>
        </w:rPr>
      </w:pPr>
    </w:p>
    <w:p>
      <w:pPr>
        <w:tabs>
          <w:tab w:val="left" w:pos="0"/>
        </w:tabs>
        <w:spacing w:line="360" w:lineRule="auto"/>
        <w:jc w:val="center"/>
        <w:rPr>
          <w:rFonts w:hint="eastAsia" w:eastAsia="黑体"/>
          <w:b/>
          <w:bCs/>
          <w:sz w:val="48"/>
          <w:szCs w:val="24"/>
        </w:rPr>
      </w:pPr>
    </w:p>
    <w:p>
      <w:pPr>
        <w:tabs>
          <w:tab w:val="left" w:pos="0"/>
        </w:tabs>
        <w:spacing w:line="360" w:lineRule="auto"/>
        <w:jc w:val="center"/>
        <w:rPr>
          <w:rFonts w:hint="eastAsia" w:eastAsia="黑体"/>
          <w:b/>
          <w:bCs/>
          <w:sz w:val="48"/>
          <w:szCs w:val="24"/>
        </w:rPr>
      </w:pPr>
    </w:p>
    <w:p>
      <w:pPr>
        <w:tabs>
          <w:tab w:val="left" w:pos="0"/>
        </w:tabs>
        <w:spacing w:line="360" w:lineRule="auto"/>
        <w:jc w:val="center"/>
        <w:rPr>
          <w:rFonts w:hint="eastAsia" w:eastAsia="黑体"/>
          <w:b/>
          <w:bCs/>
          <w:sz w:val="48"/>
          <w:szCs w:val="24"/>
        </w:rPr>
      </w:pPr>
    </w:p>
    <w:p>
      <w:pPr>
        <w:tabs>
          <w:tab w:val="left" w:pos="0"/>
        </w:tabs>
        <w:spacing w:line="360" w:lineRule="auto"/>
        <w:jc w:val="center"/>
        <w:rPr>
          <w:rFonts w:hint="eastAsia" w:eastAsia="黑体"/>
          <w:b/>
          <w:bCs/>
          <w:sz w:val="48"/>
          <w:szCs w:val="24"/>
        </w:rPr>
      </w:pPr>
      <w:r>
        <w:rPr>
          <w:rFonts w:hint="eastAsia" w:eastAsia="黑体"/>
          <w:b/>
          <w:bCs/>
          <w:sz w:val="48"/>
          <w:szCs w:val="24"/>
        </w:rPr>
        <w:t>避雷器泄漏电流</w:t>
      </w:r>
      <w:r>
        <w:rPr>
          <w:rFonts w:hint="eastAsia" w:eastAsia="黑体"/>
          <w:b/>
          <w:bCs/>
          <w:sz w:val="48"/>
          <w:szCs w:val="24"/>
          <w:lang w:val="en-US" w:eastAsia="zh-CN"/>
        </w:rPr>
        <w:t>监</w:t>
      </w:r>
      <w:r>
        <w:rPr>
          <w:rFonts w:hint="eastAsia" w:eastAsia="黑体"/>
          <w:b/>
          <w:bCs/>
          <w:sz w:val="48"/>
          <w:szCs w:val="24"/>
        </w:rPr>
        <w:t>测仪</w:t>
      </w:r>
    </w:p>
    <w:p>
      <w:pPr>
        <w:tabs>
          <w:tab w:val="left" w:pos="0"/>
        </w:tabs>
        <w:spacing w:line="360" w:lineRule="auto"/>
        <w:jc w:val="center"/>
        <w:rPr>
          <w:rFonts w:eastAsia="黑体"/>
          <w:b/>
          <w:sz w:val="48"/>
          <w:szCs w:val="24"/>
        </w:rPr>
      </w:pPr>
      <w:r>
        <w:rPr>
          <w:rFonts w:hint="eastAsia" w:eastAsia="黑体"/>
          <w:b/>
          <w:sz w:val="48"/>
          <w:szCs w:val="24"/>
        </w:rPr>
        <w:t>技术规范书</w:t>
      </w:r>
    </w:p>
    <w:p>
      <w:pPr>
        <w:ind w:firstLine="2570" w:firstLineChars="800"/>
        <w:rPr>
          <w:b/>
          <w:sz w:val="32"/>
          <w:szCs w:val="32"/>
        </w:rPr>
      </w:pPr>
    </w:p>
    <w:p>
      <w:pPr>
        <w:ind w:firstLine="2570" w:firstLineChars="800"/>
        <w:rPr>
          <w:b/>
          <w:sz w:val="32"/>
          <w:szCs w:val="32"/>
        </w:rPr>
      </w:pPr>
    </w:p>
    <w:p>
      <w:pPr>
        <w:rPr>
          <w:b/>
          <w:sz w:val="32"/>
          <w:szCs w:val="32"/>
        </w:rPr>
      </w:pPr>
    </w:p>
    <w:p>
      <w:pPr>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b/>
          <w:sz w:val="32"/>
          <w:szCs w:val="32"/>
        </w:rPr>
      </w:pPr>
    </w:p>
    <w:p>
      <w:pPr>
        <w:ind w:firstLine="2570" w:firstLineChars="800"/>
        <w:rPr>
          <w:rFonts w:hint="eastAsia"/>
          <w:b/>
          <w:sz w:val="32"/>
          <w:szCs w:val="32"/>
        </w:rPr>
      </w:pPr>
    </w:p>
    <w:p/>
    <w:p>
      <w:pPr>
        <w:ind w:firstLine="643"/>
        <w:jc w:val="center"/>
        <w:rPr>
          <w:b/>
          <w:sz w:val="32"/>
          <w:szCs w:val="32"/>
        </w:rPr>
      </w:pPr>
      <w:r>
        <w:rPr>
          <w:rFonts w:hint="eastAsia"/>
          <w:b/>
          <w:sz w:val="32"/>
          <w:szCs w:val="32"/>
        </w:rPr>
        <w:t>广西</w:t>
      </w:r>
      <w:r>
        <w:rPr>
          <w:rFonts w:hint="eastAsia"/>
          <w:b/>
          <w:sz w:val="32"/>
          <w:szCs w:val="32"/>
          <w:lang w:val="en-US" w:eastAsia="zh-CN"/>
        </w:rPr>
        <w:t>柳州</w:t>
      </w:r>
      <w:r>
        <w:rPr>
          <w:rFonts w:hint="eastAsia"/>
          <w:b/>
          <w:sz w:val="32"/>
          <w:szCs w:val="32"/>
        </w:rPr>
        <w:t>供电局</w:t>
      </w:r>
    </w:p>
    <w:p>
      <w:pPr>
        <w:ind w:firstLine="643"/>
        <w:jc w:val="center"/>
        <w:rPr>
          <w:b/>
          <w:sz w:val="32"/>
          <w:szCs w:val="32"/>
        </w:rPr>
      </w:pPr>
      <w:r>
        <w:rPr>
          <w:rFonts w:hint="eastAsia"/>
          <w:b/>
          <w:sz w:val="32"/>
          <w:szCs w:val="32"/>
          <w:lang w:val="en-US" w:eastAsia="zh-CN"/>
        </w:rPr>
        <w:t>202</w:t>
      </w:r>
      <w:r>
        <w:rPr>
          <w:rFonts w:hint="default"/>
          <w:b/>
          <w:sz w:val="32"/>
          <w:szCs w:val="32"/>
          <w:lang w:val="en-US" w:eastAsia="zh-CN"/>
        </w:rPr>
        <w:t>4</w:t>
      </w:r>
      <w:r>
        <w:rPr>
          <w:rFonts w:hint="eastAsia"/>
          <w:b/>
          <w:sz w:val="32"/>
          <w:szCs w:val="32"/>
        </w:rPr>
        <w:t>年</w:t>
      </w:r>
      <w:r>
        <w:rPr>
          <w:rFonts w:hint="eastAsia"/>
          <w:b/>
          <w:sz w:val="32"/>
          <w:szCs w:val="32"/>
          <w:lang w:val="en-US" w:eastAsia="zh-CN"/>
        </w:rPr>
        <w:t>05</w:t>
      </w:r>
      <w:r>
        <w:rPr>
          <w:rFonts w:hint="eastAsia"/>
          <w:b/>
          <w:sz w:val="32"/>
          <w:szCs w:val="32"/>
        </w:rPr>
        <w:t>月</w:t>
      </w:r>
    </w:p>
    <w:p>
      <w:pPr>
        <w:pStyle w:val="3"/>
        <w:rPr>
          <w:b/>
        </w:rPr>
      </w:pPr>
    </w:p>
    <w:p>
      <w:pPr>
        <w:spacing w:before="214"/>
        <w:ind w:left="83" w:right="81" w:firstLine="3534" w:firstLineChars="1100"/>
        <w:rPr>
          <w:b/>
          <w:sz w:val="32"/>
          <w:szCs w:val="32"/>
          <w:u w:val="single"/>
        </w:rPr>
      </w:pPr>
    </w:p>
    <w:p>
      <w:pPr>
        <w:spacing w:before="214"/>
        <w:ind w:left="83" w:right="81" w:firstLine="3534" w:firstLineChars="1100"/>
        <w:rPr>
          <w:b/>
          <w:sz w:val="32"/>
          <w:szCs w:val="32"/>
          <w:u w:val="single"/>
        </w:rPr>
      </w:pPr>
    </w:p>
    <w:p>
      <w:pPr>
        <w:spacing w:before="214"/>
        <w:ind w:left="83" w:right="81" w:firstLine="3534" w:firstLineChars="1100"/>
        <w:rPr>
          <w:b/>
          <w:sz w:val="32"/>
          <w:szCs w:val="32"/>
          <w:u w:val="single"/>
        </w:rPr>
      </w:pPr>
    </w:p>
    <w:p>
      <w:pPr>
        <w:spacing w:before="214"/>
        <w:ind w:left="83" w:right="81" w:firstLine="3534" w:firstLineChars="1100"/>
        <w:rPr>
          <w:b/>
          <w:sz w:val="32"/>
          <w:szCs w:val="32"/>
          <w:u w:val="single"/>
        </w:rPr>
      </w:pPr>
    </w:p>
    <w:p>
      <w:pPr>
        <w:spacing w:before="214"/>
        <w:ind w:left="83" w:right="81" w:firstLine="3534" w:firstLineChars="1100"/>
        <w:rPr>
          <w:b/>
          <w:sz w:val="32"/>
          <w:szCs w:val="32"/>
          <w:u w:val="single"/>
        </w:rPr>
      </w:pPr>
    </w:p>
    <w:p>
      <w:pPr>
        <w:pStyle w:val="22"/>
        <w:numPr>
          <w:ilvl w:val="0"/>
          <w:numId w:val="2"/>
        </w:numPr>
        <w:tabs>
          <w:tab w:val="left" w:pos="424"/>
        </w:tabs>
        <w:spacing w:before="76"/>
        <w:rPr>
          <w:sz w:val="21"/>
          <w:szCs w:val="21"/>
        </w:rPr>
      </w:pPr>
      <w:r>
        <w:rPr>
          <w:rFonts w:hint="eastAsia"/>
          <w:sz w:val="21"/>
          <w:szCs w:val="21"/>
        </w:rPr>
        <w:t>总则</w:t>
      </w:r>
    </w:p>
    <w:p>
      <w:pPr>
        <w:pStyle w:val="3"/>
      </w:pPr>
    </w:p>
    <w:p>
      <w:pPr>
        <w:pStyle w:val="22"/>
        <w:numPr>
          <w:ilvl w:val="1"/>
          <w:numId w:val="2"/>
        </w:numPr>
        <w:tabs>
          <w:tab w:val="left" w:pos="580"/>
        </w:tabs>
        <w:rPr>
          <w:sz w:val="21"/>
          <w:szCs w:val="21"/>
        </w:rPr>
      </w:pPr>
      <w:r>
        <w:rPr>
          <w:rFonts w:hint="eastAsia"/>
          <w:sz w:val="21"/>
          <w:szCs w:val="21"/>
        </w:rPr>
        <w:t>一般规定</w:t>
      </w:r>
    </w:p>
    <w:p>
      <w:pPr>
        <w:pStyle w:val="3"/>
        <w:spacing w:before="10"/>
      </w:pPr>
    </w:p>
    <w:p>
      <w:pPr>
        <w:pStyle w:val="22"/>
        <w:numPr>
          <w:ilvl w:val="2"/>
          <w:numId w:val="2"/>
        </w:numPr>
        <w:tabs>
          <w:tab w:val="left" w:pos="739"/>
        </w:tabs>
        <w:rPr>
          <w:sz w:val="21"/>
          <w:szCs w:val="21"/>
        </w:rPr>
      </w:pPr>
      <w:r>
        <w:rPr>
          <w:sz w:val="21"/>
          <w:szCs w:val="21"/>
        </w:rPr>
        <w:t>投标人应具备招标公告所要求的资质，具体资质要求详见招标文件的商务部分。</w:t>
      </w:r>
    </w:p>
    <w:p>
      <w:pPr>
        <w:pStyle w:val="22"/>
        <w:numPr>
          <w:ilvl w:val="2"/>
          <w:numId w:val="2"/>
        </w:numPr>
        <w:tabs>
          <w:tab w:val="left" w:pos="741"/>
        </w:tabs>
        <w:spacing w:before="43" w:line="278" w:lineRule="auto"/>
        <w:ind w:left="212" w:right="213" w:firstLine="0"/>
        <w:rPr>
          <w:sz w:val="21"/>
          <w:szCs w:val="21"/>
        </w:rPr>
      </w:pPr>
      <w:r>
        <w:rPr>
          <w:sz w:val="21"/>
          <w:szCs w:val="21"/>
        </w:rPr>
        <w:t>投标人须仔细阅读本技术规范阐述的全部条款。投标人提供的产品，应符合招标文件所规定的各项要求。</w:t>
      </w:r>
    </w:p>
    <w:p>
      <w:pPr>
        <w:pStyle w:val="22"/>
        <w:numPr>
          <w:ilvl w:val="2"/>
          <w:numId w:val="2"/>
        </w:numPr>
        <w:tabs>
          <w:tab w:val="left" w:pos="741"/>
        </w:tabs>
        <w:spacing w:line="278" w:lineRule="auto"/>
        <w:ind w:left="212" w:right="213" w:firstLine="0"/>
        <w:jc w:val="both"/>
        <w:rPr>
          <w:sz w:val="21"/>
          <w:szCs w:val="21"/>
        </w:rPr>
      </w:pPr>
      <w:r>
        <w:rPr>
          <w:sz w:val="21"/>
          <w:szCs w:val="21"/>
        </w:rPr>
        <w:t>本招标文件提出的是最低限度的技术要求，并未对一切技术细节做出规定，也未充分引述有关标准和规范的条文，投标人应提供符合本招标文件引用标准的最新版本标准和技术要求的全新产品，如果所引   用的标准之间不一致或本招标文件所使用的标准与投标人所执行的标准不一致时，按要求较高的标准执   行。</w:t>
      </w:r>
    </w:p>
    <w:p>
      <w:pPr>
        <w:pStyle w:val="22"/>
        <w:numPr>
          <w:ilvl w:val="2"/>
          <w:numId w:val="2"/>
        </w:numPr>
        <w:tabs>
          <w:tab w:val="left" w:pos="741"/>
        </w:tabs>
        <w:spacing w:line="278" w:lineRule="auto"/>
        <w:ind w:left="212" w:right="192" w:firstLine="0"/>
        <w:jc w:val="both"/>
        <w:rPr>
          <w:sz w:val="21"/>
          <w:szCs w:val="21"/>
        </w:rPr>
      </w:pPr>
      <w:r>
        <w:rPr>
          <w:sz w:val="21"/>
          <w:szCs w:val="21"/>
        </w:rPr>
        <w:t>本招标文件提出了对产品技术上的规范和说明。如果投标人没有以书面形式对本招标文件的条文提出差异，则意味着投标人提供的产品完全符合本招标文件的要求。如有与本招标文件要求不一致的地方，   必须逐项在“技术差异表”中列出。</w:t>
      </w:r>
    </w:p>
    <w:p>
      <w:pPr>
        <w:pStyle w:val="22"/>
        <w:numPr>
          <w:ilvl w:val="2"/>
          <w:numId w:val="2"/>
        </w:numPr>
        <w:tabs>
          <w:tab w:val="left" w:pos="741"/>
        </w:tabs>
        <w:spacing w:line="278" w:lineRule="auto"/>
        <w:ind w:left="212" w:right="213" w:firstLine="0"/>
        <w:rPr>
          <w:sz w:val="21"/>
          <w:szCs w:val="21"/>
        </w:rPr>
      </w:pPr>
      <w:r>
        <w:rPr>
          <w:sz w:val="21"/>
          <w:szCs w:val="21"/>
        </w:rPr>
        <w:t>本招标文件将作为订货合同的附件，与合同具有同等的法律效力。本招标文件未尽事宜，由合同签约双方在合同谈判时协商确定。</w:t>
      </w:r>
    </w:p>
    <w:p>
      <w:pPr>
        <w:pStyle w:val="22"/>
        <w:numPr>
          <w:ilvl w:val="2"/>
          <w:numId w:val="2"/>
        </w:numPr>
        <w:tabs>
          <w:tab w:val="left" w:pos="739"/>
        </w:tabs>
        <w:spacing w:line="269" w:lineRule="exact"/>
        <w:rPr>
          <w:sz w:val="21"/>
          <w:szCs w:val="21"/>
        </w:rPr>
      </w:pPr>
      <w:r>
        <w:rPr>
          <w:sz w:val="21"/>
          <w:szCs w:val="21"/>
        </w:rPr>
        <w:t>本招标文件中涉及有关商务方面的内容，如与招标文件的商务部分有矛盾时，以商务部分为准。</w:t>
      </w:r>
    </w:p>
    <w:p>
      <w:pPr>
        <w:pStyle w:val="3"/>
        <w:spacing w:before="6"/>
      </w:pPr>
    </w:p>
    <w:p>
      <w:pPr>
        <w:pStyle w:val="22"/>
        <w:numPr>
          <w:ilvl w:val="1"/>
          <w:numId w:val="3"/>
        </w:numPr>
        <w:tabs>
          <w:tab w:val="left" w:pos="580"/>
        </w:tabs>
        <w:spacing w:before="1"/>
        <w:rPr>
          <w:sz w:val="21"/>
          <w:szCs w:val="21"/>
        </w:rPr>
      </w:pPr>
      <w:r>
        <w:rPr>
          <w:rFonts w:hint="eastAsia"/>
          <w:sz w:val="21"/>
          <w:szCs w:val="21"/>
        </w:rPr>
        <w:t>投标人应提供的资格文件</w:t>
      </w:r>
    </w:p>
    <w:p>
      <w:pPr>
        <w:pStyle w:val="3"/>
        <w:spacing w:before="7"/>
      </w:pPr>
    </w:p>
    <w:p>
      <w:pPr>
        <w:pStyle w:val="3"/>
        <w:spacing w:line="278" w:lineRule="auto"/>
        <w:ind w:left="212" w:right="141" w:firstLine="420"/>
      </w:pPr>
      <w:r>
        <w:t>投标人应按以下内容和顺序提供详实投标资料。如果以下资质不满足要求、投标资料不详实、严重漏   项将导致废标：</w:t>
      </w:r>
    </w:p>
    <w:p>
      <w:pPr>
        <w:pStyle w:val="22"/>
        <w:numPr>
          <w:ilvl w:val="2"/>
          <w:numId w:val="3"/>
        </w:numPr>
        <w:tabs>
          <w:tab w:val="left" w:pos="949"/>
        </w:tabs>
        <w:spacing w:line="269" w:lineRule="exact"/>
        <w:rPr>
          <w:sz w:val="21"/>
          <w:szCs w:val="21"/>
        </w:rPr>
      </w:pPr>
      <w:r>
        <w:rPr>
          <w:sz w:val="21"/>
          <w:szCs w:val="21"/>
        </w:rPr>
        <w:t>投标产品应具备国网计量中心出具的检验报告</w:t>
      </w:r>
    </w:p>
    <w:p>
      <w:pPr>
        <w:pStyle w:val="3"/>
        <w:spacing w:before="6"/>
      </w:pPr>
      <w:bookmarkStart w:id="0" w:name="_GoBack"/>
      <w:bookmarkEnd w:id="0"/>
    </w:p>
    <w:p>
      <w:pPr>
        <w:pStyle w:val="22"/>
        <w:numPr>
          <w:ilvl w:val="1"/>
          <w:numId w:val="3"/>
        </w:numPr>
        <w:tabs>
          <w:tab w:val="left" w:pos="580"/>
        </w:tabs>
        <w:jc w:val="both"/>
        <w:rPr>
          <w:sz w:val="21"/>
          <w:szCs w:val="21"/>
        </w:rPr>
      </w:pPr>
      <w:r>
        <w:rPr>
          <w:rFonts w:hint="eastAsia"/>
          <w:sz w:val="21"/>
          <w:szCs w:val="21"/>
        </w:rPr>
        <w:t>设备交付时应提供的技术资料</w:t>
      </w:r>
    </w:p>
    <w:p>
      <w:pPr>
        <w:pStyle w:val="3"/>
        <w:spacing w:before="7"/>
      </w:pPr>
    </w:p>
    <w:p>
      <w:pPr>
        <w:pStyle w:val="22"/>
        <w:numPr>
          <w:ilvl w:val="0"/>
          <w:numId w:val="4"/>
        </w:numPr>
        <w:tabs>
          <w:tab w:val="left" w:pos="1142"/>
        </w:tabs>
        <w:ind w:hanging="717"/>
        <w:rPr>
          <w:sz w:val="21"/>
          <w:szCs w:val="21"/>
        </w:rPr>
      </w:pPr>
      <w:r>
        <w:rPr>
          <w:sz w:val="21"/>
          <w:szCs w:val="21"/>
        </w:rPr>
        <w:t>产品合格证；</w:t>
      </w:r>
    </w:p>
    <w:p>
      <w:pPr>
        <w:pStyle w:val="22"/>
        <w:numPr>
          <w:ilvl w:val="0"/>
          <w:numId w:val="4"/>
        </w:numPr>
        <w:tabs>
          <w:tab w:val="left" w:pos="1142"/>
        </w:tabs>
        <w:spacing w:before="5"/>
        <w:ind w:hanging="717"/>
        <w:rPr>
          <w:sz w:val="21"/>
          <w:szCs w:val="21"/>
        </w:rPr>
      </w:pPr>
      <w:r>
        <w:rPr>
          <w:sz w:val="21"/>
          <w:szCs w:val="21"/>
        </w:rPr>
        <w:t>国家权威机构出具的产品检定/检测证书或报告；</w:t>
      </w:r>
    </w:p>
    <w:p>
      <w:pPr>
        <w:pStyle w:val="22"/>
        <w:numPr>
          <w:ilvl w:val="0"/>
          <w:numId w:val="4"/>
        </w:numPr>
        <w:tabs>
          <w:tab w:val="left" w:pos="1142"/>
        </w:tabs>
        <w:spacing w:before="2"/>
        <w:ind w:hanging="717"/>
        <w:rPr>
          <w:sz w:val="21"/>
          <w:szCs w:val="21"/>
        </w:rPr>
      </w:pPr>
      <w:r>
        <w:rPr>
          <w:sz w:val="21"/>
          <w:szCs w:val="21"/>
        </w:rPr>
        <w:t>产品出厂检验/测试报告；</w:t>
      </w:r>
    </w:p>
    <w:p>
      <w:pPr>
        <w:pStyle w:val="22"/>
        <w:numPr>
          <w:ilvl w:val="0"/>
          <w:numId w:val="4"/>
        </w:numPr>
        <w:tabs>
          <w:tab w:val="left" w:pos="1142"/>
        </w:tabs>
        <w:spacing w:before="4" w:line="242" w:lineRule="auto"/>
        <w:ind w:left="1144" w:right="212" w:hanging="720"/>
        <w:rPr>
          <w:sz w:val="21"/>
          <w:szCs w:val="21"/>
        </w:rPr>
      </w:pPr>
      <w:r>
        <w:rPr>
          <w:sz w:val="21"/>
          <w:szCs w:val="21"/>
        </w:rPr>
        <w:t>正确完整的产品以及各试验仪器设备的（包括进口产品）中文技术手册或使用说明书 1 份（含电子版）；</w:t>
      </w:r>
    </w:p>
    <w:p>
      <w:pPr>
        <w:pStyle w:val="22"/>
        <w:numPr>
          <w:ilvl w:val="0"/>
          <w:numId w:val="4"/>
        </w:numPr>
        <w:tabs>
          <w:tab w:val="left" w:pos="1142"/>
        </w:tabs>
        <w:spacing w:line="268" w:lineRule="exact"/>
        <w:ind w:hanging="717"/>
        <w:rPr>
          <w:sz w:val="21"/>
          <w:szCs w:val="21"/>
        </w:rPr>
      </w:pPr>
      <w:r>
        <w:rPr>
          <w:sz w:val="21"/>
          <w:szCs w:val="21"/>
        </w:rPr>
        <w:t>产品软件光盘（若有）和使用说明书一份（纸版或光盘）；</w:t>
      </w:r>
    </w:p>
    <w:p>
      <w:pPr>
        <w:pStyle w:val="22"/>
        <w:numPr>
          <w:ilvl w:val="0"/>
          <w:numId w:val="4"/>
        </w:numPr>
        <w:tabs>
          <w:tab w:val="left" w:pos="1142"/>
        </w:tabs>
        <w:spacing w:before="5"/>
        <w:ind w:hanging="717"/>
        <w:rPr>
          <w:sz w:val="21"/>
          <w:szCs w:val="21"/>
        </w:rPr>
      </w:pPr>
      <w:r>
        <w:rPr>
          <w:sz w:val="21"/>
          <w:szCs w:val="21"/>
        </w:rPr>
        <w:t>产品装箱清单一份；</w:t>
      </w:r>
    </w:p>
    <w:p>
      <w:pPr>
        <w:pStyle w:val="22"/>
        <w:numPr>
          <w:ilvl w:val="0"/>
          <w:numId w:val="4"/>
        </w:numPr>
        <w:tabs>
          <w:tab w:val="left" w:pos="1142"/>
        </w:tabs>
        <w:spacing w:before="2"/>
        <w:ind w:hanging="717"/>
        <w:rPr>
          <w:sz w:val="21"/>
          <w:szCs w:val="21"/>
        </w:rPr>
      </w:pPr>
      <w:r>
        <w:rPr>
          <w:sz w:val="21"/>
          <w:szCs w:val="21"/>
        </w:rPr>
        <w:t>产品备品、附件清单一份。</w:t>
      </w:r>
    </w:p>
    <w:p>
      <w:pPr>
        <w:pStyle w:val="3"/>
        <w:spacing w:before="7"/>
      </w:pPr>
    </w:p>
    <w:p>
      <w:pPr>
        <w:pStyle w:val="22"/>
        <w:numPr>
          <w:ilvl w:val="1"/>
          <w:numId w:val="3"/>
        </w:numPr>
        <w:tabs>
          <w:tab w:val="left" w:pos="580"/>
        </w:tabs>
        <w:spacing w:before="1"/>
        <w:jc w:val="both"/>
        <w:rPr>
          <w:sz w:val="21"/>
          <w:szCs w:val="21"/>
        </w:rPr>
      </w:pPr>
      <w:r>
        <w:rPr>
          <w:rFonts w:hint="eastAsia"/>
          <w:sz w:val="21"/>
          <w:szCs w:val="21"/>
        </w:rPr>
        <w:t>标准和规范</w:t>
      </w:r>
    </w:p>
    <w:p>
      <w:pPr>
        <w:pStyle w:val="3"/>
        <w:spacing w:before="7"/>
      </w:pPr>
    </w:p>
    <w:p>
      <w:pPr>
        <w:pStyle w:val="3"/>
        <w:spacing w:line="278" w:lineRule="auto"/>
        <w:ind w:left="212" w:right="215" w:firstLine="420"/>
      </w:pPr>
      <w:r>
        <w:t>除采购标准规范和图纸中要求的技术条件外，卖方还将再次确认下表标准的最新版本（以文字形式通知买方），并遵照最新标准要求执行，并将最新标准通知买方。</w:t>
      </w:r>
    </w:p>
    <w:p>
      <w:pPr>
        <w:pStyle w:val="3"/>
        <w:spacing w:before="8"/>
      </w:pPr>
    </w:p>
    <w:p>
      <w:pPr>
        <w:pStyle w:val="3"/>
        <w:spacing w:before="8"/>
      </w:pPr>
    </w:p>
    <w:tbl>
      <w:tblPr>
        <w:tblStyle w:val="9"/>
        <w:tblW w:w="9431" w:type="dxa"/>
        <w:tblInd w:w="32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598"/>
        <w:gridCol w:w="853"/>
        <w:gridCol w:w="450"/>
        <w:gridCol w:w="853"/>
        <w:gridCol w:w="2977"/>
        <w:gridCol w:w="360"/>
        <w:gridCol w:w="360"/>
        <w:gridCol w:w="29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5" w:hRule="atLeast"/>
        </w:trPr>
        <w:tc>
          <w:tcPr>
            <w:tcW w:w="598" w:type="dxa"/>
            <w:tcBorders>
              <w:right w:val="single" w:color="000000" w:sz="4" w:space="0"/>
            </w:tcBorders>
          </w:tcPr>
          <w:p>
            <w:pPr>
              <w:pStyle w:val="23"/>
              <w:spacing w:before="62"/>
              <w:ind w:left="118"/>
              <w:rPr>
                <w:sz w:val="21"/>
                <w:szCs w:val="21"/>
              </w:rPr>
            </w:pPr>
            <w:r>
              <w:rPr>
                <w:sz w:val="21"/>
                <w:szCs w:val="21"/>
              </w:rPr>
              <w:t>序号</w:t>
            </w:r>
          </w:p>
        </w:tc>
        <w:tc>
          <w:tcPr>
            <w:tcW w:w="853" w:type="dxa"/>
            <w:tcBorders>
              <w:left w:val="single" w:color="000000" w:sz="4" w:space="0"/>
              <w:right w:val="nil"/>
            </w:tcBorders>
          </w:tcPr>
          <w:p>
            <w:pPr>
              <w:pStyle w:val="23"/>
              <w:spacing w:before="62"/>
              <w:ind w:left="543"/>
              <w:rPr>
                <w:sz w:val="21"/>
                <w:szCs w:val="21"/>
              </w:rPr>
            </w:pPr>
            <w:r>
              <w:rPr>
                <w:sz w:val="21"/>
                <w:szCs w:val="21"/>
              </w:rPr>
              <w:t>标</w:t>
            </w:r>
          </w:p>
        </w:tc>
        <w:tc>
          <w:tcPr>
            <w:tcW w:w="450" w:type="dxa"/>
            <w:tcBorders>
              <w:left w:val="nil"/>
              <w:right w:val="nil"/>
            </w:tcBorders>
          </w:tcPr>
          <w:p>
            <w:pPr>
              <w:pStyle w:val="23"/>
              <w:spacing w:before="62"/>
              <w:ind w:left="143"/>
              <w:rPr>
                <w:sz w:val="21"/>
                <w:szCs w:val="21"/>
              </w:rPr>
            </w:pPr>
            <w:r>
              <w:rPr>
                <w:sz w:val="21"/>
                <w:szCs w:val="21"/>
              </w:rPr>
              <w:t>准</w:t>
            </w:r>
          </w:p>
        </w:tc>
        <w:tc>
          <w:tcPr>
            <w:tcW w:w="853" w:type="dxa"/>
            <w:tcBorders>
              <w:left w:val="nil"/>
              <w:right w:val="single" w:color="000000" w:sz="4" w:space="0"/>
            </w:tcBorders>
          </w:tcPr>
          <w:p>
            <w:pPr>
              <w:pStyle w:val="23"/>
              <w:spacing w:before="62"/>
              <w:ind w:left="145"/>
              <w:rPr>
                <w:sz w:val="21"/>
                <w:szCs w:val="21"/>
              </w:rPr>
            </w:pPr>
            <w:r>
              <w:rPr>
                <w:sz w:val="21"/>
                <w:szCs w:val="21"/>
              </w:rPr>
              <w:t>号</w:t>
            </w:r>
          </w:p>
        </w:tc>
        <w:tc>
          <w:tcPr>
            <w:tcW w:w="2977" w:type="dxa"/>
            <w:tcBorders>
              <w:left w:val="single" w:color="000000" w:sz="4" w:space="0"/>
              <w:right w:val="nil"/>
            </w:tcBorders>
          </w:tcPr>
          <w:p>
            <w:pPr>
              <w:pStyle w:val="23"/>
              <w:spacing w:before="62"/>
              <w:ind w:right="79"/>
              <w:jc w:val="right"/>
              <w:rPr>
                <w:sz w:val="21"/>
                <w:szCs w:val="21"/>
              </w:rPr>
            </w:pPr>
            <w:r>
              <w:rPr>
                <w:sz w:val="21"/>
                <w:szCs w:val="21"/>
              </w:rPr>
              <w:t>标</w:t>
            </w:r>
          </w:p>
        </w:tc>
        <w:tc>
          <w:tcPr>
            <w:tcW w:w="360" w:type="dxa"/>
            <w:tcBorders>
              <w:left w:val="nil"/>
              <w:right w:val="nil"/>
            </w:tcBorders>
          </w:tcPr>
          <w:p>
            <w:pPr>
              <w:pStyle w:val="23"/>
              <w:spacing w:before="62"/>
              <w:ind w:left="100"/>
              <w:rPr>
                <w:sz w:val="21"/>
                <w:szCs w:val="21"/>
              </w:rPr>
            </w:pPr>
            <w:r>
              <w:rPr>
                <w:sz w:val="21"/>
                <w:szCs w:val="21"/>
              </w:rPr>
              <w:t>准</w:t>
            </w:r>
          </w:p>
        </w:tc>
        <w:tc>
          <w:tcPr>
            <w:tcW w:w="360" w:type="dxa"/>
            <w:tcBorders>
              <w:left w:val="nil"/>
              <w:right w:val="nil"/>
            </w:tcBorders>
          </w:tcPr>
          <w:p>
            <w:pPr>
              <w:pStyle w:val="23"/>
              <w:spacing w:before="62"/>
              <w:ind w:left="99"/>
              <w:rPr>
                <w:sz w:val="21"/>
                <w:szCs w:val="21"/>
              </w:rPr>
            </w:pPr>
            <w:r>
              <w:rPr>
                <w:sz w:val="21"/>
                <w:szCs w:val="21"/>
              </w:rPr>
              <w:t>名</w:t>
            </w:r>
          </w:p>
        </w:tc>
        <w:tc>
          <w:tcPr>
            <w:tcW w:w="2980" w:type="dxa"/>
            <w:tcBorders>
              <w:left w:val="nil"/>
            </w:tcBorders>
          </w:tcPr>
          <w:p>
            <w:pPr>
              <w:pStyle w:val="23"/>
              <w:spacing w:before="62"/>
              <w:ind w:left="99"/>
              <w:rPr>
                <w:sz w:val="21"/>
                <w:szCs w:val="21"/>
              </w:rPr>
            </w:pPr>
            <w:r>
              <w:rPr>
                <w:sz w:val="21"/>
                <w:szCs w:val="21"/>
              </w:rPr>
              <w:t>称</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bottom w:val="single" w:color="000000" w:sz="4" w:space="0"/>
              <w:right w:val="single" w:color="000000" w:sz="4" w:space="0"/>
            </w:tcBorders>
          </w:tcPr>
          <w:p>
            <w:pPr>
              <w:pStyle w:val="23"/>
              <w:spacing w:before="65"/>
              <w:ind w:left="13"/>
              <w:jc w:val="center"/>
              <w:rPr>
                <w:sz w:val="21"/>
                <w:szCs w:val="21"/>
              </w:rPr>
            </w:pPr>
            <w:r>
              <w:rPr>
                <w:sz w:val="21"/>
                <w:szCs w:val="21"/>
              </w:rPr>
              <w:t>1</w:t>
            </w:r>
          </w:p>
        </w:tc>
        <w:tc>
          <w:tcPr>
            <w:tcW w:w="2156" w:type="dxa"/>
            <w:gridSpan w:val="3"/>
            <w:tcBorders>
              <w:left w:val="single" w:color="000000" w:sz="4" w:space="0"/>
              <w:bottom w:val="single" w:color="000000" w:sz="4" w:space="0"/>
              <w:right w:val="single" w:color="000000" w:sz="4" w:space="0"/>
            </w:tcBorders>
          </w:tcPr>
          <w:p>
            <w:pPr>
              <w:pStyle w:val="23"/>
              <w:spacing w:before="65"/>
              <w:ind w:left="723"/>
              <w:rPr>
                <w:sz w:val="21"/>
                <w:szCs w:val="21"/>
              </w:rPr>
            </w:pPr>
            <w:r>
              <w:rPr>
                <w:sz w:val="21"/>
                <w:szCs w:val="21"/>
              </w:rPr>
              <w:t>GB/T 191</w:t>
            </w:r>
          </w:p>
        </w:tc>
        <w:tc>
          <w:tcPr>
            <w:tcW w:w="6677" w:type="dxa"/>
            <w:gridSpan w:val="4"/>
            <w:tcBorders>
              <w:left w:val="single" w:color="000000" w:sz="4" w:space="0"/>
              <w:bottom w:val="single" w:color="000000" w:sz="4" w:space="0"/>
            </w:tcBorders>
          </w:tcPr>
          <w:p>
            <w:pPr>
              <w:pStyle w:val="23"/>
              <w:spacing w:before="65"/>
              <w:ind w:left="112"/>
              <w:rPr>
                <w:sz w:val="21"/>
                <w:szCs w:val="21"/>
              </w:rPr>
            </w:pPr>
            <w:r>
              <w:rPr>
                <w:sz w:val="21"/>
                <w:szCs w:val="21"/>
              </w:rPr>
              <w:t>包装储运图示标志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3"/>
              <w:ind w:left="13"/>
              <w:jc w:val="center"/>
              <w:rPr>
                <w:sz w:val="21"/>
                <w:szCs w:val="21"/>
              </w:rPr>
            </w:pPr>
            <w:r>
              <w:rPr>
                <w:sz w:val="21"/>
                <w:szCs w:val="21"/>
              </w:rPr>
              <w:t>2</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3"/>
              <w:ind w:left="677"/>
              <w:rPr>
                <w:sz w:val="21"/>
                <w:szCs w:val="21"/>
              </w:rPr>
            </w:pPr>
            <w:r>
              <w:rPr>
                <w:sz w:val="21"/>
                <w:szCs w:val="21"/>
              </w:rPr>
              <w:t>GB 4793.1</w:t>
            </w:r>
          </w:p>
        </w:tc>
        <w:tc>
          <w:tcPr>
            <w:tcW w:w="6677" w:type="dxa"/>
            <w:gridSpan w:val="4"/>
            <w:tcBorders>
              <w:top w:val="single" w:color="000000" w:sz="4" w:space="0"/>
              <w:left w:val="single" w:color="000000" w:sz="4" w:space="0"/>
              <w:bottom w:val="single" w:color="000000" w:sz="4" w:space="0"/>
            </w:tcBorders>
          </w:tcPr>
          <w:p>
            <w:pPr>
              <w:pStyle w:val="23"/>
              <w:spacing w:before="63"/>
              <w:ind w:left="112"/>
              <w:rPr>
                <w:sz w:val="21"/>
                <w:szCs w:val="21"/>
              </w:rPr>
            </w:pPr>
            <w:r>
              <w:rPr>
                <w:sz w:val="21"/>
                <w:szCs w:val="21"/>
              </w:rPr>
              <w:t>测量、控制和实验室用电气设备的安全要求 第 1 部分：通用要求</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2"/>
              <w:ind w:left="13"/>
              <w:jc w:val="center"/>
              <w:rPr>
                <w:sz w:val="21"/>
                <w:szCs w:val="21"/>
              </w:rPr>
            </w:pPr>
            <w:r>
              <w:rPr>
                <w:sz w:val="21"/>
                <w:szCs w:val="21"/>
              </w:rPr>
              <w:t>3</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2"/>
              <w:ind w:left="19"/>
              <w:jc w:val="center"/>
              <w:rPr>
                <w:sz w:val="21"/>
                <w:szCs w:val="21"/>
              </w:rPr>
            </w:pPr>
            <w:r>
              <w:rPr>
                <w:sz w:val="21"/>
                <w:szCs w:val="21"/>
              </w:rPr>
              <w:t>GB4208</w:t>
            </w:r>
          </w:p>
        </w:tc>
        <w:tc>
          <w:tcPr>
            <w:tcW w:w="6677" w:type="dxa"/>
            <w:gridSpan w:val="4"/>
            <w:tcBorders>
              <w:top w:val="single" w:color="000000" w:sz="4" w:space="0"/>
              <w:left w:val="single" w:color="000000" w:sz="4" w:space="0"/>
              <w:bottom w:val="single" w:color="000000" w:sz="4" w:space="0"/>
            </w:tcBorders>
          </w:tcPr>
          <w:p>
            <w:pPr>
              <w:pStyle w:val="23"/>
              <w:spacing w:before="62"/>
              <w:ind w:left="112"/>
              <w:rPr>
                <w:sz w:val="21"/>
                <w:szCs w:val="21"/>
              </w:rPr>
            </w:pPr>
            <w:r>
              <w:rPr>
                <w:sz w:val="21"/>
                <w:szCs w:val="21"/>
              </w:rPr>
              <w:t>外壳防护等级</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13"/>
              <w:jc w:val="center"/>
              <w:rPr>
                <w:sz w:val="21"/>
                <w:szCs w:val="21"/>
              </w:rPr>
            </w:pPr>
            <w:r>
              <w:rPr>
                <w:sz w:val="21"/>
                <w:szCs w:val="21"/>
              </w:rPr>
              <w:t>4</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19"/>
              <w:jc w:val="center"/>
              <w:rPr>
                <w:sz w:val="21"/>
                <w:szCs w:val="21"/>
              </w:rPr>
            </w:pPr>
            <w:r>
              <w:rPr>
                <w:sz w:val="21"/>
                <w:szCs w:val="21"/>
              </w:rPr>
              <w:t>GB191</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包装贮运标志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13"/>
              <w:jc w:val="center"/>
              <w:rPr>
                <w:sz w:val="21"/>
                <w:szCs w:val="21"/>
              </w:rPr>
            </w:pPr>
            <w:r>
              <w:rPr>
                <w:sz w:val="21"/>
                <w:szCs w:val="21"/>
              </w:rPr>
              <w:t>5</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right="339"/>
              <w:jc w:val="right"/>
              <w:rPr>
                <w:sz w:val="21"/>
                <w:szCs w:val="21"/>
              </w:rPr>
            </w:pPr>
            <w:r>
              <w:rPr>
                <w:sz w:val="21"/>
                <w:szCs w:val="21"/>
              </w:rPr>
              <w:t>Q／GDW 537—2010</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电容型设备及金属氧化物避雷器绝缘在线监测装置技术规范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13"/>
              <w:jc w:val="center"/>
              <w:rPr>
                <w:sz w:val="21"/>
                <w:szCs w:val="21"/>
              </w:rPr>
            </w:pPr>
            <w:r>
              <w:rPr>
                <w:sz w:val="21"/>
                <w:szCs w:val="21"/>
              </w:rPr>
              <w:t>6</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451"/>
              <w:rPr>
                <w:sz w:val="21"/>
                <w:szCs w:val="21"/>
              </w:rPr>
            </w:pPr>
            <w:r>
              <w:rPr>
                <w:sz w:val="21"/>
                <w:szCs w:val="21"/>
              </w:rPr>
              <w:t>Q/GDW 538-2010</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变电设备在线监测系统运行管理规范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3"/>
              <w:ind w:left="13"/>
              <w:jc w:val="center"/>
              <w:rPr>
                <w:sz w:val="21"/>
                <w:szCs w:val="21"/>
              </w:rPr>
            </w:pPr>
            <w:r>
              <w:rPr>
                <w:sz w:val="21"/>
                <w:szCs w:val="21"/>
              </w:rPr>
              <w:t>7</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3"/>
              <w:ind w:left="451"/>
              <w:rPr>
                <w:sz w:val="21"/>
                <w:szCs w:val="21"/>
              </w:rPr>
            </w:pPr>
            <w:r>
              <w:rPr>
                <w:sz w:val="21"/>
                <w:szCs w:val="21"/>
              </w:rPr>
              <w:t>Q/GDW 539-2010</w:t>
            </w:r>
          </w:p>
        </w:tc>
        <w:tc>
          <w:tcPr>
            <w:tcW w:w="6677" w:type="dxa"/>
            <w:gridSpan w:val="4"/>
            <w:tcBorders>
              <w:top w:val="single" w:color="000000" w:sz="4" w:space="0"/>
              <w:left w:val="single" w:color="000000" w:sz="4" w:space="0"/>
              <w:bottom w:val="single" w:color="000000" w:sz="4" w:space="0"/>
            </w:tcBorders>
          </w:tcPr>
          <w:p>
            <w:pPr>
              <w:pStyle w:val="23"/>
              <w:spacing w:before="63"/>
              <w:ind w:left="112"/>
              <w:rPr>
                <w:sz w:val="21"/>
                <w:szCs w:val="21"/>
              </w:rPr>
            </w:pPr>
            <w:r>
              <w:rPr>
                <w:sz w:val="21"/>
                <w:szCs w:val="21"/>
              </w:rPr>
              <w:t>变电设备在线监测系统安装验收规范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3"/>
              <w:ind w:left="13"/>
              <w:jc w:val="center"/>
              <w:rPr>
                <w:sz w:val="21"/>
                <w:szCs w:val="21"/>
              </w:rPr>
            </w:pPr>
            <w:r>
              <w:rPr>
                <w:sz w:val="21"/>
                <w:szCs w:val="21"/>
              </w:rPr>
              <w:t>8</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3"/>
              <w:ind w:left="677"/>
              <w:rPr>
                <w:sz w:val="21"/>
                <w:szCs w:val="21"/>
              </w:rPr>
            </w:pPr>
            <w:r>
              <w:rPr>
                <w:sz w:val="21"/>
                <w:szCs w:val="21"/>
              </w:rPr>
              <w:t>Q/GDW 540</w:t>
            </w:r>
          </w:p>
        </w:tc>
        <w:tc>
          <w:tcPr>
            <w:tcW w:w="6677" w:type="dxa"/>
            <w:gridSpan w:val="4"/>
            <w:tcBorders>
              <w:top w:val="single" w:color="000000" w:sz="4" w:space="0"/>
              <w:left w:val="single" w:color="000000" w:sz="4" w:space="0"/>
              <w:bottom w:val="single" w:color="000000" w:sz="4" w:space="0"/>
            </w:tcBorders>
          </w:tcPr>
          <w:p>
            <w:pPr>
              <w:pStyle w:val="23"/>
              <w:spacing w:before="63"/>
              <w:ind w:left="112"/>
              <w:rPr>
                <w:sz w:val="21"/>
                <w:szCs w:val="21"/>
              </w:rPr>
            </w:pPr>
            <w:r>
              <w:rPr>
                <w:sz w:val="21"/>
                <w:szCs w:val="21"/>
              </w:rPr>
              <w:t>变电设备在线监测装置检验规范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2"/>
              <w:ind w:left="13"/>
              <w:jc w:val="center"/>
              <w:rPr>
                <w:sz w:val="21"/>
                <w:szCs w:val="21"/>
              </w:rPr>
            </w:pPr>
            <w:r>
              <w:rPr>
                <w:sz w:val="21"/>
                <w:szCs w:val="21"/>
              </w:rPr>
              <w:t>9</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2"/>
              <w:ind w:left="677"/>
              <w:rPr>
                <w:sz w:val="21"/>
                <w:szCs w:val="21"/>
              </w:rPr>
            </w:pPr>
            <w:r>
              <w:rPr>
                <w:sz w:val="21"/>
                <w:szCs w:val="21"/>
              </w:rPr>
              <w:t>GB 6587.1</w:t>
            </w:r>
          </w:p>
        </w:tc>
        <w:tc>
          <w:tcPr>
            <w:tcW w:w="6677" w:type="dxa"/>
            <w:gridSpan w:val="4"/>
            <w:tcBorders>
              <w:top w:val="single" w:color="000000" w:sz="4" w:space="0"/>
              <w:left w:val="single" w:color="000000" w:sz="4" w:space="0"/>
              <w:bottom w:val="single" w:color="000000" w:sz="4" w:space="0"/>
            </w:tcBorders>
          </w:tcPr>
          <w:p>
            <w:pPr>
              <w:pStyle w:val="23"/>
              <w:spacing w:before="62"/>
              <w:ind w:left="112"/>
              <w:rPr>
                <w:sz w:val="21"/>
                <w:szCs w:val="21"/>
              </w:rPr>
            </w:pPr>
            <w:r>
              <w:rPr>
                <w:sz w:val="21"/>
                <w:szCs w:val="21"/>
              </w:rPr>
              <w:t>电子测量仪器 环境试验总纲</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6" w:hRule="atLeast"/>
        </w:trPr>
        <w:tc>
          <w:tcPr>
            <w:tcW w:w="598" w:type="dxa"/>
            <w:tcBorders>
              <w:top w:val="single" w:color="000000" w:sz="4" w:space="0"/>
              <w:bottom w:val="single" w:color="000000" w:sz="4" w:space="0"/>
              <w:right w:val="single" w:color="000000" w:sz="4" w:space="0"/>
            </w:tcBorders>
          </w:tcPr>
          <w:p>
            <w:pPr>
              <w:pStyle w:val="23"/>
              <w:spacing w:before="63"/>
              <w:ind w:left="96" w:right="84"/>
              <w:jc w:val="center"/>
              <w:rPr>
                <w:sz w:val="21"/>
                <w:szCs w:val="21"/>
              </w:rPr>
            </w:pPr>
            <w:r>
              <w:rPr>
                <w:sz w:val="21"/>
                <w:szCs w:val="21"/>
              </w:rPr>
              <w:t>10</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3"/>
              <w:ind w:left="677"/>
              <w:rPr>
                <w:sz w:val="21"/>
                <w:szCs w:val="21"/>
              </w:rPr>
            </w:pPr>
            <w:r>
              <w:rPr>
                <w:sz w:val="21"/>
                <w:szCs w:val="21"/>
              </w:rPr>
              <w:t>GB 6587.3</w:t>
            </w:r>
          </w:p>
        </w:tc>
        <w:tc>
          <w:tcPr>
            <w:tcW w:w="6677" w:type="dxa"/>
            <w:gridSpan w:val="4"/>
            <w:tcBorders>
              <w:top w:val="single" w:color="000000" w:sz="4" w:space="0"/>
              <w:left w:val="single" w:color="000000" w:sz="4" w:space="0"/>
              <w:bottom w:val="single" w:color="000000" w:sz="4" w:space="0"/>
            </w:tcBorders>
          </w:tcPr>
          <w:p>
            <w:pPr>
              <w:pStyle w:val="23"/>
              <w:spacing w:before="63"/>
              <w:ind w:left="112"/>
              <w:rPr>
                <w:sz w:val="21"/>
                <w:szCs w:val="21"/>
              </w:rPr>
            </w:pPr>
            <w:r>
              <w:rPr>
                <w:sz w:val="21"/>
                <w:szCs w:val="21"/>
              </w:rPr>
              <w:t>电子测量仪器 湿度试验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8" w:hRule="atLeast"/>
        </w:trPr>
        <w:tc>
          <w:tcPr>
            <w:tcW w:w="598" w:type="dxa"/>
            <w:tcBorders>
              <w:top w:val="single" w:color="000000" w:sz="4" w:space="0"/>
              <w:bottom w:val="single" w:color="000000" w:sz="4" w:space="0"/>
              <w:right w:val="single" w:color="000000" w:sz="4" w:space="0"/>
            </w:tcBorders>
          </w:tcPr>
          <w:p>
            <w:pPr>
              <w:pStyle w:val="23"/>
              <w:spacing w:before="63"/>
              <w:ind w:left="96" w:right="84"/>
              <w:jc w:val="center"/>
              <w:rPr>
                <w:sz w:val="21"/>
                <w:szCs w:val="21"/>
              </w:rPr>
            </w:pPr>
            <w:r>
              <w:rPr>
                <w:sz w:val="21"/>
                <w:szCs w:val="21"/>
              </w:rPr>
              <w:t>11</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3"/>
              <w:ind w:left="677"/>
              <w:rPr>
                <w:sz w:val="21"/>
                <w:szCs w:val="21"/>
              </w:rPr>
            </w:pPr>
            <w:r>
              <w:rPr>
                <w:sz w:val="21"/>
                <w:szCs w:val="21"/>
              </w:rPr>
              <w:t>GB 6587.5</w:t>
            </w:r>
          </w:p>
        </w:tc>
        <w:tc>
          <w:tcPr>
            <w:tcW w:w="6677" w:type="dxa"/>
            <w:gridSpan w:val="4"/>
            <w:tcBorders>
              <w:top w:val="single" w:color="000000" w:sz="4" w:space="0"/>
              <w:left w:val="single" w:color="000000" w:sz="4" w:space="0"/>
              <w:bottom w:val="single" w:color="000000" w:sz="4" w:space="0"/>
            </w:tcBorders>
          </w:tcPr>
          <w:p>
            <w:pPr>
              <w:pStyle w:val="23"/>
              <w:spacing w:before="63"/>
              <w:ind w:left="112"/>
              <w:rPr>
                <w:sz w:val="21"/>
                <w:szCs w:val="21"/>
              </w:rPr>
            </w:pPr>
            <w:r>
              <w:rPr>
                <w:sz w:val="21"/>
                <w:szCs w:val="21"/>
              </w:rPr>
              <w:t>电子测量仪器 冲击试验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6" w:hRule="atLeast"/>
        </w:trPr>
        <w:tc>
          <w:tcPr>
            <w:tcW w:w="598" w:type="dxa"/>
            <w:tcBorders>
              <w:top w:val="single" w:color="000000" w:sz="4" w:space="0"/>
              <w:bottom w:val="single" w:color="000000" w:sz="4" w:space="0"/>
              <w:right w:val="single" w:color="000000" w:sz="4" w:space="0"/>
            </w:tcBorders>
          </w:tcPr>
          <w:p>
            <w:pPr>
              <w:pStyle w:val="23"/>
              <w:spacing w:before="62"/>
              <w:ind w:left="96" w:right="84"/>
              <w:jc w:val="center"/>
              <w:rPr>
                <w:sz w:val="21"/>
                <w:szCs w:val="21"/>
              </w:rPr>
            </w:pPr>
            <w:r>
              <w:rPr>
                <w:sz w:val="21"/>
                <w:szCs w:val="21"/>
              </w:rPr>
              <w:t>12</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2"/>
              <w:ind w:left="677"/>
              <w:rPr>
                <w:sz w:val="21"/>
                <w:szCs w:val="21"/>
              </w:rPr>
            </w:pPr>
            <w:r>
              <w:rPr>
                <w:sz w:val="21"/>
                <w:szCs w:val="21"/>
              </w:rPr>
              <w:t>GB 6587.6</w:t>
            </w:r>
          </w:p>
        </w:tc>
        <w:tc>
          <w:tcPr>
            <w:tcW w:w="6677" w:type="dxa"/>
            <w:gridSpan w:val="4"/>
            <w:tcBorders>
              <w:top w:val="single" w:color="000000" w:sz="4" w:space="0"/>
              <w:left w:val="single" w:color="000000" w:sz="4" w:space="0"/>
              <w:bottom w:val="single" w:color="000000" w:sz="4" w:space="0"/>
            </w:tcBorders>
          </w:tcPr>
          <w:p>
            <w:pPr>
              <w:pStyle w:val="23"/>
              <w:spacing w:before="62"/>
              <w:ind w:left="112"/>
              <w:rPr>
                <w:sz w:val="21"/>
                <w:szCs w:val="21"/>
              </w:rPr>
            </w:pPr>
            <w:r>
              <w:rPr>
                <w:sz w:val="21"/>
                <w:szCs w:val="21"/>
              </w:rPr>
              <w:t>电子测量仪器 运输试验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8" w:hRule="atLeast"/>
        </w:trPr>
        <w:tc>
          <w:tcPr>
            <w:tcW w:w="598" w:type="dxa"/>
            <w:tcBorders>
              <w:top w:val="single" w:color="000000" w:sz="4" w:space="0"/>
              <w:bottom w:val="single" w:color="000000" w:sz="4" w:space="0"/>
              <w:right w:val="single" w:color="000000" w:sz="4" w:space="0"/>
            </w:tcBorders>
          </w:tcPr>
          <w:p>
            <w:pPr>
              <w:pStyle w:val="23"/>
              <w:spacing w:before="65"/>
              <w:ind w:left="96" w:right="84"/>
              <w:jc w:val="center"/>
              <w:rPr>
                <w:sz w:val="21"/>
                <w:szCs w:val="21"/>
              </w:rPr>
            </w:pPr>
            <w:r>
              <w:rPr>
                <w:sz w:val="21"/>
                <w:szCs w:val="21"/>
              </w:rPr>
              <w:t>13</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5"/>
              <w:ind w:left="677"/>
              <w:rPr>
                <w:sz w:val="21"/>
                <w:szCs w:val="21"/>
              </w:rPr>
            </w:pPr>
            <w:r>
              <w:rPr>
                <w:sz w:val="21"/>
                <w:szCs w:val="21"/>
              </w:rPr>
              <w:t>GB 6587.8</w:t>
            </w:r>
          </w:p>
        </w:tc>
        <w:tc>
          <w:tcPr>
            <w:tcW w:w="6677" w:type="dxa"/>
            <w:gridSpan w:val="4"/>
            <w:tcBorders>
              <w:top w:val="single" w:color="000000" w:sz="4" w:space="0"/>
              <w:left w:val="single" w:color="000000" w:sz="4" w:space="0"/>
              <w:bottom w:val="single" w:color="000000" w:sz="4" w:space="0"/>
            </w:tcBorders>
          </w:tcPr>
          <w:p>
            <w:pPr>
              <w:pStyle w:val="23"/>
              <w:spacing w:before="65"/>
              <w:ind w:left="112"/>
              <w:rPr>
                <w:sz w:val="21"/>
                <w:szCs w:val="21"/>
              </w:rPr>
            </w:pPr>
            <w:r>
              <w:rPr>
                <w:sz w:val="21"/>
                <w:szCs w:val="21"/>
              </w:rPr>
              <w:t>电子测量仪器 电源频率与电压试验</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96" w:right="84"/>
              <w:jc w:val="center"/>
              <w:rPr>
                <w:sz w:val="21"/>
                <w:szCs w:val="21"/>
              </w:rPr>
            </w:pPr>
            <w:r>
              <w:rPr>
                <w:sz w:val="21"/>
                <w:szCs w:val="21"/>
              </w:rPr>
              <w:t>14</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677"/>
              <w:rPr>
                <w:sz w:val="21"/>
                <w:szCs w:val="21"/>
              </w:rPr>
            </w:pPr>
            <w:r>
              <w:rPr>
                <w:sz w:val="21"/>
                <w:szCs w:val="21"/>
              </w:rPr>
              <w:t>GB/T 6592</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电工和电子测量设备性能表示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96" w:right="84"/>
              <w:jc w:val="center"/>
              <w:rPr>
                <w:sz w:val="21"/>
                <w:szCs w:val="21"/>
              </w:rPr>
            </w:pPr>
            <w:r>
              <w:rPr>
                <w:sz w:val="21"/>
                <w:szCs w:val="21"/>
              </w:rPr>
              <w:t>15</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677"/>
              <w:rPr>
                <w:sz w:val="21"/>
                <w:szCs w:val="21"/>
              </w:rPr>
            </w:pPr>
            <w:r>
              <w:rPr>
                <w:sz w:val="21"/>
                <w:szCs w:val="21"/>
              </w:rPr>
              <w:t>GB/T 6593</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电子测量仪器质量检验规则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112"/>
              <w:rPr>
                <w:sz w:val="21"/>
                <w:szCs w:val="21"/>
              </w:rPr>
            </w:pPr>
            <w:r>
              <w:rPr>
                <w:sz w:val="21"/>
                <w:szCs w:val="21"/>
              </w:rPr>
              <w:t>16</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112"/>
              <w:rPr>
                <w:sz w:val="21"/>
                <w:szCs w:val="21"/>
              </w:rPr>
            </w:pPr>
            <w:r>
              <w:rPr>
                <w:sz w:val="21"/>
                <w:szCs w:val="21"/>
              </w:rPr>
              <w:t>JB/T10492-2004</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交流无间隙金属氧化物避雷器用监测器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0" w:hRule="atLeast"/>
        </w:trPr>
        <w:tc>
          <w:tcPr>
            <w:tcW w:w="598" w:type="dxa"/>
            <w:tcBorders>
              <w:top w:val="single" w:color="000000" w:sz="4" w:space="0"/>
              <w:bottom w:val="single" w:color="000000" w:sz="4" w:space="0"/>
              <w:right w:val="single" w:color="000000" w:sz="4" w:space="0"/>
            </w:tcBorders>
          </w:tcPr>
          <w:p>
            <w:pPr>
              <w:pStyle w:val="23"/>
              <w:spacing w:before="64"/>
              <w:ind w:left="112"/>
              <w:rPr>
                <w:sz w:val="21"/>
                <w:szCs w:val="21"/>
              </w:rPr>
            </w:pPr>
            <w:r>
              <w:rPr>
                <w:sz w:val="21"/>
                <w:szCs w:val="21"/>
              </w:rPr>
              <w:t>17</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112"/>
              <w:rPr>
                <w:sz w:val="21"/>
                <w:szCs w:val="21"/>
              </w:rPr>
            </w:pPr>
            <w:r>
              <w:rPr>
                <w:sz w:val="21"/>
                <w:szCs w:val="21"/>
              </w:rPr>
              <w:t>GB11032-2000</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交流无间隙金属氧化物避雷器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0" w:hRule="atLeast"/>
        </w:trPr>
        <w:tc>
          <w:tcPr>
            <w:tcW w:w="598" w:type="dxa"/>
            <w:tcBorders>
              <w:top w:val="single" w:color="000000" w:sz="4" w:space="0"/>
              <w:bottom w:val="single" w:color="000000" w:sz="4" w:space="0"/>
              <w:right w:val="single" w:color="000000" w:sz="4" w:space="0"/>
            </w:tcBorders>
          </w:tcPr>
          <w:p>
            <w:pPr>
              <w:pStyle w:val="23"/>
              <w:spacing w:before="64"/>
              <w:ind w:left="112"/>
              <w:rPr>
                <w:sz w:val="21"/>
                <w:szCs w:val="21"/>
              </w:rPr>
            </w:pPr>
            <w:r>
              <w:rPr>
                <w:sz w:val="21"/>
                <w:szCs w:val="21"/>
              </w:rPr>
              <w:t>18</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112"/>
              <w:rPr>
                <w:sz w:val="21"/>
                <w:szCs w:val="21"/>
              </w:rPr>
            </w:pPr>
            <w:r>
              <w:rPr>
                <w:sz w:val="21"/>
                <w:szCs w:val="21"/>
              </w:rPr>
              <w:t>JB/T2440-1991</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避雷器用放电计数器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bottom w:val="single" w:color="000000" w:sz="4" w:space="0"/>
              <w:right w:val="single" w:color="000000" w:sz="4" w:space="0"/>
            </w:tcBorders>
          </w:tcPr>
          <w:p>
            <w:pPr>
              <w:pStyle w:val="23"/>
              <w:spacing w:before="64"/>
              <w:ind w:left="112"/>
              <w:rPr>
                <w:sz w:val="21"/>
                <w:szCs w:val="21"/>
              </w:rPr>
            </w:pPr>
            <w:r>
              <w:rPr>
                <w:sz w:val="21"/>
                <w:szCs w:val="21"/>
              </w:rPr>
              <w:t>19</w:t>
            </w:r>
          </w:p>
        </w:tc>
        <w:tc>
          <w:tcPr>
            <w:tcW w:w="2156" w:type="dxa"/>
            <w:gridSpan w:val="3"/>
            <w:tcBorders>
              <w:top w:val="single" w:color="000000" w:sz="4" w:space="0"/>
              <w:left w:val="single" w:color="000000" w:sz="4" w:space="0"/>
              <w:bottom w:val="single" w:color="000000" w:sz="4" w:space="0"/>
              <w:right w:val="single" w:color="000000" w:sz="4" w:space="0"/>
            </w:tcBorders>
          </w:tcPr>
          <w:p>
            <w:pPr>
              <w:pStyle w:val="23"/>
              <w:spacing w:before="64"/>
              <w:ind w:left="112"/>
              <w:rPr>
                <w:sz w:val="21"/>
                <w:szCs w:val="21"/>
              </w:rPr>
            </w:pPr>
            <w:r>
              <w:rPr>
                <w:sz w:val="21"/>
                <w:szCs w:val="21"/>
              </w:rPr>
              <w:t>GB50150-2006</w:t>
            </w:r>
          </w:p>
        </w:tc>
        <w:tc>
          <w:tcPr>
            <w:tcW w:w="6677" w:type="dxa"/>
            <w:gridSpan w:val="4"/>
            <w:tcBorders>
              <w:top w:val="single" w:color="000000" w:sz="4" w:space="0"/>
              <w:left w:val="single" w:color="000000" w:sz="4" w:space="0"/>
              <w:bottom w:val="single" w:color="000000" w:sz="4" w:space="0"/>
            </w:tcBorders>
          </w:tcPr>
          <w:p>
            <w:pPr>
              <w:pStyle w:val="23"/>
              <w:spacing w:before="64"/>
              <w:ind w:left="112"/>
              <w:rPr>
                <w:sz w:val="21"/>
                <w:szCs w:val="21"/>
              </w:rPr>
            </w:pPr>
            <w:r>
              <w:rPr>
                <w:sz w:val="21"/>
                <w:szCs w:val="21"/>
              </w:rPr>
              <w:t>电气装置安装工程电力设备交接试验标准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7" w:hRule="atLeast"/>
        </w:trPr>
        <w:tc>
          <w:tcPr>
            <w:tcW w:w="598" w:type="dxa"/>
            <w:tcBorders>
              <w:top w:val="single" w:color="000000" w:sz="4" w:space="0"/>
              <w:right w:val="single" w:color="000000" w:sz="4" w:space="0"/>
            </w:tcBorders>
          </w:tcPr>
          <w:p>
            <w:pPr>
              <w:pStyle w:val="23"/>
              <w:spacing w:before="64"/>
              <w:ind w:left="112"/>
              <w:rPr>
                <w:sz w:val="21"/>
                <w:szCs w:val="21"/>
              </w:rPr>
            </w:pPr>
            <w:r>
              <w:rPr>
                <w:sz w:val="21"/>
                <w:szCs w:val="21"/>
              </w:rPr>
              <w:t>20</w:t>
            </w:r>
          </w:p>
        </w:tc>
        <w:tc>
          <w:tcPr>
            <w:tcW w:w="2156" w:type="dxa"/>
            <w:gridSpan w:val="3"/>
            <w:tcBorders>
              <w:top w:val="single" w:color="000000" w:sz="4" w:space="0"/>
              <w:left w:val="single" w:color="000000" w:sz="4" w:space="0"/>
              <w:right w:val="single" w:color="000000" w:sz="4" w:space="0"/>
            </w:tcBorders>
          </w:tcPr>
          <w:p>
            <w:pPr>
              <w:pStyle w:val="23"/>
              <w:spacing w:before="64"/>
              <w:ind w:left="112"/>
              <w:rPr>
                <w:sz w:val="21"/>
                <w:szCs w:val="21"/>
              </w:rPr>
            </w:pPr>
            <w:r>
              <w:rPr>
                <w:sz w:val="21"/>
                <w:szCs w:val="21"/>
              </w:rPr>
              <w:t>JB/T10492-2004</w:t>
            </w:r>
          </w:p>
        </w:tc>
        <w:tc>
          <w:tcPr>
            <w:tcW w:w="6677" w:type="dxa"/>
            <w:gridSpan w:val="4"/>
            <w:tcBorders>
              <w:top w:val="single" w:color="000000" w:sz="4" w:space="0"/>
              <w:left w:val="single" w:color="000000" w:sz="4" w:space="0"/>
            </w:tcBorders>
          </w:tcPr>
          <w:p>
            <w:pPr>
              <w:pStyle w:val="23"/>
              <w:spacing w:before="64"/>
              <w:ind w:left="112"/>
              <w:rPr>
                <w:sz w:val="21"/>
                <w:szCs w:val="21"/>
              </w:rPr>
            </w:pPr>
            <w:r>
              <w:rPr>
                <w:sz w:val="21"/>
                <w:szCs w:val="21"/>
              </w:rPr>
              <w:t>交流无间隙金属氧化物避雷器用监测器</w:t>
            </w:r>
          </w:p>
        </w:tc>
      </w:tr>
    </w:tbl>
    <w:p>
      <w:pPr>
        <w:pStyle w:val="3"/>
        <w:spacing w:before="11"/>
      </w:pPr>
    </w:p>
    <w:p>
      <w:pPr>
        <w:pStyle w:val="3"/>
        <w:spacing w:before="70" w:line="278" w:lineRule="auto"/>
        <w:ind w:left="212" w:right="143" w:firstLine="420"/>
      </w:pPr>
      <w:r>
        <w:t>注：上述标准是招标方最低要求。除此标准以外，投标人可以推荐其他标准，但事先必须通过招标方   认可。</w:t>
      </w:r>
    </w:p>
    <w:p>
      <w:pPr>
        <w:pStyle w:val="3"/>
        <w:spacing w:before="5"/>
      </w:pPr>
    </w:p>
    <w:p>
      <w:pPr>
        <w:pStyle w:val="22"/>
        <w:numPr>
          <w:ilvl w:val="1"/>
          <w:numId w:val="3"/>
        </w:numPr>
        <w:tabs>
          <w:tab w:val="left" w:pos="530"/>
        </w:tabs>
        <w:ind w:left="529" w:hanging="317"/>
        <w:rPr>
          <w:sz w:val="21"/>
          <w:szCs w:val="21"/>
        </w:rPr>
      </w:pPr>
      <w:r>
        <w:rPr>
          <w:rFonts w:hint="eastAsia"/>
          <w:sz w:val="21"/>
          <w:szCs w:val="21"/>
        </w:rPr>
        <w:t>必须提交的技术数据和信息</w:t>
      </w:r>
    </w:p>
    <w:p>
      <w:pPr>
        <w:pStyle w:val="3"/>
        <w:spacing w:before="7"/>
      </w:pPr>
    </w:p>
    <w:p>
      <w:pPr>
        <w:pStyle w:val="22"/>
        <w:numPr>
          <w:ilvl w:val="2"/>
          <w:numId w:val="5"/>
        </w:numPr>
        <w:tabs>
          <w:tab w:val="left" w:pos="686"/>
        </w:tabs>
        <w:spacing w:line="278" w:lineRule="auto"/>
        <w:ind w:right="210" w:firstLine="0"/>
        <w:rPr>
          <w:sz w:val="21"/>
          <w:szCs w:val="21"/>
        </w:rPr>
      </w:pPr>
      <w:r>
        <w:rPr>
          <w:sz w:val="21"/>
          <w:szCs w:val="21"/>
        </w:rPr>
        <w:t>投标人提供的技术数据应为产品的性能保证数据，这些数据将作为合同的一部分，任何与这些数据的   偏差都应经过买方的同意。</w:t>
      </w:r>
    </w:p>
    <w:p>
      <w:pPr>
        <w:pStyle w:val="22"/>
        <w:numPr>
          <w:ilvl w:val="2"/>
          <w:numId w:val="5"/>
        </w:numPr>
        <w:tabs>
          <w:tab w:val="left" w:pos="739"/>
        </w:tabs>
        <w:spacing w:line="269" w:lineRule="exact"/>
        <w:ind w:left="738" w:hanging="526"/>
        <w:rPr>
          <w:sz w:val="21"/>
          <w:szCs w:val="21"/>
        </w:rPr>
      </w:pPr>
      <w:r>
        <w:rPr>
          <w:sz w:val="21"/>
          <w:szCs w:val="21"/>
        </w:rPr>
        <w:t>卖方提供产品的特性参数和其他需要提供的信息。</w:t>
      </w:r>
    </w:p>
    <w:p>
      <w:pPr>
        <w:pStyle w:val="3"/>
        <w:spacing w:before="8"/>
      </w:pPr>
    </w:p>
    <w:p>
      <w:pPr>
        <w:pStyle w:val="22"/>
        <w:numPr>
          <w:ilvl w:val="1"/>
          <w:numId w:val="6"/>
        </w:numPr>
        <w:tabs>
          <w:tab w:val="left" w:pos="530"/>
        </w:tabs>
        <w:rPr>
          <w:sz w:val="21"/>
          <w:szCs w:val="21"/>
        </w:rPr>
      </w:pPr>
      <w:r>
        <w:rPr>
          <w:rFonts w:hint="eastAsia"/>
          <w:sz w:val="21"/>
          <w:szCs w:val="21"/>
        </w:rPr>
        <w:t>外观和结构要求</w:t>
      </w:r>
    </w:p>
    <w:p>
      <w:pPr>
        <w:pStyle w:val="3"/>
        <w:spacing w:before="10"/>
      </w:pPr>
    </w:p>
    <w:p>
      <w:pPr>
        <w:pStyle w:val="22"/>
        <w:numPr>
          <w:ilvl w:val="2"/>
          <w:numId w:val="6"/>
        </w:numPr>
        <w:tabs>
          <w:tab w:val="left" w:pos="636"/>
        </w:tabs>
        <w:spacing w:line="278" w:lineRule="auto"/>
        <w:ind w:left="220" w:leftChars="0" w:right="210" w:firstLine="0" w:firstLineChars="0"/>
        <w:rPr>
          <w:sz w:val="21"/>
          <w:szCs w:val="21"/>
        </w:rPr>
      </w:pPr>
      <w:r>
        <w:rPr>
          <w:sz w:val="21"/>
          <w:szCs w:val="21"/>
        </w:rPr>
        <w:t>产品外壳应具有足够的机械强度，无凹痕﹑划伤﹑变形、缺损和开裂。零部件整体和元器件装配位   置要牢固，并实现可靠的机械和电气连接，晃动应无异常响动。</w:t>
      </w:r>
    </w:p>
    <w:p>
      <w:pPr>
        <w:pStyle w:val="22"/>
        <w:numPr>
          <w:ilvl w:val="2"/>
          <w:numId w:val="6"/>
        </w:numPr>
        <w:tabs>
          <w:tab w:val="left" w:pos="636"/>
        </w:tabs>
        <w:spacing w:line="278" w:lineRule="auto"/>
        <w:ind w:left="220" w:leftChars="0" w:right="205" w:firstLine="0" w:firstLineChars="0"/>
        <w:rPr>
          <w:sz w:val="21"/>
          <w:szCs w:val="21"/>
        </w:rPr>
      </w:pPr>
      <w:r>
        <w:rPr>
          <w:sz w:val="21"/>
          <w:szCs w:val="21"/>
        </w:rPr>
        <w:t>产品及其各种配件不应出现明显的划伤、凹陷、变形、脱漆，壳体应清洁无污迹，装饰件文字、数   字、符号标志应正确、易辨、清晰，颜色应无异常色斑、色晕、色点，图案文字丝印精细。</w:t>
      </w:r>
    </w:p>
    <w:p>
      <w:pPr>
        <w:pStyle w:val="22"/>
        <w:numPr>
          <w:ilvl w:val="2"/>
          <w:numId w:val="6"/>
        </w:numPr>
        <w:tabs>
          <w:tab w:val="left" w:pos="739"/>
        </w:tabs>
        <w:spacing w:line="269" w:lineRule="exact"/>
        <w:ind w:left="746" w:leftChars="0" w:hanging="526" w:firstLineChars="0"/>
        <w:rPr>
          <w:sz w:val="21"/>
          <w:szCs w:val="21"/>
        </w:rPr>
      </w:pPr>
      <w:r>
        <w:rPr>
          <w:sz w:val="21"/>
          <w:szCs w:val="21"/>
        </w:rPr>
        <w:t>各操作键应灵活可靠，无卡死或接触不良的现象。</w:t>
      </w:r>
    </w:p>
    <w:p>
      <w:pPr>
        <w:pStyle w:val="22"/>
        <w:numPr>
          <w:ilvl w:val="2"/>
          <w:numId w:val="6"/>
        </w:numPr>
        <w:tabs>
          <w:tab w:val="left" w:pos="636"/>
        </w:tabs>
        <w:spacing w:before="112"/>
        <w:ind w:left="643" w:leftChars="0" w:firstLineChars="0"/>
        <w:rPr>
          <w:sz w:val="21"/>
          <w:szCs w:val="21"/>
        </w:rPr>
      </w:pPr>
      <w:r>
        <w:rPr>
          <w:sz w:val="21"/>
          <w:szCs w:val="21"/>
        </w:rPr>
        <w:t>监测</w:t>
      </w:r>
      <w:r>
        <w:rPr>
          <w:rFonts w:hint="eastAsia"/>
          <w:sz w:val="21"/>
          <w:szCs w:val="21"/>
          <w:lang w:val="en-US" w:eastAsia="zh-CN"/>
        </w:rPr>
        <w:t>仪</w:t>
      </w:r>
      <w:r>
        <w:rPr>
          <w:sz w:val="21"/>
          <w:szCs w:val="21"/>
        </w:rPr>
        <w:t>外壳采用铝合金材料铸造而成，全身无一处缝隙，耐用不会锈蚀，</w:t>
      </w:r>
      <w:r>
        <w:rPr>
          <w:rFonts w:hint="eastAsia" w:cs="宋体"/>
          <w:sz w:val="21"/>
          <w:szCs w:val="21"/>
          <w:lang w:val="zh-CN" w:eastAsia="zh-CN" w:bidi="zh-CN"/>
        </w:rPr>
        <w:t>泄露电流监测量程0-10</w:t>
      </w:r>
      <w:r>
        <w:rPr>
          <w:rFonts w:hint="eastAsia" w:cs="宋体"/>
          <w:sz w:val="21"/>
          <w:szCs w:val="21"/>
          <w:lang w:val="en-US" w:eastAsia="zh-CN" w:bidi="zh-CN"/>
        </w:rPr>
        <w:t xml:space="preserve"> </w:t>
      </w:r>
      <w:r>
        <w:rPr>
          <w:rFonts w:hint="eastAsia" w:ascii="宋体" w:hAnsi="宋体" w:eastAsia="宋体" w:cs="宋体"/>
          <w:sz w:val="21"/>
          <w:szCs w:val="21"/>
          <w:lang w:val="zh-CN" w:eastAsia="zh-CN" w:bidi="zh-CN"/>
        </w:rPr>
        <w:t>mA</w:t>
      </w:r>
      <w:r>
        <w:rPr>
          <w:rFonts w:hint="eastAsia" w:cs="宋体"/>
          <w:sz w:val="21"/>
          <w:szCs w:val="21"/>
          <w:lang w:val="zh-CN" w:eastAsia="zh-CN" w:bidi="zh-CN"/>
        </w:rPr>
        <w:t>，</w:t>
      </w:r>
      <w:r>
        <w:rPr>
          <w:sz w:val="21"/>
          <w:szCs w:val="21"/>
        </w:rPr>
        <w:t>适用于</w:t>
      </w:r>
      <w:r>
        <w:rPr>
          <w:rFonts w:hint="eastAsia" w:cs="宋体"/>
          <w:sz w:val="21"/>
          <w:szCs w:val="21"/>
          <w:lang w:val="en-US" w:eastAsia="zh-CN" w:bidi="zh-CN"/>
        </w:rPr>
        <w:t>500</w:t>
      </w:r>
      <w:r>
        <w:rPr>
          <w:rFonts w:hint="eastAsia" w:ascii="宋体" w:hAnsi="宋体" w:eastAsia="宋体" w:cs="宋体"/>
          <w:sz w:val="21"/>
          <w:szCs w:val="21"/>
          <w:lang w:val="zh-CN" w:eastAsia="zh-CN" w:bidi="zh-CN"/>
        </w:rPr>
        <w:t>kV</w:t>
      </w:r>
      <w:r>
        <w:rPr>
          <w:rFonts w:hint="eastAsia" w:cs="宋体"/>
          <w:sz w:val="21"/>
          <w:szCs w:val="21"/>
          <w:lang w:val="en-US" w:eastAsia="zh-CN" w:bidi="zh-CN"/>
        </w:rPr>
        <w:t>避雷器</w:t>
      </w:r>
      <w:r>
        <w:rPr>
          <w:sz w:val="21"/>
          <w:szCs w:val="21"/>
        </w:rPr>
        <w:t>。</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的结构是采用圆形设计，利于密封。</w:t>
      </w:r>
    </w:p>
    <w:p>
      <w:pPr>
        <w:pStyle w:val="22"/>
        <w:numPr>
          <w:ilvl w:val="2"/>
          <w:numId w:val="6"/>
        </w:numPr>
        <w:tabs>
          <w:tab w:val="left" w:pos="636"/>
        </w:tabs>
        <w:spacing w:before="129"/>
        <w:ind w:left="643" w:leftChars="0" w:firstLineChars="0"/>
        <w:rPr>
          <w:sz w:val="21"/>
          <w:szCs w:val="21"/>
        </w:rPr>
      </w:pPr>
      <w:r>
        <w:rPr>
          <w:rFonts w:hint="eastAsia"/>
          <w:sz w:val="21"/>
          <w:szCs w:val="21"/>
        </w:rPr>
        <w:t>具有</w:t>
      </w:r>
      <w:r>
        <w:rPr>
          <w:rFonts w:hint="default"/>
          <w:sz w:val="21"/>
          <w:szCs w:val="21"/>
          <w:lang w:val="en-US"/>
        </w:rPr>
        <w:t>2</w:t>
      </w:r>
      <w:r>
        <w:rPr>
          <w:rFonts w:hint="eastAsia"/>
          <w:sz w:val="21"/>
          <w:szCs w:val="21"/>
        </w:rPr>
        <w:t>个安装孔和1个接地端。</w:t>
      </w:r>
    </w:p>
    <w:p>
      <w:pPr>
        <w:pStyle w:val="22"/>
        <w:numPr>
          <w:ilvl w:val="2"/>
          <w:numId w:val="6"/>
        </w:numPr>
        <w:tabs>
          <w:tab w:val="left" w:pos="636"/>
        </w:tabs>
        <w:spacing w:before="129"/>
        <w:ind w:left="643" w:leftChars="0" w:firstLineChars="0"/>
        <w:rPr>
          <w:sz w:val="21"/>
          <w:szCs w:val="21"/>
        </w:rPr>
      </w:pPr>
      <w:r>
        <w:rPr>
          <w:rFonts w:hint="eastAsia"/>
          <w:sz w:val="21"/>
          <w:szCs w:val="21"/>
          <w:lang w:eastAsia="zh-CN"/>
        </w:rPr>
        <w:t>监测仪</w:t>
      </w:r>
      <w:r>
        <w:rPr>
          <w:sz w:val="21"/>
          <w:szCs w:val="21"/>
        </w:rPr>
        <w:t>的密封性能非常好，</w:t>
      </w:r>
      <w:r>
        <w:rPr>
          <w:rFonts w:hint="eastAsia"/>
          <w:sz w:val="21"/>
          <w:szCs w:val="21"/>
          <w:lang w:eastAsia="zh-CN"/>
        </w:rPr>
        <w:t>监测仪</w:t>
      </w:r>
      <w:r>
        <w:rPr>
          <w:sz w:val="21"/>
          <w:szCs w:val="21"/>
        </w:rPr>
        <w:t>采用双层密封圈密封，外层采用不锈钢圈密封；内层采用进口硅橡胶圈密封而成的（硅橡胶圈：耐水防潮性好，在-60-200℃保持良好的性能，耐酸、碱和多种化学药品，   常年不变质）</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放入水中 30 天不会有进水现象。</w:t>
      </w:r>
    </w:p>
    <w:p>
      <w:pPr>
        <w:pStyle w:val="22"/>
        <w:numPr>
          <w:ilvl w:val="2"/>
          <w:numId w:val="6"/>
        </w:numPr>
        <w:tabs>
          <w:tab w:val="left" w:pos="636"/>
        </w:tabs>
        <w:spacing w:before="132"/>
        <w:ind w:left="643" w:leftChars="0" w:firstLineChars="0"/>
        <w:rPr>
          <w:sz w:val="21"/>
          <w:szCs w:val="21"/>
        </w:rPr>
      </w:pPr>
      <w:r>
        <w:rPr>
          <w:sz w:val="21"/>
          <w:szCs w:val="21"/>
        </w:rPr>
        <w:t>泄流电流表均为彩色刻度，且把避雷器的正常泄流电流、告警泄流电流用了不同颜色刻度标出，便   于观察。</w:t>
      </w:r>
    </w:p>
    <w:p>
      <w:pPr>
        <w:pStyle w:val="22"/>
        <w:numPr>
          <w:ilvl w:val="2"/>
          <w:numId w:val="6"/>
        </w:numPr>
        <w:tabs>
          <w:tab w:val="left" w:pos="636"/>
        </w:tabs>
        <w:spacing w:before="132"/>
        <w:ind w:left="643" w:leftChars="0" w:firstLineChars="0"/>
        <w:rPr>
          <w:sz w:val="21"/>
          <w:szCs w:val="21"/>
        </w:rPr>
      </w:pPr>
      <w:r>
        <w:rPr>
          <w:sz w:val="21"/>
          <w:szCs w:val="21"/>
        </w:rPr>
        <w:t>装有避雷器泄流电流告警灯（和泄流电流告警指示表为双重显示，也就是用 2 种方式来显示避雷器的泄流电流告警，若有一种方式出现故障另一种会正常运行，起到双保险）同时还带有设备带电灯，便于巡视。</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的放电计数器采用数码指示，可以归零，便于读取。</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的上端安装孔接口是采用模具铸造成的具有 1.5 厘米厚度的铝合金，此接头牢固，安装方便。</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的表盘是圆形大屏幕设计，便于观察。</w:t>
      </w:r>
    </w:p>
    <w:p>
      <w:pPr>
        <w:pStyle w:val="22"/>
        <w:numPr>
          <w:ilvl w:val="2"/>
          <w:numId w:val="6"/>
        </w:numPr>
        <w:tabs>
          <w:tab w:val="left" w:pos="636"/>
        </w:tabs>
        <w:spacing w:before="132"/>
        <w:ind w:left="643" w:leftChars="0" w:firstLineChars="0"/>
        <w:rPr>
          <w:sz w:val="21"/>
          <w:szCs w:val="21"/>
        </w:rPr>
      </w:pPr>
      <w:r>
        <w:rPr>
          <w:rFonts w:hint="eastAsia"/>
          <w:sz w:val="21"/>
          <w:szCs w:val="21"/>
          <w:lang w:eastAsia="zh-CN"/>
        </w:rPr>
        <w:t>监测仪</w:t>
      </w:r>
      <w:r>
        <w:rPr>
          <w:sz w:val="21"/>
          <w:szCs w:val="21"/>
        </w:rPr>
        <w:t>质保期为</w:t>
      </w:r>
      <w:r>
        <w:rPr>
          <w:rFonts w:hint="eastAsia"/>
          <w:sz w:val="21"/>
          <w:szCs w:val="21"/>
        </w:rPr>
        <w:t>8</w:t>
      </w:r>
      <w:r>
        <w:rPr>
          <w:sz w:val="21"/>
          <w:szCs w:val="21"/>
        </w:rPr>
        <w:t>年（若质保期内出现任何非人为问题，免费更换，质保期重新计算）</w:t>
      </w:r>
    </w:p>
    <w:p>
      <w:pPr>
        <w:pStyle w:val="22"/>
        <w:numPr>
          <w:ilvl w:val="2"/>
          <w:numId w:val="6"/>
        </w:numPr>
        <w:tabs>
          <w:tab w:val="left" w:pos="636"/>
        </w:tabs>
        <w:spacing w:before="132"/>
        <w:ind w:left="643" w:leftChars="0" w:firstLineChars="0"/>
        <w:rPr>
          <w:sz w:val="21"/>
          <w:szCs w:val="21"/>
        </w:rPr>
      </w:pPr>
      <w:r>
        <w:rPr>
          <w:sz w:val="21"/>
          <w:szCs w:val="21"/>
        </w:rPr>
        <w:t>设备标志：产品上应有铭牌，铭牌上应有下列标志：</w:t>
      </w:r>
    </w:p>
    <w:p>
      <w:pPr>
        <w:pStyle w:val="22"/>
        <w:numPr>
          <w:ilvl w:val="2"/>
          <w:numId w:val="6"/>
        </w:numPr>
        <w:tabs>
          <w:tab w:val="left" w:pos="636"/>
        </w:tabs>
        <w:spacing w:before="132"/>
        <w:ind w:left="643" w:leftChars="0" w:firstLineChars="0"/>
        <w:rPr>
          <w:sz w:val="21"/>
          <w:szCs w:val="21"/>
        </w:rPr>
      </w:pPr>
      <w:r>
        <w:rPr>
          <w:sz w:val="21"/>
          <w:szCs w:val="21"/>
        </w:rPr>
        <w:t>厂名；</w:t>
      </w:r>
    </w:p>
    <w:p>
      <w:pPr>
        <w:pStyle w:val="22"/>
        <w:numPr>
          <w:ilvl w:val="2"/>
          <w:numId w:val="6"/>
        </w:numPr>
        <w:tabs>
          <w:tab w:val="left" w:pos="636"/>
        </w:tabs>
        <w:spacing w:before="132"/>
        <w:ind w:left="643" w:leftChars="0" w:firstLineChars="0"/>
        <w:rPr>
          <w:sz w:val="21"/>
          <w:szCs w:val="21"/>
        </w:rPr>
      </w:pPr>
      <w:r>
        <w:rPr>
          <w:sz w:val="21"/>
          <w:szCs w:val="21"/>
        </w:rPr>
        <w:t>设备的名称，型号；</w:t>
      </w:r>
    </w:p>
    <w:p>
      <w:pPr>
        <w:pStyle w:val="22"/>
        <w:numPr>
          <w:ilvl w:val="2"/>
          <w:numId w:val="6"/>
        </w:numPr>
        <w:tabs>
          <w:tab w:val="left" w:pos="636"/>
        </w:tabs>
        <w:spacing w:before="132"/>
        <w:ind w:left="643" w:leftChars="0" w:firstLineChars="0"/>
        <w:rPr>
          <w:sz w:val="21"/>
          <w:szCs w:val="21"/>
        </w:rPr>
      </w:pPr>
      <w:r>
        <w:rPr>
          <w:sz w:val="21"/>
          <w:szCs w:val="21"/>
        </w:rPr>
        <w:t>制造日期；</w:t>
      </w:r>
    </w:p>
    <w:p>
      <w:pPr>
        <w:pStyle w:val="22"/>
        <w:numPr>
          <w:ilvl w:val="2"/>
          <w:numId w:val="6"/>
        </w:numPr>
        <w:tabs>
          <w:tab w:val="left" w:pos="636"/>
        </w:tabs>
        <w:spacing w:before="132"/>
        <w:ind w:left="643" w:leftChars="0" w:firstLineChars="0"/>
        <w:rPr>
          <w:sz w:val="21"/>
          <w:szCs w:val="21"/>
        </w:rPr>
      </w:pPr>
      <w:r>
        <w:rPr>
          <w:sz w:val="21"/>
          <w:szCs w:val="21"/>
        </w:rPr>
        <w:t>出厂编号。</w:t>
      </w:r>
    </w:p>
    <w:p>
      <w:pPr>
        <w:pStyle w:val="22"/>
        <w:numPr>
          <w:ilvl w:val="2"/>
          <w:numId w:val="6"/>
        </w:numPr>
        <w:tabs>
          <w:tab w:val="left" w:pos="636"/>
        </w:tabs>
        <w:spacing w:before="132"/>
        <w:ind w:left="643" w:leftChars="0" w:firstLineChars="0"/>
        <w:rPr>
          <w:sz w:val="21"/>
          <w:szCs w:val="21"/>
        </w:rPr>
      </w:pPr>
      <w:r>
        <w:rPr>
          <w:rFonts w:hint="eastAsia"/>
          <w:sz w:val="21"/>
          <w:szCs w:val="21"/>
        </w:rPr>
        <w:t>产品验收</w:t>
      </w:r>
    </w:p>
    <w:p>
      <w:pPr>
        <w:pStyle w:val="22"/>
        <w:numPr>
          <w:ilvl w:val="2"/>
          <w:numId w:val="6"/>
        </w:numPr>
        <w:tabs>
          <w:tab w:val="left" w:pos="636"/>
        </w:tabs>
        <w:spacing w:before="132"/>
        <w:ind w:left="643" w:leftChars="0" w:firstLineChars="0"/>
        <w:rPr>
          <w:sz w:val="21"/>
          <w:szCs w:val="21"/>
        </w:rPr>
      </w:pPr>
      <w:r>
        <w:rPr>
          <w:rFonts w:hint="eastAsia"/>
          <w:sz w:val="21"/>
          <w:szCs w:val="21"/>
        </w:rPr>
        <w:t>招标人</w:t>
      </w:r>
      <w:r>
        <w:rPr>
          <w:sz w:val="21"/>
          <w:szCs w:val="21"/>
        </w:rPr>
        <w:t>组织产品验收并出具验收意见。供应商应派出熟练的技术人员配合验收，并将验收合格的产品交付给用户。项目包括：产品的完整性、外观检查、性能检查、产品基本特性检查及现场试验检查。</w:t>
      </w:r>
    </w:p>
    <w:p>
      <w:pPr>
        <w:pStyle w:val="22"/>
        <w:numPr>
          <w:ilvl w:val="2"/>
          <w:numId w:val="7"/>
        </w:numPr>
        <w:tabs>
          <w:tab w:val="left" w:pos="739"/>
        </w:tabs>
        <w:spacing w:line="269" w:lineRule="exact"/>
        <w:ind w:left="738" w:hanging="526"/>
        <w:jc w:val="both"/>
        <w:rPr>
          <w:sz w:val="21"/>
          <w:szCs w:val="21"/>
        </w:rPr>
      </w:pPr>
      <w:r>
        <w:rPr>
          <w:sz w:val="21"/>
          <w:szCs w:val="21"/>
        </w:rPr>
        <w:t>在验收过程中发现元件、部件、插件等的损坏，供货商应负责更换。</w:t>
      </w:r>
    </w:p>
    <w:p>
      <w:pPr>
        <w:pStyle w:val="22"/>
        <w:numPr>
          <w:ilvl w:val="2"/>
          <w:numId w:val="7"/>
        </w:numPr>
        <w:tabs>
          <w:tab w:val="left" w:pos="686"/>
        </w:tabs>
        <w:spacing w:before="43"/>
        <w:ind w:left="685"/>
        <w:jc w:val="both"/>
        <w:rPr>
          <w:sz w:val="21"/>
          <w:szCs w:val="21"/>
        </w:rPr>
      </w:pPr>
      <w:r>
        <w:rPr>
          <w:sz w:val="21"/>
          <w:szCs w:val="21"/>
        </w:rPr>
        <w:t>产品现场试验验收不合格者，制造厂应免费负责更换，若现场试验检查仍不合格，买方有权退货。</w:t>
      </w:r>
    </w:p>
    <w:p>
      <w:pPr>
        <w:pStyle w:val="3"/>
        <w:spacing w:before="7"/>
      </w:pPr>
    </w:p>
    <w:p>
      <w:pPr>
        <w:pStyle w:val="22"/>
        <w:numPr>
          <w:ilvl w:val="1"/>
          <w:numId w:val="8"/>
        </w:numPr>
        <w:tabs>
          <w:tab w:val="left" w:pos="580"/>
        </w:tabs>
        <w:spacing w:before="1"/>
        <w:jc w:val="both"/>
        <w:rPr>
          <w:sz w:val="21"/>
          <w:szCs w:val="21"/>
        </w:rPr>
      </w:pPr>
      <w:r>
        <w:rPr>
          <w:rFonts w:hint="eastAsia"/>
          <w:sz w:val="21"/>
          <w:szCs w:val="21"/>
        </w:rPr>
        <w:t>技术培训</w:t>
      </w:r>
    </w:p>
    <w:p>
      <w:pPr>
        <w:pStyle w:val="3"/>
        <w:spacing w:before="7"/>
      </w:pPr>
    </w:p>
    <w:p>
      <w:pPr>
        <w:pStyle w:val="22"/>
        <w:numPr>
          <w:ilvl w:val="2"/>
          <w:numId w:val="8"/>
        </w:numPr>
        <w:tabs>
          <w:tab w:val="left" w:pos="739"/>
        </w:tabs>
        <w:jc w:val="both"/>
        <w:rPr>
          <w:sz w:val="21"/>
          <w:szCs w:val="21"/>
        </w:rPr>
      </w:pPr>
      <w:r>
        <w:rPr>
          <w:spacing w:val="-4"/>
          <w:sz w:val="21"/>
          <w:szCs w:val="21"/>
        </w:rPr>
        <w:t xml:space="preserve">交货后供方须派技术人员指导用户进行 </w:t>
      </w:r>
      <w:r>
        <w:rPr>
          <w:sz w:val="21"/>
          <w:szCs w:val="21"/>
        </w:rPr>
        <w:t>1次现场实测，以验证设备性能。</w:t>
      </w:r>
    </w:p>
    <w:p>
      <w:pPr>
        <w:pStyle w:val="22"/>
        <w:numPr>
          <w:ilvl w:val="2"/>
          <w:numId w:val="8"/>
        </w:numPr>
        <w:tabs>
          <w:tab w:val="left" w:pos="739"/>
        </w:tabs>
        <w:spacing w:before="43"/>
        <w:jc w:val="both"/>
        <w:rPr>
          <w:sz w:val="21"/>
          <w:szCs w:val="21"/>
        </w:rPr>
      </w:pPr>
      <w:r>
        <w:rPr>
          <w:sz w:val="21"/>
          <w:szCs w:val="21"/>
        </w:rPr>
        <w:t>卖方应负责对买方进行现场培训，并提供相应的培训资料。</w:t>
      </w:r>
    </w:p>
    <w:p>
      <w:pPr>
        <w:pStyle w:val="22"/>
        <w:numPr>
          <w:ilvl w:val="2"/>
          <w:numId w:val="8"/>
        </w:numPr>
        <w:tabs>
          <w:tab w:val="left" w:pos="686"/>
        </w:tabs>
        <w:spacing w:before="43"/>
        <w:ind w:left="685" w:hanging="473"/>
        <w:jc w:val="both"/>
        <w:rPr>
          <w:sz w:val="21"/>
          <w:szCs w:val="21"/>
        </w:rPr>
      </w:pPr>
      <w:r>
        <w:rPr>
          <w:sz w:val="21"/>
          <w:szCs w:val="21"/>
        </w:rPr>
        <w:t>对产品原理、安装试验和运行注意事项进行详细的技术培训。</w:t>
      </w:r>
    </w:p>
    <w:p>
      <w:pPr>
        <w:pStyle w:val="3"/>
      </w:pPr>
    </w:p>
    <w:p>
      <w:pPr>
        <w:pStyle w:val="3"/>
        <w:spacing w:before="1"/>
      </w:pPr>
    </w:p>
    <w:p>
      <w:pPr>
        <w:pStyle w:val="22"/>
        <w:numPr>
          <w:ilvl w:val="1"/>
          <w:numId w:val="9"/>
        </w:numPr>
        <w:tabs>
          <w:tab w:val="left" w:pos="580"/>
        </w:tabs>
        <w:spacing w:before="1"/>
        <w:jc w:val="both"/>
        <w:rPr>
          <w:sz w:val="21"/>
          <w:szCs w:val="21"/>
        </w:rPr>
      </w:pPr>
      <w:r>
        <w:rPr>
          <w:rFonts w:hint="eastAsia"/>
          <w:sz w:val="21"/>
          <w:szCs w:val="21"/>
        </w:rPr>
        <w:t>售后服务</w:t>
      </w:r>
    </w:p>
    <w:p>
      <w:pPr>
        <w:pStyle w:val="3"/>
        <w:spacing w:before="7"/>
      </w:pPr>
    </w:p>
    <w:p>
      <w:pPr>
        <w:pStyle w:val="22"/>
        <w:numPr>
          <w:ilvl w:val="2"/>
          <w:numId w:val="9"/>
        </w:numPr>
        <w:tabs>
          <w:tab w:val="left" w:pos="686"/>
        </w:tabs>
        <w:jc w:val="both"/>
        <w:rPr>
          <w:sz w:val="21"/>
          <w:szCs w:val="21"/>
        </w:rPr>
      </w:pPr>
      <w:r>
        <w:rPr>
          <w:sz w:val="21"/>
          <w:szCs w:val="21"/>
        </w:rPr>
        <w:t>免费质保期不低于</w:t>
      </w:r>
      <w:r>
        <w:rPr>
          <w:rFonts w:hint="eastAsia"/>
          <w:sz w:val="21"/>
          <w:szCs w:val="21"/>
          <w:lang w:val="en-US" w:eastAsia="zh-CN"/>
        </w:rPr>
        <w:t>8年</w:t>
      </w:r>
      <w:r>
        <w:rPr>
          <w:sz w:val="21"/>
          <w:szCs w:val="21"/>
        </w:rPr>
        <w:t>（质保期从产品交付日起）；</w:t>
      </w:r>
    </w:p>
    <w:p>
      <w:pPr>
        <w:pStyle w:val="22"/>
        <w:numPr>
          <w:ilvl w:val="2"/>
          <w:numId w:val="9"/>
        </w:numPr>
        <w:tabs>
          <w:tab w:val="left" w:pos="686"/>
        </w:tabs>
        <w:spacing w:before="43"/>
        <w:jc w:val="both"/>
        <w:rPr>
          <w:sz w:val="21"/>
          <w:szCs w:val="21"/>
        </w:rPr>
      </w:pPr>
      <w:r>
        <w:rPr>
          <w:sz w:val="21"/>
          <w:szCs w:val="21"/>
        </w:rPr>
        <w:t>产品终身维修；</w:t>
      </w:r>
    </w:p>
    <w:p>
      <w:pPr>
        <w:pStyle w:val="22"/>
        <w:numPr>
          <w:ilvl w:val="2"/>
          <w:numId w:val="9"/>
        </w:numPr>
        <w:tabs>
          <w:tab w:val="left" w:pos="686"/>
        </w:tabs>
        <w:spacing w:before="43"/>
        <w:jc w:val="both"/>
        <w:rPr>
          <w:sz w:val="21"/>
          <w:szCs w:val="21"/>
        </w:rPr>
      </w:pPr>
      <w:r>
        <w:rPr>
          <w:sz w:val="21"/>
          <w:szCs w:val="21"/>
        </w:rPr>
        <w:t>系统软件终身免费升级；</w:t>
      </w:r>
    </w:p>
    <w:p>
      <w:pPr>
        <w:pStyle w:val="22"/>
        <w:numPr>
          <w:ilvl w:val="2"/>
          <w:numId w:val="9"/>
        </w:numPr>
        <w:tabs>
          <w:tab w:val="left" w:pos="686"/>
        </w:tabs>
        <w:spacing w:before="43"/>
        <w:jc w:val="both"/>
        <w:rPr>
          <w:sz w:val="21"/>
          <w:szCs w:val="21"/>
        </w:rPr>
      </w:pPr>
      <w:r>
        <w:rPr>
          <w:spacing w:val="-9"/>
          <w:sz w:val="21"/>
          <w:szCs w:val="21"/>
        </w:rPr>
        <w:t xml:space="preserve">卖方必须在 </w:t>
      </w:r>
      <w:r>
        <w:rPr>
          <w:sz w:val="21"/>
          <w:szCs w:val="21"/>
        </w:rPr>
        <w:t>4小时内响应买方的技术服务要求，24小时内到达服务现场；</w:t>
      </w:r>
    </w:p>
    <w:p>
      <w:pPr>
        <w:pStyle w:val="22"/>
        <w:numPr>
          <w:ilvl w:val="2"/>
          <w:numId w:val="9"/>
        </w:numPr>
        <w:tabs>
          <w:tab w:val="left" w:pos="686"/>
        </w:tabs>
        <w:spacing w:before="43"/>
        <w:jc w:val="both"/>
        <w:rPr>
          <w:sz w:val="21"/>
          <w:szCs w:val="21"/>
        </w:rPr>
      </w:pPr>
      <w:r>
        <w:rPr>
          <w:spacing w:val="-3"/>
          <w:sz w:val="21"/>
          <w:szCs w:val="21"/>
        </w:rPr>
        <w:t xml:space="preserve">产品故障现场无法修复时，卖方应在 </w:t>
      </w:r>
      <w:r>
        <w:rPr>
          <w:sz w:val="21"/>
          <w:szCs w:val="21"/>
        </w:rPr>
        <w:t>24小时内提供备用产品，故障产品返厂维修；</w:t>
      </w:r>
    </w:p>
    <w:p>
      <w:pPr>
        <w:pStyle w:val="22"/>
        <w:numPr>
          <w:ilvl w:val="2"/>
          <w:numId w:val="9"/>
        </w:numPr>
        <w:tabs>
          <w:tab w:val="left" w:pos="686"/>
        </w:tabs>
        <w:spacing w:before="43"/>
        <w:jc w:val="both"/>
        <w:rPr>
          <w:sz w:val="21"/>
          <w:szCs w:val="21"/>
        </w:rPr>
      </w:pPr>
      <w:r>
        <w:rPr>
          <w:sz w:val="21"/>
          <w:szCs w:val="21"/>
        </w:rPr>
        <w:t>卖方长期为买方提供备件采购和供应服务</w:t>
      </w:r>
      <w:r>
        <w:rPr>
          <w:rFonts w:hint="eastAsia"/>
          <w:sz w:val="21"/>
          <w:szCs w:val="21"/>
          <w:lang w:eastAsia="zh-CN"/>
        </w:rPr>
        <w:t>：</w:t>
      </w:r>
    </w:p>
    <w:p>
      <w:pPr>
        <w:pStyle w:val="22"/>
        <w:numPr>
          <w:ilvl w:val="0"/>
          <w:numId w:val="0"/>
        </w:numPr>
        <w:tabs>
          <w:tab w:val="left" w:pos="686"/>
        </w:tabs>
        <w:spacing w:before="43"/>
        <w:ind w:left="212" w:leftChars="0"/>
        <w:jc w:val="both"/>
        <w:rPr>
          <w:sz w:val="21"/>
          <w:szCs w:val="21"/>
        </w:rPr>
      </w:pPr>
      <w:r>
        <w:rPr>
          <w:rFonts w:hint="eastAsia"/>
          <w:sz w:val="21"/>
          <w:szCs w:val="21"/>
          <w:lang w:val="en-US" w:eastAsia="zh-CN"/>
        </w:rPr>
        <w:t>1.10</w:t>
      </w:r>
    </w:p>
    <w:p>
      <w:pPr>
        <w:pStyle w:val="22"/>
        <w:numPr>
          <w:ilvl w:val="0"/>
          <w:numId w:val="0"/>
        </w:numPr>
        <w:tabs>
          <w:tab w:val="left" w:pos="530"/>
        </w:tabs>
        <w:ind w:firstLine="630" w:firstLineChars="300"/>
        <w:rPr>
          <w:rFonts w:hint="eastAsia"/>
          <w:sz w:val="21"/>
          <w:szCs w:val="21"/>
        </w:rPr>
      </w:pPr>
      <w:r>
        <w:rPr>
          <w:rFonts w:hint="eastAsia"/>
          <w:sz w:val="21"/>
          <w:szCs w:val="21"/>
        </w:rPr>
        <w:t>供货范围一览表</w:t>
      </w:r>
    </w:p>
    <w:p>
      <w:pPr>
        <w:pStyle w:val="22"/>
        <w:numPr>
          <w:ilvl w:val="0"/>
          <w:numId w:val="0"/>
        </w:numPr>
        <w:tabs>
          <w:tab w:val="left" w:pos="530"/>
        </w:tabs>
        <w:ind w:firstLine="630" w:firstLineChars="300"/>
        <w:rPr>
          <w:rFonts w:hint="eastAsia"/>
          <w:sz w:val="21"/>
          <w:szCs w:val="21"/>
        </w:rPr>
      </w:pPr>
    </w:p>
    <w:p>
      <w:pPr>
        <w:pStyle w:val="22"/>
        <w:numPr>
          <w:ilvl w:val="0"/>
          <w:numId w:val="0"/>
        </w:numPr>
        <w:tabs>
          <w:tab w:val="left" w:pos="530"/>
        </w:tabs>
        <w:ind w:firstLine="630" w:firstLineChars="300"/>
        <w:rPr>
          <w:rFonts w:hint="eastAsia"/>
          <w:sz w:val="21"/>
          <w:szCs w:val="21"/>
        </w:rPr>
      </w:pPr>
    </w:p>
    <w:p>
      <w:pPr>
        <w:pStyle w:val="22"/>
        <w:numPr>
          <w:ilvl w:val="0"/>
          <w:numId w:val="0"/>
        </w:numPr>
        <w:tabs>
          <w:tab w:val="left" w:pos="530"/>
        </w:tabs>
        <w:ind w:firstLine="630" w:firstLineChars="300"/>
        <w:rPr>
          <w:rFonts w:hint="eastAsia"/>
          <w:sz w:val="21"/>
          <w:szCs w:val="21"/>
        </w:rPr>
      </w:pPr>
    </w:p>
    <w:p>
      <w:pPr>
        <w:pStyle w:val="22"/>
        <w:numPr>
          <w:ilvl w:val="0"/>
          <w:numId w:val="0"/>
        </w:numPr>
        <w:tabs>
          <w:tab w:val="left" w:pos="530"/>
        </w:tabs>
        <w:rPr>
          <w:rFonts w:hint="eastAsia"/>
          <w:sz w:val="21"/>
          <w:szCs w:val="21"/>
        </w:rPr>
      </w:pPr>
    </w:p>
    <w:tbl>
      <w:tblPr>
        <w:tblStyle w:val="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74"/>
        <w:gridCol w:w="1418"/>
        <w:gridCol w:w="805"/>
        <w:gridCol w:w="992"/>
        <w:gridCol w:w="3306"/>
        <w:gridCol w:w="160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4" w:type="dxa"/>
            <w:noWrap w:val="0"/>
            <w:vAlign w:val="center"/>
          </w:tcPr>
          <w:p>
            <w:pPr>
              <w:jc w:val="center"/>
              <w:rPr>
                <w:rFonts w:ascii="宋体" w:hAnsi="宋体"/>
              </w:rPr>
            </w:pPr>
            <w:r>
              <w:rPr>
                <w:rFonts w:hint="eastAsia" w:ascii="宋体" w:hAnsi="宋体"/>
              </w:rPr>
              <w:t>序号</w:t>
            </w:r>
          </w:p>
        </w:tc>
        <w:tc>
          <w:tcPr>
            <w:tcW w:w="1418" w:type="dxa"/>
            <w:noWrap w:val="0"/>
            <w:vAlign w:val="center"/>
          </w:tcPr>
          <w:p>
            <w:pPr>
              <w:jc w:val="center"/>
              <w:rPr>
                <w:rFonts w:ascii="宋体" w:hAnsi="宋体"/>
              </w:rPr>
            </w:pPr>
            <w:r>
              <w:rPr>
                <w:rFonts w:hint="eastAsia" w:ascii="宋体" w:hAnsi="宋体"/>
              </w:rPr>
              <w:t>名</w:t>
            </w:r>
            <w:r>
              <w:rPr>
                <w:rFonts w:ascii="宋体" w:hAnsi="宋体"/>
              </w:rPr>
              <w:t xml:space="preserve">  </w:t>
            </w:r>
            <w:r>
              <w:rPr>
                <w:rFonts w:hint="eastAsia" w:ascii="宋体" w:hAnsi="宋体"/>
              </w:rPr>
              <w:t>称</w:t>
            </w:r>
          </w:p>
        </w:tc>
        <w:tc>
          <w:tcPr>
            <w:tcW w:w="805" w:type="dxa"/>
            <w:tcBorders>
              <w:right w:val="single" w:color="auto" w:sz="4" w:space="0"/>
            </w:tcBorders>
            <w:noWrap w:val="0"/>
            <w:vAlign w:val="center"/>
          </w:tcPr>
          <w:p>
            <w:pPr>
              <w:jc w:val="center"/>
              <w:rPr>
                <w:rFonts w:ascii="宋体" w:hAnsi="宋体"/>
              </w:rPr>
            </w:pPr>
            <w:r>
              <w:rPr>
                <w:rFonts w:hint="eastAsia" w:ascii="宋体" w:hAnsi="宋体"/>
              </w:rPr>
              <w:t>单位</w:t>
            </w:r>
          </w:p>
        </w:tc>
        <w:tc>
          <w:tcPr>
            <w:tcW w:w="992" w:type="dxa"/>
            <w:tcBorders>
              <w:right w:val="single" w:color="auto" w:sz="4" w:space="0"/>
            </w:tcBorders>
            <w:noWrap w:val="0"/>
            <w:vAlign w:val="center"/>
          </w:tcPr>
          <w:p>
            <w:pPr>
              <w:jc w:val="center"/>
              <w:rPr>
                <w:rFonts w:hint="eastAsia" w:ascii="宋体" w:hAnsi="宋体"/>
              </w:rPr>
            </w:pPr>
            <w:r>
              <w:rPr>
                <w:rFonts w:hint="eastAsia" w:ascii="宋体" w:hAnsi="宋体"/>
              </w:rPr>
              <w:t>数量</w:t>
            </w:r>
          </w:p>
        </w:tc>
        <w:tc>
          <w:tcPr>
            <w:tcW w:w="3306" w:type="dxa"/>
            <w:tcBorders>
              <w:left w:val="single" w:color="auto" w:sz="4" w:space="0"/>
            </w:tcBorders>
            <w:noWrap w:val="0"/>
            <w:vAlign w:val="center"/>
          </w:tcPr>
          <w:p>
            <w:pPr>
              <w:jc w:val="center"/>
              <w:rPr>
                <w:rFonts w:ascii="宋体" w:hAnsi="宋体"/>
              </w:rPr>
            </w:pPr>
            <w:r>
              <w:rPr>
                <w:rFonts w:hint="eastAsia" w:ascii="宋体" w:hAnsi="宋体"/>
              </w:rPr>
              <w:t>招标方要求</w:t>
            </w:r>
          </w:p>
        </w:tc>
        <w:tc>
          <w:tcPr>
            <w:tcW w:w="1603" w:type="dxa"/>
            <w:noWrap w:val="0"/>
            <w:vAlign w:val="center"/>
          </w:tcPr>
          <w:p>
            <w:pPr>
              <w:jc w:val="cente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4" w:type="dxa"/>
            <w:noWrap w:val="0"/>
            <w:vAlign w:val="center"/>
          </w:tcPr>
          <w:p>
            <w:pPr>
              <w:jc w:val="center"/>
              <w:rPr>
                <w:rFonts w:hint="eastAsia" w:ascii="宋体" w:hAnsi="宋体"/>
              </w:rPr>
            </w:pPr>
            <w:r>
              <w:rPr>
                <w:rFonts w:hint="eastAsia" w:ascii="宋体" w:hAnsi="宋体"/>
              </w:rPr>
              <w:t>1</w:t>
            </w:r>
          </w:p>
        </w:tc>
        <w:tc>
          <w:tcPr>
            <w:tcW w:w="1418" w:type="dxa"/>
            <w:noWrap w:val="0"/>
            <w:vAlign w:val="center"/>
          </w:tcPr>
          <w:p>
            <w:pPr>
              <w:rPr>
                <w:rFonts w:hint="default" w:ascii="宋体" w:hAnsi="宋体" w:eastAsia="宋体"/>
                <w:lang w:val="en-US" w:eastAsia="zh-CN"/>
              </w:rPr>
            </w:pPr>
            <w:r>
              <w:rPr>
                <w:rFonts w:hint="eastAsia" w:ascii="宋体" w:hAnsi="宋体" w:eastAsia="宋体" w:cs="宋体"/>
                <w:sz w:val="21"/>
                <w:szCs w:val="21"/>
                <w:lang w:val="zh-CN" w:eastAsia="zh-CN" w:bidi="zh-CN"/>
              </w:rPr>
              <w:t>避雷器泄漏电流</w:t>
            </w:r>
            <w:r>
              <w:rPr>
                <w:rFonts w:hint="eastAsia" w:cs="宋体"/>
                <w:sz w:val="21"/>
                <w:szCs w:val="21"/>
                <w:lang w:val="en-US" w:eastAsia="zh-CN" w:bidi="zh-CN"/>
              </w:rPr>
              <w:t>监测仪</w:t>
            </w:r>
          </w:p>
        </w:tc>
        <w:tc>
          <w:tcPr>
            <w:tcW w:w="805" w:type="dxa"/>
            <w:tcBorders>
              <w:right w:val="single" w:color="auto" w:sz="4" w:space="0"/>
            </w:tcBorders>
            <w:noWrap w:val="0"/>
            <w:vAlign w:val="center"/>
          </w:tcPr>
          <w:p>
            <w:pPr>
              <w:jc w:val="center"/>
              <w:rPr>
                <w:rFonts w:hint="default" w:ascii="宋体" w:hAnsi="宋体" w:eastAsia="宋体"/>
                <w:lang w:val="en-US" w:eastAsia="zh-CN"/>
              </w:rPr>
            </w:pPr>
            <w:r>
              <w:rPr>
                <w:rFonts w:hint="eastAsia"/>
                <w:lang w:val="en-US" w:eastAsia="zh-CN"/>
              </w:rPr>
              <w:t>只</w:t>
            </w:r>
          </w:p>
        </w:tc>
        <w:tc>
          <w:tcPr>
            <w:tcW w:w="992" w:type="dxa"/>
            <w:tcBorders>
              <w:right w:val="single" w:color="auto" w:sz="4" w:space="0"/>
            </w:tcBorders>
            <w:noWrap w:val="0"/>
            <w:vAlign w:val="center"/>
          </w:tcPr>
          <w:p>
            <w:pPr>
              <w:jc w:val="center"/>
              <w:rPr>
                <w:rFonts w:hint="default" w:ascii="宋体" w:hAnsi="宋体" w:eastAsia="宋体"/>
                <w:lang w:val="en-US" w:eastAsia="zh-CN"/>
              </w:rPr>
            </w:pPr>
            <w:r>
              <w:rPr>
                <w:rFonts w:hint="eastAsia"/>
                <w:lang w:val="en-US" w:eastAsia="zh-CN"/>
              </w:rPr>
              <w:t>10</w:t>
            </w:r>
          </w:p>
        </w:tc>
        <w:tc>
          <w:tcPr>
            <w:tcW w:w="3306" w:type="dxa"/>
            <w:tcBorders>
              <w:left w:val="single" w:color="auto" w:sz="4" w:space="0"/>
            </w:tcBorders>
            <w:noWrap w:val="0"/>
            <w:vAlign w:val="center"/>
          </w:tcPr>
          <w:p>
            <w:pPr>
              <w:rPr>
                <w:rFonts w:hint="default" w:ascii="宋体" w:hAnsi="宋体" w:eastAsia="宋体"/>
                <w:lang w:val="en-US" w:eastAsia="zh-CN"/>
              </w:rPr>
            </w:pPr>
            <w:r>
              <w:rPr>
                <w:rFonts w:hint="eastAsia" w:cs="宋体"/>
                <w:sz w:val="21"/>
                <w:szCs w:val="21"/>
                <w:lang w:val="en-US" w:eastAsia="zh-CN" w:bidi="zh-CN"/>
              </w:rPr>
              <w:t>监测仪适用于500</w:t>
            </w:r>
            <w:r>
              <w:rPr>
                <w:rFonts w:hint="eastAsia" w:ascii="宋体" w:hAnsi="宋体" w:eastAsia="宋体" w:cs="宋体"/>
                <w:sz w:val="21"/>
                <w:szCs w:val="21"/>
                <w:lang w:val="zh-CN" w:eastAsia="zh-CN" w:bidi="zh-CN"/>
              </w:rPr>
              <w:t>kV</w:t>
            </w:r>
            <w:r>
              <w:rPr>
                <w:rFonts w:hint="eastAsia" w:cs="宋体"/>
                <w:sz w:val="21"/>
                <w:szCs w:val="21"/>
                <w:lang w:val="en-US" w:eastAsia="zh-CN" w:bidi="zh-CN"/>
              </w:rPr>
              <w:t>避雷器</w:t>
            </w:r>
            <w:r>
              <w:rPr>
                <w:rFonts w:hint="eastAsia" w:cs="宋体"/>
                <w:sz w:val="21"/>
                <w:szCs w:val="21"/>
                <w:lang w:val="zh-CN" w:eastAsia="zh-CN" w:bidi="zh-CN"/>
              </w:rPr>
              <w:t>，泄露电流监测量程0-10</w:t>
            </w:r>
            <w:r>
              <w:rPr>
                <w:rFonts w:hint="eastAsia" w:cs="宋体"/>
                <w:sz w:val="21"/>
                <w:szCs w:val="21"/>
                <w:lang w:val="en-US" w:eastAsia="zh-CN" w:bidi="zh-CN"/>
              </w:rPr>
              <w:t xml:space="preserve"> </w:t>
            </w:r>
            <w:r>
              <w:rPr>
                <w:rFonts w:hint="eastAsia" w:ascii="宋体" w:hAnsi="宋体" w:eastAsia="宋体" w:cs="宋体"/>
                <w:sz w:val="21"/>
                <w:szCs w:val="21"/>
                <w:lang w:val="zh-CN" w:eastAsia="zh-CN" w:bidi="zh-CN"/>
              </w:rPr>
              <w:t>mA，防水等级：7级及以上。</w:t>
            </w:r>
          </w:p>
        </w:tc>
        <w:tc>
          <w:tcPr>
            <w:tcW w:w="1603" w:type="dxa"/>
            <w:noWrap w:val="0"/>
            <w:vAlign w:val="center"/>
          </w:tcPr>
          <w:p>
            <w:pPr>
              <w:jc w:val="cente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2897" w:type="dxa"/>
            <w:gridSpan w:val="3"/>
            <w:tcBorders>
              <w:right w:val="single" w:color="auto" w:sz="4" w:space="0"/>
            </w:tcBorders>
            <w:noWrap w:val="0"/>
            <w:vAlign w:val="center"/>
          </w:tcPr>
          <w:p>
            <w:pPr>
              <w:rPr>
                <w:rFonts w:hint="eastAsia"/>
              </w:rPr>
            </w:pPr>
          </w:p>
        </w:tc>
        <w:tc>
          <w:tcPr>
            <w:tcW w:w="5901" w:type="dxa"/>
            <w:gridSpan w:val="3"/>
            <w:noWrap w:val="0"/>
            <w:vAlign w:val="center"/>
          </w:tcPr>
          <w:p>
            <w:pPr>
              <w:rPr>
                <w:rFonts w:hint="default"/>
                <w:lang w:val="en-US"/>
              </w:rPr>
            </w:pPr>
          </w:p>
        </w:tc>
      </w:tr>
    </w:tbl>
    <w:p>
      <w:pPr>
        <w:pStyle w:val="22"/>
        <w:numPr>
          <w:ilvl w:val="0"/>
          <w:numId w:val="0"/>
        </w:numPr>
        <w:tabs>
          <w:tab w:val="left" w:pos="530"/>
        </w:tabs>
        <w:ind w:firstLine="630" w:firstLineChars="300"/>
        <w:rPr>
          <w:rFonts w:hint="eastAsia"/>
          <w:sz w:val="21"/>
          <w:szCs w:val="21"/>
        </w:rPr>
      </w:pPr>
    </w:p>
    <w:p>
      <w:pPr>
        <w:jc w:val="both"/>
        <w:rPr>
          <w:sz w:val="21"/>
          <w:szCs w:val="21"/>
        </w:rPr>
      </w:pPr>
    </w:p>
    <w:p>
      <w:pPr>
        <w:pStyle w:val="22"/>
        <w:numPr>
          <w:ilvl w:val="0"/>
          <w:numId w:val="9"/>
        </w:numPr>
        <w:tabs>
          <w:tab w:val="left" w:pos="424"/>
        </w:tabs>
        <w:spacing w:before="60"/>
        <w:ind w:left="424" w:hanging="212"/>
        <w:rPr>
          <w:sz w:val="21"/>
          <w:szCs w:val="21"/>
        </w:rPr>
      </w:pPr>
      <w:r>
        <w:rPr>
          <w:rFonts w:hint="eastAsia"/>
          <w:sz w:val="21"/>
          <w:szCs w:val="21"/>
        </w:rPr>
        <w:t>性能要求和技术参数</w:t>
      </w:r>
    </w:p>
    <w:p>
      <w:pPr>
        <w:pStyle w:val="22"/>
        <w:tabs>
          <w:tab w:val="left" w:pos="424"/>
        </w:tabs>
        <w:spacing w:before="60"/>
        <w:ind w:left="424" w:firstLine="0"/>
        <w:rPr>
          <w:sz w:val="21"/>
          <w:szCs w:val="21"/>
        </w:rPr>
      </w:pPr>
    </w:p>
    <w:p>
      <w:pPr>
        <w:pStyle w:val="22"/>
        <w:numPr>
          <w:ilvl w:val="0"/>
          <w:numId w:val="9"/>
        </w:numPr>
        <w:tabs>
          <w:tab w:val="left" w:pos="424"/>
        </w:tabs>
        <w:spacing w:before="60"/>
        <w:ind w:left="424" w:hanging="212"/>
        <w:rPr>
          <w:sz w:val="21"/>
          <w:szCs w:val="21"/>
        </w:rPr>
      </w:pPr>
      <w:r>
        <w:rPr>
          <w:rFonts w:hint="eastAsia"/>
          <w:sz w:val="21"/>
          <w:szCs w:val="21"/>
        </w:rPr>
        <w:t>使用环境</w:t>
      </w:r>
    </w:p>
    <w:p>
      <w:pPr>
        <w:pStyle w:val="22"/>
        <w:tabs>
          <w:tab w:val="left" w:pos="424"/>
        </w:tabs>
        <w:spacing w:before="60"/>
        <w:ind w:left="424" w:firstLine="0"/>
        <w:rPr>
          <w:sz w:val="21"/>
          <w:szCs w:val="21"/>
        </w:rPr>
      </w:pPr>
    </w:p>
    <w:p>
      <w:pPr>
        <w:pStyle w:val="22"/>
        <w:numPr>
          <w:ilvl w:val="0"/>
          <w:numId w:val="9"/>
        </w:numPr>
        <w:tabs>
          <w:tab w:val="left" w:pos="424"/>
        </w:tabs>
        <w:spacing w:before="60"/>
        <w:ind w:left="424" w:hanging="212"/>
        <w:rPr>
          <w:sz w:val="21"/>
          <w:szCs w:val="21"/>
        </w:rPr>
      </w:pPr>
      <w:r>
        <w:rPr>
          <w:sz w:val="21"/>
          <w:szCs w:val="21"/>
        </w:rPr>
        <w:t>2.1.1 环境温度：-10℃～+60℃；</w:t>
      </w:r>
    </w:p>
    <w:p>
      <w:pPr>
        <w:pStyle w:val="22"/>
        <w:numPr>
          <w:ilvl w:val="0"/>
          <w:numId w:val="9"/>
        </w:numPr>
        <w:tabs>
          <w:tab w:val="left" w:pos="424"/>
        </w:tabs>
        <w:spacing w:before="60"/>
        <w:ind w:left="424" w:hanging="212"/>
        <w:rPr>
          <w:sz w:val="21"/>
          <w:szCs w:val="21"/>
        </w:rPr>
      </w:pPr>
      <w:r>
        <w:rPr>
          <w:sz w:val="21"/>
          <w:szCs w:val="21"/>
        </w:rPr>
        <w:t>2.1.2 相对湿度：10%～90%；</w:t>
      </w:r>
    </w:p>
    <w:p>
      <w:pPr>
        <w:pStyle w:val="22"/>
        <w:numPr>
          <w:ilvl w:val="0"/>
          <w:numId w:val="9"/>
        </w:numPr>
        <w:tabs>
          <w:tab w:val="left" w:pos="424"/>
        </w:tabs>
        <w:spacing w:before="60"/>
        <w:ind w:left="424" w:hanging="212"/>
        <w:rPr>
          <w:sz w:val="21"/>
          <w:szCs w:val="21"/>
        </w:rPr>
      </w:pPr>
      <w:r>
        <w:rPr>
          <w:sz w:val="21"/>
          <w:szCs w:val="21"/>
        </w:rPr>
        <w:t>2.1.3 海拔：≤2000m。</w:t>
      </w:r>
    </w:p>
    <w:p>
      <w:pPr>
        <w:pStyle w:val="22"/>
        <w:numPr>
          <w:ilvl w:val="0"/>
          <w:numId w:val="9"/>
        </w:numPr>
        <w:tabs>
          <w:tab w:val="left" w:pos="424"/>
        </w:tabs>
        <w:spacing w:before="60"/>
        <w:ind w:left="424" w:hanging="212"/>
        <w:rPr>
          <w:sz w:val="21"/>
          <w:szCs w:val="21"/>
        </w:rPr>
      </w:pPr>
      <w:r>
        <w:rPr>
          <w:sz w:val="21"/>
          <w:szCs w:val="21"/>
        </w:rPr>
        <w:t>适用于户内及户外。</w:t>
      </w:r>
    </w:p>
    <w:p>
      <w:pPr>
        <w:pStyle w:val="22"/>
        <w:numPr>
          <w:ilvl w:val="0"/>
          <w:numId w:val="9"/>
        </w:numPr>
        <w:tabs>
          <w:tab w:val="left" w:pos="424"/>
        </w:tabs>
        <w:spacing w:before="60"/>
        <w:ind w:left="424" w:hanging="212"/>
        <w:rPr>
          <w:sz w:val="21"/>
          <w:szCs w:val="21"/>
        </w:rPr>
      </w:pPr>
      <w:r>
        <w:rPr>
          <w:sz w:val="21"/>
          <w:szCs w:val="21"/>
        </w:rPr>
        <w:t>安装处无强烈振动。</w:t>
      </w:r>
    </w:p>
    <w:p>
      <w:pPr>
        <w:pStyle w:val="22"/>
        <w:tabs>
          <w:tab w:val="left" w:pos="424"/>
        </w:tabs>
        <w:spacing w:before="60"/>
        <w:ind w:left="424" w:firstLine="0"/>
        <w:rPr>
          <w:sz w:val="21"/>
          <w:szCs w:val="21"/>
        </w:rPr>
      </w:pPr>
    </w:p>
    <w:p>
      <w:pPr>
        <w:pStyle w:val="22"/>
        <w:numPr>
          <w:ilvl w:val="0"/>
          <w:numId w:val="9"/>
        </w:numPr>
        <w:tabs>
          <w:tab w:val="left" w:pos="424"/>
        </w:tabs>
        <w:spacing w:before="60"/>
        <w:ind w:left="424" w:hanging="212"/>
        <w:rPr>
          <w:sz w:val="21"/>
          <w:szCs w:val="21"/>
        </w:rPr>
      </w:pPr>
      <w:r>
        <w:rPr>
          <w:sz w:val="21"/>
          <w:szCs w:val="21"/>
        </w:rPr>
        <w:t>2.2</w:t>
      </w:r>
      <w:r>
        <w:rPr>
          <w:rFonts w:hint="eastAsia"/>
          <w:sz w:val="21"/>
          <w:szCs w:val="21"/>
        </w:rPr>
        <w:t>主要技术要求</w:t>
      </w:r>
    </w:p>
    <w:p>
      <w:pPr>
        <w:pStyle w:val="22"/>
        <w:tabs>
          <w:tab w:val="left" w:pos="424"/>
        </w:tabs>
        <w:spacing w:before="60"/>
        <w:ind w:left="424" w:firstLine="0"/>
        <w:rPr>
          <w:sz w:val="21"/>
          <w:szCs w:val="21"/>
        </w:rPr>
      </w:pPr>
    </w:p>
    <w:p>
      <w:pPr>
        <w:pStyle w:val="22"/>
        <w:numPr>
          <w:ilvl w:val="0"/>
          <w:numId w:val="9"/>
        </w:numPr>
        <w:tabs>
          <w:tab w:val="left" w:pos="424"/>
        </w:tabs>
        <w:spacing w:before="60"/>
        <w:ind w:left="424" w:hanging="212"/>
        <w:rPr>
          <w:sz w:val="21"/>
          <w:szCs w:val="21"/>
        </w:rPr>
      </w:pPr>
      <w:r>
        <w:rPr>
          <w:rFonts w:hint="eastAsia"/>
          <w:sz w:val="21"/>
          <w:szCs w:val="21"/>
        </w:rPr>
        <w:t xml:space="preserve"> </w:t>
      </w:r>
      <w:r>
        <w:rPr>
          <w:sz w:val="21"/>
          <w:szCs w:val="21"/>
        </w:rPr>
        <w:t>避雷器用</w:t>
      </w:r>
      <w:r>
        <w:rPr>
          <w:rFonts w:hint="eastAsia"/>
          <w:sz w:val="21"/>
          <w:szCs w:val="21"/>
          <w:lang w:eastAsia="zh-CN"/>
        </w:rPr>
        <w:t>监测仪</w:t>
      </w:r>
      <w:r>
        <w:rPr>
          <w:sz w:val="21"/>
          <w:szCs w:val="21"/>
        </w:rPr>
        <w:t>应符合本招标文件技术规范通用部分的要求。</w:t>
      </w:r>
    </w:p>
    <w:p>
      <w:pPr>
        <w:pStyle w:val="22"/>
        <w:numPr>
          <w:ilvl w:val="0"/>
          <w:numId w:val="9"/>
        </w:numPr>
        <w:tabs>
          <w:tab w:val="left" w:pos="424"/>
        </w:tabs>
        <w:spacing w:before="60"/>
        <w:ind w:left="424" w:hanging="212"/>
        <w:rPr>
          <w:sz w:val="21"/>
          <w:szCs w:val="21"/>
        </w:rPr>
      </w:pPr>
      <w:r>
        <w:rPr>
          <w:rFonts w:hint="eastAsia"/>
          <w:sz w:val="21"/>
          <w:szCs w:val="21"/>
        </w:rPr>
        <w:t xml:space="preserve"> </w:t>
      </w:r>
      <w:r>
        <w:rPr>
          <w:sz w:val="21"/>
          <w:szCs w:val="21"/>
        </w:rPr>
        <w:t>投标人应认真逐项填写标准技术参数表中投标人保证值，不能空格，也不能以“响应”两字代替，不   允许改动招标人要求值。如有偏差，请填写技术偏差表。</w:t>
      </w:r>
    </w:p>
    <w:p>
      <w:pPr>
        <w:pStyle w:val="22"/>
        <w:numPr>
          <w:ilvl w:val="0"/>
          <w:numId w:val="9"/>
        </w:numPr>
        <w:tabs>
          <w:tab w:val="left" w:pos="424"/>
        </w:tabs>
        <w:spacing w:before="60"/>
        <w:ind w:left="424" w:hanging="212"/>
        <w:rPr>
          <w:sz w:val="21"/>
          <w:szCs w:val="21"/>
        </w:rPr>
      </w:pPr>
      <w:r>
        <w:rPr>
          <w:rFonts w:hint="eastAsia"/>
          <w:sz w:val="21"/>
          <w:szCs w:val="21"/>
        </w:rPr>
        <w:t xml:space="preserve"> </w:t>
      </w:r>
      <w:r>
        <w:rPr>
          <w:sz w:val="21"/>
          <w:szCs w:val="21"/>
        </w:rPr>
        <w:t>避雷器用</w:t>
      </w:r>
      <w:r>
        <w:rPr>
          <w:rFonts w:hint="eastAsia"/>
          <w:sz w:val="21"/>
          <w:szCs w:val="21"/>
          <w:lang w:eastAsia="zh-CN"/>
        </w:rPr>
        <w:t>监测仪</w:t>
      </w:r>
      <w:r>
        <w:rPr>
          <w:sz w:val="21"/>
          <w:szCs w:val="21"/>
        </w:rPr>
        <w:t>的技术参数应符合表 2 的要求。</w:t>
      </w:r>
    </w:p>
    <w:p>
      <w:pPr>
        <w:pStyle w:val="22"/>
        <w:numPr>
          <w:ilvl w:val="0"/>
          <w:numId w:val="9"/>
        </w:numPr>
        <w:tabs>
          <w:tab w:val="left" w:pos="424"/>
        </w:tabs>
        <w:spacing w:before="60"/>
        <w:ind w:left="424" w:hanging="212"/>
        <w:rPr>
          <w:sz w:val="21"/>
          <w:szCs w:val="21"/>
        </w:rPr>
      </w:pPr>
      <w:r>
        <w:rPr>
          <w:rFonts w:hint="eastAsia"/>
          <w:sz w:val="21"/>
          <w:szCs w:val="21"/>
        </w:rPr>
        <w:t xml:space="preserve"> </w:t>
      </w:r>
      <w:r>
        <w:rPr>
          <w:sz w:val="21"/>
          <w:szCs w:val="21"/>
        </w:rPr>
        <w:t>填写以下表格注意事项：其中“项目单位填写”的部分由各项目单位根据工程实际情况和需要必须全   面认真填写；空白部分的参数根据需要选择填写，不需要填写的应以“—”表示。</w:t>
      </w:r>
    </w:p>
    <w:p>
      <w:pPr>
        <w:pStyle w:val="3"/>
        <w:tabs>
          <w:tab w:val="left" w:pos="796"/>
        </w:tabs>
        <w:spacing w:before="177"/>
        <w:ind w:right="81"/>
        <w:jc w:val="center"/>
      </w:pPr>
      <w:r>
        <w:rPr>
          <w:rFonts w:hint="eastAsia"/>
        </w:rPr>
        <w:t>表2</w:t>
      </w:r>
      <w:r>
        <w:rPr>
          <w:rFonts w:hint="eastAsia"/>
        </w:rPr>
        <w:tab/>
      </w:r>
      <w:r>
        <w:rPr>
          <w:rFonts w:hint="eastAsia"/>
        </w:rPr>
        <w:t>技术参数响应表</w:t>
      </w:r>
    </w:p>
    <w:p>
      <w:pPr>
        <w:pStyle w:val="3"/>
      </w:pPr>
    </w:p>
    <w:tbl>
      <w:tblPr>
        <w:tblStyle w:val="9"/>
        <w:tblW w:w="9594" w:type="dxa"/>
        <w:tblInd w:w="24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248"/>
        <w:gridCol w:w="990"/>
        <w:gridCol w:w="4855"/>
        <w:gridCol w:w="1501"/>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4" w:hRule="atLeast"/>
        </w:trPr>
        <w:tc>
          <w:tcPr>
            <w:tcW w:w="2248" w:type="dxa"/>
            <w:tcBorders>
              <w:bottom w:val="single" w:color="000000" w:sz="4" w:space="0"/>
              <w:right w:val="single" w:color="000000" w:sz="4" w:space="0"/>
            </w:tcBorders>
          </w:tcPr>
          <w:p>
            <w:pPr>
              <w:pStyle w:val="23"/>
              <w:tabs>
                <w:tab w:val="left" w:pos="1392"/>
              </w:tabs>
              <w:spacing w:before="91"/>
              <w:ind w:left="672"/>
              <w:rPr>
                <w:sz w:val="21"/>
                <w:szCs w:val="21"/>
              </w:rPr>
            </w:pPr>
            <w:r>
              <w:rPr>
                <w:sz w:val="21"/>
                <w:szCs w:val="21"/>
              </w:rPr>
              <w:t>项</w:t>
            </w:r>
            <w:r>
              <w:rPr>
                <w:sz w:val="21"/>
                <w:szCs w:val="21"/>
              </w:rPr>
              <w:tab/>
            </w:r>
            <w:r>
              <w:rPr>
                <w:sz w:val="21"/>
                <w:szCs w:val="21"/>
              </w:rPr>
              <w:t>目</w:t>
            </w:r>
          </w:p>
        </w:tc>
        <w:tc>
          <w:tcPr>
            <w:tcW w:w="990" w:type="dxa"/>
            <w:tcBorders>
              <w:left w:val="single" w:color="000000" w:sz="4" w:space="0"/>
              <w:bottom w:val="single" w:color="000000" w:sz="4" w:space="0"/>
              <w:right w:val="single" w:color="000000" w:sz="4" w:space="0"/>
            </w:tcBorders>
          </w:tcPr>
          <w:p>
            <w:pPr>
              <w:pStyle w:val="23"/>
              <w:spacing w:before="91"/>
              <w:ind w:left="229"/>
              <w:rPr>
                <w:sz w:val="21"/>
                <w:szCs w:val="21"/>
              </w:rPr>
            </w:pPr>
            <w:r>
              <w:rPr>
                <w:sz w:val="21"/>
                <w:szCs w:val="21"/>
              </w:rPr>
              <w:t>单 位</w:t>
            </w:r>
          </w:p>
        </w:tc>
        <w:tc>
          <w:tcPr>
            <w:tcW w:w="4855" w:type="dxa"/>
            <w:tcBorders>
              <w:left w:val="single" w:color="000000" w:sz="4" w:space="0"/>
              <w:bottom w:val="single" w:color="000000" w:sz="4" w:space="0"/>
              <w:right w:val="single" w:color="000000" w:sz="4" w:space="0"/>
            </w:tcBorders>
          </w:tcPr>
          <w:p>
            <w:pPr>
              <w:pStyle w:val="23"/>
              <w:spacing w:before="91"/>
              <w:ind w:left="1871" w:right="1854"/>
              <w:jc w:val="center"/>
              <w:rPr>
                <w:sz w:val="21"/>
                <w:szCs w:val="21"/>
              </w:rPr>
            </w:pPr>
            <w:r>
              <w:rPr>
                <w:sz w:val="21"/>
                <w:szCs w:val="21"/>
              </w:rPr>
              <w:t>招标人要求值</w:t>
            </w:r>
          </w:p>
        </w:tc>
        <w:tc>
          <w:tcPr>
            <w:tcW w:w="1501" w:type="dxa"/>
            <w:tcBorders>
              <w:left w:val="single" w:color="000000" w:sz="4" w:space="0"/>
              <w:bottom w:val="single" w:color="000000" w:sz="4" w:space="0"/>
            </w:tcBorders>
          </w:tcPr>
          <w:p>
            <w:pPr>
              <w:pStyle w:val="23"/>
              <w:spacing w:before="91"/>
              <w:ind w:right="190"/>
              <w:jc w:val="right"/>
              <w:rPr>
                <w:sz w:val="21"/>
                <w:szCs w:val="21"/>
              </w:rPr>
            </w:pPr>
            <w:r>
              <w:rPr>
                <w:sz w:val="21"/>
                <w:szCs w:val="21"/>
              </w:rPr>
              <w:t>投标人保证值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057" w:hRule="atLeast"/>
        </w:trPr>
        <w:tc>
          <w:tcPr>
            <w:tcW w:w="2248" w:type="dxa"/>
            <w:tcBorders>
              <w:top w:val="single" w:color="000000" w:sz="4" w:space="0"/>
              <w:right w:val="single" w:color="000000" w:sz="4" w:space="0"/>
            </w:tcBorders>
          </w:tcPr>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spacing w:before="1"/>
              <w:rPr>
                <w:sz w:val="21"/>
                <w:szCs w:val="21"/>
              </w:rPr>
            </w:pPr>
          </w:p>
          <w:p>
            <w:pPr>
              <w:pStyle w:val="23"/>
              <w:ind w:left="108"/>
              <w:rPr>
                <w:sz w:val="21"/>
                <w:szCs w:val="21"/>
              </w:rPr>
            </w:pPr>
            <w:r>
              <w:rPr>
                <w:sz w:val="21"/>
                <w:szCs w:val="21"/>
              </w:rPr>
              <w:t>列特点及性能要求</w:t>
            </w:r>
          </w:p>
        </w:tc>
        <w:tc>
          <w:tcPr>
            <w:tcW w:w="990" w:type="dxa"/>
            <w:tcBorders>
              <w:top w:val="single" w:color="000000" w:sz="4" w:space="0"/>
              <w:left w:val="single" w:color="000000" w:sz="4" w:space="0"/>
              <w:right w:val="single" w:color="000000" w:sz="4" w:space="0"/>
            </w:tcBorders>
          </w:tcPr>
          <w:p>
            <w:pPr>
              <w:pStyle w:val="23"/>
              <w:rPr>
                <w:sz w:val="21"/>
                <w:szCs w:val="21"/>
              </w:rPr>
            </w:pPr>
          </w:p>
        </w:tc>
        <w:tc>
          <w:tcPr>
            <w:tcW w:w="4855" w:type="dxa"/>
            <w:tcBorders>
              <w:top w:val="single" w:color="000000" w:sz="4" w:space="0"/>
              <w:left w:val="single" w:color="000000" w:sz="4" w:space="0"/>
              <w:right w:val="single" w:color="000000" w:sz="4" w:space="0"/>
            </w:tcBorders>
          </w:tcPr>
          <w:p>
            <w:pPr>
              <w:pStyle w:val="23"/>
              <w:spacing w:line="267" w:lineRule="exact"/>
              <w:ind w:left="113"/>
              <w:rPr>
                <w:sz w:val="21"/>
                <w:szCs w:val="21"/>
                <w:lang w:val="en-US"/>
              </w:rPr>
            </w:pPr>
            <w:r>
              <w:rPr>
                <w:sz w:val="21"/>
                <w:szCs w:val="21"/>
                <w:lang w:val="en-US"/>
              </w:rPr>
              <w:t>1、</w:t>
            </w:r>
            <w:r>
              <w:rPr>
                <w:rFonts w:hint="eastAsia"/>
                <w:sz w:val="21"/>
                <w:szCs w:val="21"/>
                <w:lang w:val="en-US" w:eastAsia="zh-CN"/>
              </w:rPr>
              <w:t>监测仪</w:t>
            </w:r>
            <w:r>
              <w:rPr>
                <w:sz w:val="21"/>
                <w:szCs w:val="21"/>
                <w:lang w:val="en-US"/>
              </w:rPr>
              <w:t>外壳采用铝合金材料铸造而成，全身无一处 缝隙，耐用不会锈蚀，</w:t>
            </w:r>
            <w:r>
              <w:rPr>
                <w:rFonts w:hint="eastAsia" w:cs="宋体"/>
                <w:sz w:val="21"/>
                <w:szCs w:val="21"/>
                <w:lang w:val="zh-CN" w:eastAsia="zh-CN" w:bidi="zh-CN"/>
              </w:rPr>
              <w:t>泄露电流监测量程0-10</w:t>
            </w:r>
            <w:r>
              <w:rPr>
                <w:rFonts w:hint="eastAsia" w:cs="宋体"/>
                <w:sz w:val="21"/>
                <w:szCs w:val="21"/>
                <w:lang w:val="en-US" w:eastAsia="zh-CN" w:bidi="zh-CN"/>
              </w:rPr>
              <w:t xml:space="preserve"> </w:t>
            </w:r>
            <w:r>
              <w:rPr>
                <w:rFonts w:hint="eastAsia" w:ascii="宋体" w:hAnsi="宋体" w:eastAsia="宋体" w:cs="宋体"/>
                <w:sz w:val="21"/>
                <w:szCs w:val="21"/>
                <w:lang w:val="zh-CN" w:eastAsia="zh-CN" w:bidi="zh-CN"/>
              </w:rPr>
              <w:t>mA</w:t>
            </w:r>
            <w:r>
              <w:rPr>
                <w:rFonts w:hint="eastAsia" w:cs="宋体"/>
                <w:sz w:val="21"/>
                <w:szCs w:val="21"/>
                <w:lang w:val="zh-CN" w:eastAsia="zh-CN" w:bidi="zh-CN"/>
              </w:rPr>
              <w:t>，</w:t>
            </w:r>
            <w:r>
              <w:rPr>
                <w:sz w:val="21"/>
                <w:szCs w:val="21"/>
                <w:lang w:val="en-US"/>
              </w:rPr>
              <w:t>适用于</w:t>
            </w:r>
            <w:r>
              <w:rPr>
                <w:rFonts w:hint="eastAsia" w:cs="宋体"/>
                <w:sz w:val="21"/>
                <w:szCs w:val="21"/>
                <w:lang w:val="en-US" w:eastAsia="zh-CN" w:bidi="zh-CN"/>
              </w:rPr>
              <w:t>500</w:t>
            </w:r>
            <w:r>
              <w:rPr>
                <w:rFonts w:hint="eastAsia" w:ascii="宋体" w:hAnsi="宋体" w:eastAsia="宋体" w:cs="宋体"/>
                <w:sz w:val="21"/>
                <w:szCs w:val="21"/>
                <w:lang w:val="zh-CN" w:eastAsia="zh-CN" w:bidi="zh-CN"/>
              </w:rPr>
              <w:t>kV</w:t>
            </w:r>
            <w:r>
              <w:rPr>
                <w:rFonts w:hint="eastAsia" w:cs="宋体"/>
                <w:sz w:val="21"/>
                <w:szCs w:val="21"/>
                <w:lang w:val="en-US" w:eastAsia="zh-CN" w:bidi="zh-CN"/>
              </w:rPr>
              <w:t>避雷器</w:t>
            </w:r>
            <w:r>
              <w:rPr>
                <w:sz w:val="21"/>
                <w:szCs w:val="21"/>
                <w:lang w:val="en-US"/>
              </w:rPr>
              <w:t>。</w:t>
            </w:r>
          </w:p>
          <w:p>
            <w:pPr>
              <w:pStyle w:val="23"/>
              <w:spacing w:line="267" w:lineRule="exact"/>
              <w:ind w:left="113"/>
              <w:rPr>
                <w:sz w:val="21"/>
                <w:szCs w:val="21"/>
                <w:lang w:val="en-US"/>
              </w:rPr>
            </w:pPr>
            <w:r>
              <w:rPr>
                <w:sz w:val="21"/>
                <w:szCs w:val="21"/>
                <w:lang w:val="en-US"/>
              </w:rPr>
              <w:t>2、</w:t>
            </w:r>
            <w:r>
              <w:rPr>
                <w:rFonts w:hint="eastAsia"/>
                <w:sz w:val="21"/>
                <w:szCs w:val="21"/>
                <w:lang w:val="en-US"/>
              </w:rPr>
              <w:t>具有</w:t>
            </w:r>
            <w:r>
              <w:rPr>
                <w:rFonts w:hint="default"/>
                <w:sz w:val="21"/>
                <w:szCs w:val="21"/>
                <w:lang w:val="en-US"/>
              </w:rPr>
              <w:t>2</w:t>
            </w:r>
            <w:r>
              <w:rPr>
                <w:rFonts w:hint="eastAsia"/>
                <w:sz w:val="21"/>
                <w:szCs w:val="21"/>
                <w:lang w:val="en-US"/>
              </w:rPr>
              <w:t>个安装孔和1个接地端。</w:t>
            </w:r>
          </w:p>
          <w:p>
            <w:pPr>
              <w:pStyle w:val="23"/>
              <w:spacing w:line="267" w:lineRule="exact"/>
              <w:ind w:left="113"/>
              <w:rPr>
                <w:sz w:val="21"/>
                <w:szCs w:val="21"/>
                <w:lang w:val="en-US"/>
              </w:rPr>
            </w:pPr>
            <w:r>
              <w:rPr>
                <w:rFonts w:hint="eastAsia"/>
                <w:sz w:val="21"/>
                <w:szCs w:val="21"/>
                <w:lang w:val="en-US"/>
              </w:rPr>
              <w:t>3、</w:t>
            </w:r>
            <w:r>
              <w:rPr>
                <w:rFonts w:hint="eastAsia"/>
                <w:sz w:val="21"/>
                <w:szCs w:val="21"/>
                <w:lang w:val="en-US" w:eastAsia="zh-CN"/>
              </w:rPr>
              <w:t>监测仪</w:t>
            </w:r>
            <w:r>
              <w:rPr>
                <w:sz w:val="21"/>
                <w:szCs w:val="21"/>
                <w:lang w:val="en-US"/>
              </w:rPr>
              <w:t>的结构是采用圆形设计，利于密封。</w:t>
            </w:r>
          </w:p>
          <w:p>
            <w:pPr>
              <w:pStyle w:val="23"/>
              <w:spacing w:line="267" w:lineRule="exact"/>
              <w:ind w:left="113"/>
              <w:rPr>
                <w:sz w:val="21"/>
                <w:szCs w:val="21"/>
                <w:lang w:val="en-US"/>
              </w:rPr>
            </w:pPr>
            <w:r>
              <w:rPr>
                <w:rFonts w:hint="eastAsia"/>
                <w:sz w:val="21"/>
                <w:szCs w:val="21"/>
                <w:lang w:val="en-US"/>
              </w:rPr>
              <w:t>4</w:t>
            </w:r>
            <w:r>
              <w:rPr>
                <w:sz w:val="21"/>
                <w:szCs w:val="21"/>
                <w:lang w:val="en-US"/>
              </w:rPr>
              <w:t>、</w:t>
            </w:r>
            <w:r>
              <w:rPr>
                <w:rFonts w:hint="eastAsia"/>
                <w:sz w:val="21"/>
                <w:szCs w:val="21"/>
                <w:lang w:val="en-US" w:eastAsia="zh-CN"/>
              </w:rPr>
              <w:t>监测仪</w:t>
            </w:r>
            <w:r>
              <w:rPr>
                <w:sz w:val="21"/>
                <w:szCs w:val="21"/>
                <w:lang w:val="en-US"/>
              </w:rPr>
              <w:t>的密封性能非常好，</w:t>
            </w:r>
            <w:r>
              <w:rPr>
                <w:rFonts w:hint="eastAsia"/>
                <w:sz w:val="21"/>
                <w:szCs w:val="21"/>
                <w:lang w:val="en-US" w:eastAsia="zh-CN"/>
              </w:rPr>
              <w:t>监测仪</w:t>
            </w:r>
            <w:r>
              <w:rPr>
                <w:sz w:val="21"/>
                <w:szCs w:val="21"/>
                <w:lang w:val="en-US"/>
              </w:rPr>
              <w:t>采用双层密封 圈密封，外层采用不锈钢圈密封；内层采用进口硅橡胶圈密封而成的（硅橡胶圈：耐水防潮性好，在</w:t>
            </w:r>
          </w:p>
          <w:p>
            <w:pPr>
              <w:pStyle w:val="23"/>
              <w:spacing w:line="267" w:lineRule="exact"/>
              <w:ind w:left="113"/>
              <w:rPr>
                <w:sz w:val="21"/>
                <w:szCs w:val="21"/>
                <w:lang w:val="en-US"/>
              </w:rPr>
            </w:pPr>
            <w:r>
              <w:rPr>
                <w:sz w:val="21"/>
                <w:szCs w:val="21"/>
                <w:lang w:val="en-US"/>
              </w:rPr>
              <w:t>-60-200℃保持良好的性能，耐酸、碱和多种化学药 品，常年不变质）</w:t>
            </w:r>
          </w:p>
          <w:p>
            <w:pPr>
              <w:pStyle w:val="23"/>
              <w:spacing w:line="267" w:lineRule="exact"/>
              <w:ind w:left="113"/>
              <w:rPr>
                <w:sz w:val="21"/>
                <w:szCs w:val="21"/>
                <w:lang w:val="en-US"/>
              </w:rPr>
            </w:pPr>
            <w:r>
              <w:rPr>
                <w:rFonts w:hint="eastAsia"/>
                <w:sz w:val="21"/>
                <w:szCs w:val="21"/>
                <w:lang w:val="en-US"/>
              </w:rPr>
              <w:t>5</w:t>
            </w:r>
            <w:r>
              <w:rPr>
                <w:sz w:val="21"/>
                <w:szCs w:val="21"/>
                <w:lang w:val="en-US"/>
              </w:rPr>
              <w:t>、</w:t>
            </w:r>
            <w:r>
              <w:rPr>
                <w:rFonts w:hint="eastAsia"/>
                <w:sz w:val="21"/>
                <w:szCs w:val="21"/>
                <w:lang w:val="en-US" w:eastAsia="zh-CN"/>
              </w:rPr>
              <w:t>监测仪</w:t>
            </w:r>
            <w:r>
              <w:rPr>
                <w:sz w:val="21"/>
                <w:szCs w:val="21"/>
                <w:lang w:val="en-US"/>
              </w:rPr>
              <w:t>放入水中 30 天不会有进水现象。</w:t>
            </w:r>
          </w:p>
          <w:p>
            <w:pPr>
              <w:pStyle w:val="23"/>
              <w:spacing w:line="267" w:lineRule="exact"/>
              <w:ind w:left="113"/>
              <w:rPr>
                <w:sz w:val="21"/>
                <w:szCs w:val="21"/>
                <w:lang w:val="en-US"/>
              </w:rPr>
            </w:pPr>
            <w:r>
              <w:rPr>
                <w:rFonts w:hint="eastAsia"/>
                <w:sz w:val="21"/>
                <w:szCs w:val="21"/>
                <w:lang w:val="en-US"/>
              </w:rPr>
              <w:t>6</w:t>
            </w:r>
            <w:r>
              <w:rPr>
                <w:sz w:val="21"/>
                <w:szCs w:val="21"/>
                <w:lang w:val="en-US"/>
              </w:rPr>
              <w:t>、泄流电流表均为彩色刻度，且把避雷器的正常泄 流电流、告警泄流电流用了不同颜色刻度标出，便于观察。</w:t>
            </w:r>
          </w:p>
          <w:p>
            <w:pPr>
              <w:pStyle w:val="23"/>
              <w:spacing w:line="267" w:lineRule="exact"/>
              <w:ind w:left="113"/>
              <w:rPr>
                <w:sz w:val="21"/>
                <w:szCs w:val="21"/>
                <w:lang w:val="en-US"/>
              </w:rPr>
            </w:pPr>
            <w:r>
              <w:rPr>
                <w:rFonts w:hint="eastAsia"/>
                <w:sz w:val="21"/>
                <w:szCs w:val="21"/>
                <w:lang w:val="en-US"/>
              </w:rPr>
              <w:t>7</w:t>
            </w:r>
            <w:r>
              <w:rPr>
                <w:sz w:val="21"/>
                <w:szCs w:val="21"/>
                <w:lang w:val="en-US"/>
              </w:rPr>
              <w:t>、装有避雷器泄流电流告警灯（和泄流电流告警指 示表为双重显示，也就是用 2 种方式来显示避雷器的泄流电流告警，若有一种方式出现故障另一种会正常运行，起到双保险）同时还带有设备带电灯， 便于巡视。</w:t>
            </w:r>
          </w:p>
          <w:p>
            <w:pPr>
              <w:pStyle w:val="23"/>
              <w:spacing w:line="267" w:lineRule="exact"/>
              <w:ind w:left="113"/>
              <w:rPr>
                <w:sz w:val="21"/>
                <w:szCs w:val="21"/>
                <w:lang w:val="en-US"/>
              </w:rPr>
            </w:pPr>
            <w:r>
              <w:rPr>
                <w:rFonts w:hint="eastAsia"/>
                <w:sz w:val="21"/>
                <w:szCs w:val="21"/>
                <w:lang w:val="en-US"/>
              </w:rPr>
              <w:t>8</w:t>
            </w:r>
            <w:r>
              <w:rPr>
                <w:sz w:val="21"/>
                <w:szCs w:val="21"/>
                <w:lang w:val="en-US"/>
              </w:rPr>
              <w:t>、</w:t>
            </w:r>
            <w:r>
              <w:rPr>
                <w:rFonts w:hint="eastAsia"/>
                <w:sz w:val="21"/>
                <w:szCs w:val="21"/>
                <w:lang w:val="en-US" w:eastAsia="zh-CN"/>
              </w:rPr>
              <w:t>监测仪</w:t>
            </w:r>
            <w:r>
              <w:rPr>
                <w:sz w:val="21"/>
                <w:szCs w:val="21"/>
                <w:lang w:val="en-US"/>
              </w:rPr>
              <w:t>的放电计数器采用数码指示，可以归零， 便于读取。</w:t>
            </w:r>
          </w:p>
          <w:p>
            <w:pPr>
              <w:pStyle w:val="23"/>
              <w:spacing w:line="267" w:lineRule="exact"/>
              <w:ind w:left="113"/>
              <w:rPr>
                <w:sz w:val="21"/>
                <w:szCs w:val="21"/>
                <w:lang w:val="en-US"/>
              </w:rPr>
            </w:pPr>
            <w:r>
              <w:rPr>
                <w:rFonts w:hint="eastAsia"/>
                <w:sz w:val="21"/>
                <w:szCs w:val="21"/>
                <w:lang w:val="en-US"/>
              </w:rPr>
              <w:t>9</w:t>
            </w:r>
            <w:r>
              <w:rPr>
                <w:sz w:val="21"/>
                <w:szCs w:val="21"/>
                <w:lang w:val="en-US"/>
              </w:rPr>
              <w:t>、</w:t>
            </w:r>
            <w:r>
              <w:rPr>
                <w:rFonts w:hint="eastAsia"/>
                <w:sz w:val="21"/>
                <w:szCs w:val="21"/>
                <w:lang w:val="en-US" w:eastAsia="zh-CN"/>
              </w:rPr>
              <w:t>监测仪</w:t>
            </w:r>
            <w:r>
              <w:rPr>
                <w:sz w:val="21"/>
                <w:szCs w:val="21"/>
                <w:lang w:val="en-US"/>
              </w:rPr>
              <w:t>的上端安装孔接口是采用模具铸造成的具有 1.5 厘米厚度的铝合金，此接头牢固，安装方便。</w:t>
            </w:r>
          </w:p>
          <w:p>
            <w:pPr>
              <w:pStyle w:val="23"/>
              <w:spacing w:line="267" w:lineRule="exact"/>
              <w:ind w:left="113"/>
              <w:rPr>
                <w:sz w:val="21"/>
                <w:szCs w:val="21"/>
              </w:rPr>
            </w:pPr>
            <w:r>
              <w:rPr>
                <w:rFonts w:hint="eastAsia"/>
                <w:sz w:val="21"/>
                <w:szCs w:val="21"/>
                <w:lang w:val="en-US"/>
              </w:rPr>
              <w:t>10</w:t>
            </w:r>
            <w:r>
              <w:rPr>
                <w:sz w:val="21"/>
                <w:szCs w:val="21"/>
                <w:lang w:val="en-US"/>
              </w:rPr>
              <w:t>、</w:t>
            </w:r>
            <w:r>
              <w:rPr>
                <w:rFonts w:hint="eastAsia"/>
                <w:sz w:val="21"/>
                <w:szCs w:val="21"/>
                <w:lang w:val="en-US" w:eastAsia="zh-CN"/>
              </w:rPr>
              <w:t>监测仪</w:t>
            </w:r>
            <w:r>
              <w:rPr>
                <w:sz w:val="21"/>
                <w:szCs w:val="21"/>
                <w:lang w:val="en-US"/>
              </w:rPr>
              <w:t>的表盘是圆形大屏幕设计，便于观察。</w:t>
            </w:r>
          </w:p>
        </w:tc>
        <w:tc>
          <w:tcPr>
            <w:tcW w:w="1501" w:type="dxa"/>
            <w:tcBorders>
              <w:top w:val="single" w:color="000000" w:sz="4" w:space="0"/>
              <w:left w:val="single" w:color="000000" w:sz="4" w:space="0"/>
            </w:tcBorders>
          </w:tcPr>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rPr>
                <w:sz w:val="21"/>
                <w:szCs w:val="21"/>
              </w:rPr>
            </w:pPr>
          </w:p>
          <w:p>
            <w:pPr>
              <w:pStyle w:val="23"/>
              <w:spacing w:before="9"/>
              <w:rPr>
                <w:sz w:val="21"/>
                <w:szCs w:val="21"/>
              </w:rPr>
            </w:pPr>
          </w:p>
          <w:p>
            <w:pPr>
              <w:pStyle w:val="23"/>
              <w:ind w:right="144"/>
              <w:jc w:val="right"/>
              <w:rPr>
                <w:sz w:val="21"/>
                <w:szCs w:val="21"/>
              </w:rPr>
            </w:pPr>
            <w:r>
              <w:rPr>
                <w:sz w:val="21"/>
                <w:szCs w:val="21"/>
              </w:rPr>
              <w:t>（投标人填写）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42" w:hRule="atLeast"/>
        </w:trPr>
        <w:tc>
          <w:tcPr>
            <w:tcW w:w="2248" w:type="dxa"/>
            <w:tcBorders>
              <w:right w:val="single" w:color="000000" w:sz="4" w:space="0"/>
            </w:tcBorders>
          </w:tcPr>
          <w:p>
            <w:pPr>
              <w:tabs>
                <w:tab w:val="left" w:pos="318"/>
              </w:tabs>
              <w:bidi w:val="0"/>
              <w:jc w:val="left"/>
              <w:rPr>
                <w:sz w:val="21"/>
                <w:szCs w:val="21"/>
              </w:rPr>
            </w:pPr>
            <w:r>
              <w:rPr>
                <w:rFonts w:hint="eastAsia"/>
                <w:lang w:val="zh-CN" w:eastAsia="zh-CN"/>
              </w:rPr>
              <w:tab/>
            </w:r>
          </w:p>
        </w:tc>
        <w:tc>
          <w:tcPr>
            <w:tcW w:w="990" w:type="dxa"/>
            <w:tcBorders>
              <w:left w:val="single" w:color="000000" w:sz="4" w:space="0"/>
              <w:right w:val="single" w:color="000000" w:sz="4" w:space="0"/>
            </w:tcBorders>
          </w:tcPr>
          <w:p>
            <w:pPr>
              <w:pStyle w:val="23"/>
              <w:rPr>
                <w:sz w:val="21"/>
                <w:szCs w:val="21"/>
              </w:rPr>
            </w:pPr>
          </w:p>
        </w:tc>
        <w:tc>
          <w:tcPr>
            <w:tcW w:w="4855" w:type="dxa"/>
            <w:tcBorders>
              <w:left w:val="single" w:color="000000" w:sz="4" w:space="0"/>
              <w:right w:val="single" w:color="000000" w:sz="4" w:space="0"/>
            </w:tcBorders>
          </w:tcPr>
          <w:p>
            <w:pPr>
              <w:pStyle w:val="23"/>
              <w:spacing w:before="35" w:line="288" w:lineRule="auto"/>
              <w:ind w:left="113" w:right="93"/>
              <w:rPr>
                <w:sz w:val="21"/>
                <w:szCs w:val="21"/>
              </w:rPr>
            </w:pPr>
            <w:r>
              <w:rPr>
                <w:sz w:val="21"/>
                <w:szCs w:val="21"/>
              </w:rPr>
              <w:t>1</w:t>
            </w:r>
            <w:r>
              <w:rPr>
                <w:rFonts w:hint="eastAsia"/>
                <w:sz w:val="21"/>
                <w:szCs w:val="21"/>
                <w:lang w:val="en-US"/>
              </w:rPr>
              <w:t>1</w:t>
            </w:r>
            <w:r>
              <w:rPr>
                <w:sz w:val="21"/>
                <w:szCs w:val="21"/>
              </w:rPr>
              <w:t>、</w:t>
            </w:r>
            <w:r>
              <w:rPr>
                <w:rFonts w:hint="eastAsia"/>
                <w:sz w:val="21"/>
                <w:szCs w:val="21"/>
                <w:lang w:eastAsia="zh-CN"/>
              </w:rPr>
              <w:t>监测仪</w:t>
            </w:r>
            <w:r>
              <w:rPr>
                <w:sz w:val="21"/>
                <w:szCs w:val="21"/>
              </w:rPr>
              <w:t>质保期为</w:t>
            </w:r>
            <w:r>
              <w:rPr>
                <w:rFonts w:hint="eastAsia"/>
                <w:sz w:val="21"/>
                <w:szCs w:val="21"/>
                <w:lang w:val="en-US" w:eastAsia="zh-CN"/>
              </w:rPr>
              <w:t>8</w:t>
            </w:r>
            <w:r>
              <w:rPr>
                <w:sz w:val="21"/>
                <w:szCs w:val="21"/>
              </w:rPr>
              <w:t>年（若质保期内出现任何非人为问题，免费更换，质保期重新计算）</w:t>
            </w:r>
          </w:p>
          <w:p>
            <w:pPr>
              <w:pStyle w:val="23"/>
              <w:spacing w:before="35" w:line="288" w:lineRule="auto"/>
              <w:ind w:left="113" w:right="93"/>
              <w:rPr>
                <w:rFonts w:hint="eastAsia"/>
                <w:sz w:val="21"/>
                <w:szCs w:val="21"/>
              </w:rPr>
            </w:pPr>
            <w:r>
              <w:rPr>
                <w:rFonts w:hint="eastAsia"/>
                <w:sz w:val="21"/>
                <w:szCs w:val="21"/>
              </w:rPr>
              <w:t>1</w:t>
            </w:r>
            <w:r>
              <w:rPr>
                <w:sz w:val="21"/>
                <w:szCs w:val="21"/>
              </w:rPr>
              <w:t>2</w:t>
            </w:r>
            <w:r>
              <w:rPr>
                <w:rFonts w:hint="eastAsia"/>
                <w:sz w:val="21"/>
                <w:szCs w:val="21"/>
              </w:rPr>
              <w:t>、防水等级：7级及以上。</w:t>
            </w:r>
          </w:p>
        </w:tc>
        <w:tc>
          <w:tcPr>
            <w:tcW w:w="1501" w:type="dxa"/>
            <w:tcBorders>
              <w:left w:val="single" w:color="000000" w:sz="4" w:space="0"/>
            </w:tcBorders>
          </w:tcPr>
          <w:p>
            <w:pPr>
              <w:pStyle w:val="23"/>
              <w:rPr>
                <w:sz w:val="21"/>
                <w:szCs w:val="21"/>
              </w:rPr>
            </w:pPr>
          </w:p>
        </w:tc>
      </w:tr>
    </w:tbl>
    <w:p>
      <w:pPr>
        <w:pStyle w:val="3"/>
      </w:pPr>
    </w:p>
    <w:p>
      <w:pPr>
        <w:pStyle w:val="3"/>
        <w:spacing w:before="5"/>
      </w:pPr>
    </w:p>
    <w:p>
      <w:pPr>
        <w:pStyle w:val="22"/>
        <w:numPr>
          <w:ilvl w:val="0"/>
          <w:numId w:val="10"/>
        </w:numPr>
        <w:tabs>
          <w:tab w:val="left" w:pos="372"/>
        </w:tabs>
        <w:ind w:left="371" w:hanging="159"/>
        <w:rPr>
          <w:sz w:val="21"/>
          <w:szCs w:val="21"/>
        </w:rPr>
      </w:pPr>
      <w:r>
        <w:rPr>
          <w:rFonts w:hint="eastAsia"/>
          <w:sz w:val="21"/>
          <w:szCs w:val="21"/>
        </w:rPr>
        <w:t>投标人响应部分</w:t>
      </w:r>
    </w:p>
    <w:p>
      <w:pPr>
        <w:pStyle w:val="3"/>
      </w:pPr>
    </w:p>
    <w:p>
      <w:pPr>
        <w:pStyle w:val="22"/>
        <w:numPr>
          <w:ilvl w:val="1"/>
          <w:numId w:val="10"/>
        </w:numPr>
        <w:tabs>
          <w:tab w:val="left" w:pos="580"/>
        </w:tabs>
        <w:rPr>
          <w:sz w:val="21"/>
          <w:szCs w:val="21"/>
        </w:rPr>
      </w:pPr>
      <w:r>
        <w:rPr>
          <w:rFonts w:hint="eastAsia"/>
          <w:sz w:val="21"/>
          <w:szCs w:val="21"/>
        </w:rPr>
        <w:t>投标人技术偏差表</w:t>
      </w:r>
    </w:p>
    <w:p>
      <w:pPr>
        <w:pStyle w:val="3"/>
        <w:spacing w:before="2"/>
      </w:pPr>
    </w:p>
    <w:p>
      <w:pPr>
        <w:pStyle w:val="3"/>
        <w:spacing w:line="278" w:lineRule="auto"/>
        <w:ind w:left="212" w:right="215" w:firstLine="420"/>
      </w:pPr>
      <w:r>
        <w:t xml:space="preserve">投标人提供的产品技术规范应与本招标文件中规定的要求一致。若有偏差投标人应如实地填写偏差   </w:t>
      </w:r>
      <w:r>
        <w:rPr>
          <w:spacing w:val="3"/>
        </w:rPr>
        <w:t>值；若无技术偏差则视为完全满足本技术规范的要求，且在投标人技术偏差表中填写“无偏差”。</w:t>
      </w:r>
    </w:p>
    <w:p>
      <w:pPr>
        <w:pStyle w:val="3"/>
        <w:spacing w:after="22" w:line="269" w:lineRule="exact"/>
        <w:ind w:left="80" w:right="81"/>
        <w:jc w:val="center"/>
      </w:pPr>
    </w:p>
    <w:p>
      <w:pPr>
        <w:pStyle w:val="3"/>
        <w:spacing w:after="22" w:line="269" w:lineRule="exact"/>
        <w:ind w:left="80" w:right="81"/>
        <w:jc w:val="center"/>
      </w:pPr>
    </w:p>
    <w:p>
      <w:pPr>
        <w:pStyle w:val="3"/>
        <w:spacing w:after="22" w:line="269" w:lineRule="exact"/>
        <w:ind w:left="80" w:right="81"/>
        <w:jc w:val="center"/>
      </w:pPr>
    </w:p>
    <w:p>
      <w:pPr>
        <w:pStyle w:val="3"/>
        <w:spacing w:after="22" w:line="269" w:lineRule="exact"/>
        <w:ind w:left="80" w:right="81"/>
        <w:jc w:val="center"/>
      </w:pPr>
    </w:p>
    <w:p>
      <w:pPr>
        <w:pStyle w:val="3"/>
        <w:spacing w:after="22" w:line="269" w:lineRule="exact"/>
        <w:ind w:left="80" w:right="81"/>
        <w:jc w:val="center"/>
      </w:pPr>
      <w:r>
        <w:rPr>
          <w:rFonts w:hint="eastAsia"/>
        </w:rPr>
        <w:t xml:space="preserve">表 </w:t>
      </w:r>
      <w:r>
        <w:t xml:space="preserve">4  </w:t>
      </w:r>
      <w:r>
        <w:rPr>
          <w:rFonts w:hint="eastAsia"/>
        </w:rPr>
        <w:t>投标人技术偏差表</w:t>
      </w:r>
    </w:p>
    <w:tbl>
      <w:tblPr>
        <w:tblStyle w:val="9"/>
        <w:tblW w:w="9242" w:type="dxa"/>
        <w:tblInd w:w="42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658"/>
        <w:gridCol w:w="1939"/>
        <w:gridCol w:w="1667"/>
        <w:gridCol w:w="1957"/>
        <w:gridCol w:w="1768"/>
        <w:gridCol w:w="125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3" w:hRule="atLeast"/>
        </w:trPr>
        <w:tc>
          <w:tcPr>
            <w:tcW w:w="658" w:type="dxa"/>
            <w:tcBorders>
              <w:bottom w:val="single" w:color="000000" w:sz="4" w:space="0"/>
              <w:right w:val="single" w:color="000000" w:sz="4" w:space="0"/>
            </w:tcBorders>
          </w:tcPr>
          <w:p>
            <w:pPr>
              <w:pStyle w:val="23"/>
              <w:spacing w:before="6"/>
              <w:rPr>
                <w:sz w:val="21"/>
                <w:szCs w:val="21"/>
              </w:rPr>
            </w:pPr>
          </w:p>
          <w:p>
            <w:pPr>
              <w:pStyle w:val="23"/>
              <w:ind w:left="128" w:right="115"/>
              <w:jc w:val="center"/>
              <w:rPr>
                <w:sz w:val="21"/>
                <w:szCs w:val="21"/>
              </w:rPr>
            </w:pPr>
            <w:r>
              <w:rPr>
                <w:sz w:val="21"/>
                <w:szCs w:val="21"/>
              </w:rPr>
              <w:t>序号</w:t>
            </w:r>
          </w:p>
        </w:tc>
        <w:tc>
          <w:tcPr>
            <w:tcW w:w="1939" w:type="dxa"/>
            <w:tcBorders>
              <w:left w:val="single" w:color="000000" w:sz="4" w:space="0"/>
              <w:bottom w:val="single" w:color="000000" w:sz="4" w:space="0"/>
              <w:right w:val="single" w:color="000000" w:sz="4" w:space="0"/>
            </w:tcBorders>
          </w:tcPr>
          <w:p>
            <w:pPr>
              <w:pStyle w:val="23"/>
              <w:spacing w:before="6"/>
              <w:rPr>
                <w:sz w:val="21"/>
                <w:szCs w:val="21"/>
              </w:rPr>
            </w:pPr>
          </w:p>
          <w:p>
            <w:pPr>
              <w:pStyle w:val="23"/>
              <w:ind w:left="773" w:right="755"/>
              <w:jc w:val="center"/>
              <w:rPr>
                <w:sz w:val="21"/>
                <w:szCs w:val="21"/>
              </w:rPr>
            </w:pPr>
            <w:r>
              <w:rPr>
                <w:sz w:val="21"/>
                <w:szCs w:val="21"/>
              </w:rPr>
              <w:t>项目</w:t>
            </w:r>
          </w:p>
        </w:tc>
        <w:tc>
          <w:tcPr>
            <w:tcW w:w="1667" w:type="dxa"/>
            <w:tcBorders>
              <w:left w:val="single" w:color="000000" w:sz="4" w:space="0"/>
              <w:bottom w:val="single" w:color="000000" w:sz="4" w:space="0"/>
              <w:right w:val="single" w:color="000000" w:sz="4" w:space="0"/>
            </w:tcBorders>
          </w:tcPr>
          <w:p>
            <w:pPr>
              <w:pStyle w:val="23"/>
              <w:spacing w:before="6"/>
              <w:rPr>
                <w:sz w:val="21"/>
                <w:szCs w:val="21"/>
              </w:rPr>
            </w:pPr>
          </w:p>
          <w:p>
            <w:pPr>
              <w:pStyle w:val="23"/>
              <w:ind w:left="297"/>
              <w:rPr>
                <w:sz w:val="21"/>
                <w:szCs w:val="21"/>
              </w:rPr>
            </w:pPr>
            <w:r>
              <w:rPr>
                <w:sz w:val="21"/>
                <w:szCs w:val="21"/>
              </w:rPr>
              <w:t>对应条款编号</w:t>
            </w:r>
          </w:p>
        </w:tc>
        <w:tc>
          <w:tcPr>
            <w:tcW w:w="1957" w:type="dxa"/>
            <w:tcBorders>
              <w:left w:val="single" w:color="000000" w:sz="4" w:space="0"/>
              <w:bottom w:val="single" w:color="000000" w:sz="4" w:space="0"/>
              <w:right w:val="single" w:color="000000" w:sz="4" w:space="0"/>
            </w:tcBorders>
          </w:tcPr>
          <w:p>
            <w:pPr>
              <w:pStyle w:val="23"/>
              <w:spacing w:before="6"/>
              <w:rPr>
                <w:sz w:val="21"/>
                <w:szCs w:val="21"/>
              </w:rPr>
            </w:pPr>
          </w:p>
          <w:p>
            <w:pPr>
              <w:pStyle w:val="23"/>
              <w:ind w:left="262"/>
              <w:rPr>
                <w:sz w:val="21"/>
                <w:szCs w:val="21"/>
              </w:rPr>
            </w:pPr>
            <w:r>
              <w:rPr>
                <w:sz w:val="21"/>
                <w:szCs w:val="21"/>
              </w:rPr>
              <w:t>技术招标文件要求</w:t>
            </w:r>
          </w:p>
        </w:tc>
        <w:tc>
          <w:tcPr>
            <w:tcW w:w="1768" w:type="dxa"/>
            <w:tcBorders>
              <w:left w:val="single" w:color="000000" w:sz="4" w:space="0"/>
              <w:bottom w:val="single" w:color="000000" w:sz="4" w:space="0"/>
              <w:right w:val="single" w:color="000000" w:sz="4" w:space="0"/>
            </w:tcBorders>
          </w:tcPr>
          <w:p>
            <w:pPr>
              <w:pStyle w:val="23"/>
              <w:spacing w:before="6"/>
              <w:rPr>
                <w:sz w:val="21"/>
                <w:szCs w:val="21"/>
              </w:rPr>
            </w:pPr>
          </w:p>
          <w:p>
            <w:pPr>
              <w:pStyle w:val="23"/>
              <w:ind w:left="687" w:right="670"/>
              <w:jc w:val="center"/>
              <w:rPr>
                <w:sz w:val="21"/>
                <w:szCs w:val="21"/>
              </w:rPr>
            </w:pPr>
            <w:r>
              <w:rPr>
                <w:sz w:val="21"/>
                <w:szCs w:val="21"/>
              </w:rPr>
              <w:t>偏差</w:t>
            </w:r>
          </w:p>
        </w:tc>
        <w:tc>
          <w:tcPr>
            <w:tcW w:w="1253" w:type="dxa"/>
            <w:tcBorders>
              <w:left w:val="single" w:color="000000" w:sz="4" w:space="0"/>
              <w:bottom w:val="single" w:color="000000" w:sz="4" w:space="0"/>
            </w:tcBorders>
          </w:tcPr>
          <w:p>
            <w:pPr>
              <w:pStyle w:val="23"/>
              <w:spacing w:before="6"/>
              <w:rPr>
                <w:sz w:val="21"/>
                <w:szCs w:val="21"/>
              </w:rPr>
            </w:pPr>
          </w:p>
          <w:p>
            <w:pPr>
              <w:pStyle w:val="23"/>
              <w:ind w:left="431" w:right="406"/>
              <w:jc w:val="center"/>
              <w:rPr>
                <w:sz w:val="21"/>
                <w:szCs w:val="21"/>
              </w:rPr>
            </w:pPr>
            <w:r>
              <w:rPr>
                <w:sz w:val="21"/>
                <w:szCs w:val="21"/>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658" w:type="dxa"/>
            <w:tcBorders>
              <w:top w:val="single" w:color="000000" w:sz="4" w:space="0"/>
              <w:bottom w:val="single" w:color="000000" w:sz="4" w:space="0"/>
              <w:right w:val="single" w:color="000000" w:sz="4" w:space="0"/>
            </w:tcBorders>
          </w:tcPr>
          <w:p>
            <w:pPr>
              <w:pStyle w:val="23"/>
              <w:spacing w:before="74"/>
              <w:ind w:left="12"/>
              <w:jc w:val="center"/>
              <w:rPr>
                <w:sz w:val="21"/>
                <w:szCs w:val="21"/>
              </w:rPr>
            </w:pPr>
            <w:r>
              <w:rPr>
                <w:sz w:val="21"/>
                <w:szCs w:val="21"/>
              </w:rPr>
              <w:t>1</w:t>
            </w:r>
          </w:p>
        </w:tc>
        <w:tc>
          <w:tcPr>
            <w:tcW w:w="1939"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667"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957"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768"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253" w:type="dxa"/>
            <w:tcBorders>
              <w:top w:val="single" w:color="000000" w:sz="4" w:space="0"/>
              <w:left w:val="single" w:color="000000" w:sz="4" w:space="0"/>
              <w:bottom w:val="single" w:color="000000" w:sz="4" w:space="0"/>
            </w:tcBorders>
          </w:tcPr>
          <w:p>
            <w:pPr>
              <w:pStyle w:val="23"/>
              <w:rPr>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37" w:hRule="atLeast"/>
        </w:trPr>
        <w:tc>
          <w:tcPr>
            <w:tcW w:w="658" w:type="dxa"/>
            <w:tcBorders>
              <w:top w:val="single" w:color="000000" w:sz="4" w:space="0"/>
              <w:bottom w:val="single" w:color="000000" w:sz="4" w:space="0"/>
              <w:right w:val="single" w:color="000000" w:sz="4" w:space="0"/>
            </w:tcBorders>
          </w:tcPr>
          <w:p>
            <w:pPr>
              <w:pStyle w:val="23"/>
              <w:spacing w:before="63"/>
              <w:ind w:left="12"/>
              <w:jc w:val="center"/>
              <w:rPr>
                <w:sz w:val="21"/>
                <w:szCs w:val="21"/>
              </w:rPr>
            </w:pPr>
            <w:r>
              <w:rPr>
                <w:sz w:val="21"/>
                <w:szCs w:val="21"/>
              </w:rPr>
              <w:t>2</w:t>
            </w:r>
          </w:p>
        </w:tc>
        <w:tc>
          <w:tcPr>
            <w:tcW w:w="1939"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667"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957"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768"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253" w:type="dxa"/>
            <w:tcBorders>
              <w:top w:val="single" w:color="000000" w:sz="4" w:space="0"/>
              <w:left w:val="single" w:color="000000" w:sz="4" w:space="0"/>
              <w:bottom w:val="single" w:color="000000" w:sz="4" w:space="0"/>
            </w:tcBorders>
          </w:tcPr>
          <w:p>
            <w:pPr>
              <w:pStyle w:val="23"/>
              <w:rPr>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8" w:hRule="atLeast"/>
        </w:trPr>
        <w:tc>
          <w:tcPr>
            <w:tcW w:w="658" w:type="dxa"/>
            <w:tcBorders>
              <w:top w:val="single" w:color="000000" w:sz="4" w:space="0"/>
              <w:right w:val="single" w:color="000000" w:sz="4" w:space="0"/>
            </w:tcBorders>
          </w:tcPr>
          <w:p>
            <w:pPr>
              <w:pStyle w:val="23"/>
              <w:spacing w:before="76"/>
              <w:ind w:left="12"/>
              <w:jc w:val="center"/>
              <w:rPr>
                <w:sz w:val="21"/>
                <w:szCs w:val="21"/>
              </w:rPr>
            </w:pPr>
            <w:r>
              <w:rPr>
                <w:sz w:val="21"/>
                <w:szCs w:val="21"/>
              </w:rPr>
              <w:t>3</w:t>
            </w:r>
          </w:p>
        </w:tc>
        <w:tc>
          <w:tcPr>
            <w:tcW w:w="1939" w:type="dxa"/>
            <w:tcBorders>
              <w:top w:val="single" w:color="000000" w:sz="4" w:space="0"/>
              <w:left w:val="single" w:color="000000" w:sz="4" w:space="0"/>
              <w:right w:val="single" w:color="000000" w:sz="4" w:space="0"/>
            </w:tcBorders>
          </w:tcPr>
          <w:p>
            <w:pPr>
              <w:pStyle w:val="23"/>
              <w:rPr>
                <w:sz w:val="21"/>
                <w:szCs w:val="21"/>
              </w:rPr>
            </w:pPr>
          </w:p>
        </w:tc>
        <w:tc>
          <w:tcPr>
            <w:tcW w:w="1667" w:type="dxa"/>
            <w:tcBorders>
              <w:top w:val="single" w:color="000000" w:sz="4" w:space="0"/>
              <w:left w:val="single" w:color="000000" w:sz="4" w:space="0"/>
              <w:right w:val="single" w:color="000000" w:sz="4" w:space="0"/>
            </w:tcBorders>
          </w:tcPr>
          <w:p>
            <w:pPr>
              <w:pStyle w:val="23"/>
              <w:rPr>
                <w:sz w:val="21"/>
                <w:szCs w:val="21"/>
              </w:rPr>
            </w:pPr>
          </w:p>
        </w:tc>
        <w:tc>
          <w:tcPr>
            <w:tcW w:w="1957" w:type="dxa"/>
            <w:tcBorders>
              <w:top w:val="single" w:color="000000" w:sz="4" w:space="0"/>
              <w:left w:val="single" w:color="000000" w:sz="4" w:space="0"/>
              <w:right w:val="single" w:color="000000" w:sz="4" w:space="0"/>
            </w:tcBorders>
          </w:tcPr>
          <w:p>
            <w:pPr>
              <w:pStyle w:val="23"/>
              <w:rPr>
                <w:sz w:val="21"/>
                <w:szCs w:val="21"/>
              </w:rPr>
            </w:pPr>
          </w:p>
        </w:tc>
        <w:tc>
          <w:tcPr>
            <w:tcW w:w="1768" w:type="dxa"/>
            <w:tcBorders>
              <w:top w:val="single" w:color="000000" w:sz="4" w:space="0"/>
              <w:left w:val="single" w:color="000000" w:sz="4" w:space="0"/>
              <w:right w:val="single" w:color="000000" w:sz="4" w:space="0"/>
            </w:tcBorders>
          </w:tcPr>
          <w:p>
            <w:pPr>
              <w:pStyle w:val="23"/>
              <w:rPr>
                <w:sz w:val="21"/>
                <w:szCs w:val="21"/>
              </w:rPr>
            </w:pPr>
          </w:p>
        </w:tc>
        <w:tc>
          <w:tcPr>
            <w:tcW w:w="1253" w:type="dxa"/>
            <w:tcBorders>
              <w:top w:val="single" w:color="000000" w:sz="4" w:space="0"/>
              <w:left w:val="single" w:color="000000" w:sz="4" w:space="0"/>
            </w:tcBorders>
          </w:tcPr>
          <w:p>
            <w:pPr>
              <w:pStyle w:val="23"/>
              <w:rPr>
                <w:sz w:val="21"/>
                <w:szCs w:val="21"/>
              </w:rPr>
            </w:pPr>
          </w:p>
        </w:tc>
      </w:tr>
    </w:tbl>
    <w:p>
      <w:pPr>
        <w:pStyle w:val="3"/>
        <w:spacing w:before="2"/>
      </w:pPr>
    </w:p>
    <w:p>
      <w:pPr>
        <w:pStyle w:val="22"/>
        <w:numPr>
          <w:ilvl w:val="1"/>
          <w:numId w:val="10"/>
        </w:numPr>
        <w:tabs>
          <w:tab w:val="left" w:pos="530"/>
        </w:tabs>
        <w:ind w:left="529" w:hanging="317"/>
        <w:rPr>
          <w:sz w:val="21"/>
          <w:szCs w:val="21"/>
        </w:rPr>
      </w:pPr>
      <w:r>
        <w:rPr>
          <w:rFonts w:hint="eastAsia"/>
          <w:sz w:val="21"/>
          <w:szCs w:val="21"/>
        </w:rPr>
        <w:t>推荐的备品备件、专用工具</w:t>
      </w:r>
    </w:p>
    <w:p>
      <w:pPr>
        <w:pStyle w:val="3"/>
        <w:spacing w:before="3"/>
      </w:pPr>
    </w:p>
    <w:p>
      <w:pPr>
        <w:pStyle w:val="3"/>
        <w:ind w:left="80" w:right="81"/>
        <w:jc w:val="center"/>
      </w:pPr>
      <w:r>
        <w:rPr>
          <w:rFonts w:hint="eastAsia"/>
        </w:rPr>
        <w:t xml:space="preserve">表 </w:t>
      </w:r>
      <w:r>
        <w:t xml:space="preserve">5 </w:t>
      </w:r>
      <w:r>
        <w:rPr>
          <w:rFonts w:hint="eastAsia"/>
        </w:rPr>
        <w:t>推荐的备品备件、专用工具表</w:t>
      </w:r>
    </w:p>
    <w:tbl>
      <w:tblPr>
        <w:tblStyle w:val="9"/>
        <w:tblW w:w="9242" w:type="dxa"/>
        <w:tblInd w:w="42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59"/>
        <w:gridCol w:w="2980"/>
        <w:gridCol w:w="2915"/>
        <w:gridCol w:w="1140"/>
        <w:gridCol w:w="104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02" w:hRule="atLeast"/>
        </w:trPr>
        <w:tc>
          <w:tcPr>
            <w:tcW w:w="1159" w:type="dxa"/>
            <w:tcBorders>
              <w:bottom w:val="single" w:color="000000" w:sz="4" w:space="0"/>
              <w:right w:val="single" w:color="000000" w:sz="4" w:space="0"/>
            </w:tcBorders>
          </w:tcPr>
          <w:p>
            <w:pPr>
              <w:pStyle w:val="23"/>
              <w:spacing w:before="137"/>
              <w:ind w:left="380" w:right="364"/>
              <w:jc w:val="center"/>
              <w:rPr>
                <w:sz w:val="21"/>
                <w:szCs w:val="21"/>
              </w:rPr>
            </w:pPr>
            <w:r>
              <w:rPr>
                <w:sz w:val="21"/>
                <w:szCs w:val="21"/>
              </w:rPr>
              <w:t>序号</w:t>
            </w:r>
          </w:p>
        </w:tc>
        <w:tc>
          <w:tcPr>
            <w:tcW w:w="2980" w:type="dxa"/>
            <w:tcBorders>
              <w:left w:val="single" w:color="000000" w:sz="4" w:space="0"/>
              <w:bottom w:val="single" w:color="000000" w:sz="4" w:space="0"/>
              <w:right w:val="single" w:color="000000" w:sz="4" w:space="0"/>
            </w:tcBorders>
          </w:tcPr>
          <w:p>
            <w:pPr>
              <w:pStyle w:val="23"/>
              <w:spacing w:before="137"/>
              <w:ind w:left="1295" w:right="1275"/>
              <w:jc w:val="center"/>
              <w:rPr>
                <w:sz w:val="21"/>
                <w:szCs w:val="21"/>
              </w:rPr>
            </w:pPr>
            <w:r>
              <w:rPr>
                <w:sz w:val="21"/>
                <w:szCs w:val="21"/>
              </w:rPr>
              <w:t>名称</w:t>
            </w:r>
          </w:p>
        </w:tc>
        <w:tc>
          <w:tcPr>
            <w:tcW w:w="2915" w:type="dxa"/>
            <w:tcBorders>
              <w:left w:val="single" w:color="000000" w:sz="4" w:space="0"/>
              <w:bottom w:val="single" w:color="000000" w:sz="4" w:space="0"/>
              <w:right w:val="single" w:color="000000" w:sz="4" w:space="0"/>
            </w:tcBorders>
          </w:tcPr>
          <w:p>
            <w:pPr>
              <w:pStyle w:val="23"/>
              <w:spacing w:before="137"/>
              <w:ind w:left="991" w:right="974"/>
              <w:jc w:val="center"/>
              <w:rPr>
                <w:sz w:val="21"/>
                <w:szCs w:val="21"/>
              </w:rPr>
            </w:pPr>
            <w:r>
              <w:rPr>
                <w:sz w:val="21"/>
                <w:szCs w:val="21"/>
              </w:rPr>
              <w:t>型号和规格</w:t>
            </w:r>
          </w:p>
        </w:tc>
        <w:tc>
          <w:tcPr>
            <w:tcW w:w="1140" w:type="dxa"/>
            <w:tcBorders>
              <w:left w:val="single" w:color="000000" w:sz="4" w:space="0"/>
              <w:bottom w:val="single" w:color="000000" w:sz="4" w:space="0"/>
              <w:right w:val="single" w:color="000000" w:sz="4" w:space="0"/>
            </w:tcBorders>
          </w:tcPr>
          <w:p>
            <w:pPr>
              <w:pStyle w:val="23"/>
              <w:spacing w:before="137"/>
              <w:ind w:left="395"/>
              <w:rPr>
                <w:sz w:val="21"/>
                <w:szCs w:val="21"/>
              </w:rPr>
            </w:pPr>
            <w:r>
              <w:rPr>
                <w:sz w:val="21"/>
                <w:szCs w:val="21"/>
              </w:rPr>
              <w:t>单位</w:t>
            </w:r>
          </w:p>
        </w:tc>
        <w:tc>
          <w:tcPr>
            <w:tcW w:w="1048" w:type="dxa"/>
            <w:tcBorders>
              <w:left w:val="single" w:color="000000" w:sz="4" w:space="0"/>
              <w:bottom w:val="single" w:color="000000" w:sz="4" w:space="0"/>
            </w:tcBorders>
          </w:tcPr>
          <w:p>
            <w:pPr>
              <w:pStyle w:val="23"/>
              <w:spacing w:before="137"/>
              <w:ind w:left="344"/>
              <w:rPr>
                <w:sz w:val="21"/>
                <w:szCs w:val="21"/>
              </w:rPr>
            </w:pPr>
            <w:r>
              <w:rPr>
                <w:sz w:val="21"/>
                <w:szCs w:val="21"/>
              </w:rPr>
              <w:t>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5" w:hRule="atLeast"/>
        </w:trPr>
        <w:tc>
          <w:tcPr>
            <w:tcW w:w="1159" w:type="dxa"/>
            <w:tcBorders>
              <w:top w:val="single" w:color="000000" w:sz="4" w:space="0"/>
              <w:bottom w:val="single" w:color="000000" w:sz="4" w:space="0"/>
              <w:right w:val="single" w:color="000000" w:sz="4" w:space="0"/>
            </w:tcBorders>
          </w:tcPr>
          <w:p>
            <w:pPr>
              <w:pStyle w:val="23"/>
              <w:spacing w:before="119"/>
              <w:ind w:left="20"/>
              <w:jc w:val="center"/>
              <w:rPr>
                <w:sz w:val="21"/>
                <w:szCs w:val="21"/>
              </w:rPr>
            </w:pPr>
            <w:r>
              <w:rPr>
                <w:sz w:val="21"/>
                <w:szCs w:val="21"/>
              </w:rPr>
              <w:t>1</w:t>
            </w:r>
          </w:p>
        </w:tc>
        <w:tc>
          <w:tcPr>
            <w:tcW w:w="2980"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2915"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140"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048" w:type="dxa"/>
            <w:tcBorders>
              <w:top w:val="single" w:color="000000" w:sz="4" w:space="0"/>
              <w:left w:val="single" w:color="000000" w:sz="4" w:space="0"/>
              <w:bottom w:val="single" w:color="000000" w:sz="4" w:space="0"/>
            </w:tcBorders>
          </w:tcPr>
          <w:p>
            <w:pPr>
              <w:pStyle w:val="23"/>
              <w:rPr>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17" w:hRule="atLeast"/>
        </w:trPr>
        <w:tc>
          <w:tcPr>
            <w:tcW w:w="1159" w:type="dxa"/>
            <w:tcBorders>
              <w:top w:val="single" w:color="000000" w:sz="4" w:space="0"/>
              <w:bottom w:val="single" w:color="000000" w:sz="4" w:space="0"/>
              <w:right w:val="single" w:color="000000" w:sz="4" w:space="0"/>
            </w:tcBorders>
          </w:tcPr>
          <w:p>
            <w:pPr>
              <w:pStyle w:val="23"/>
              <w:spacing w:before="105"/>
              <w:ind w:left="20"/>
              <w:jc w:val="center"/>
              <w:rPr>
                <w:sz w:val="21"/>
                <w:szCs w:val="21"/>
              </w:rPr>
            </w:pPr>
            <w:r>
              <w:rPr>
                <w:sz w:val="21"/>
                <w:szCs w:val="21"/>
              </w:rPr>
              <w:t>2</w:t>
            </w:r>
          </w:p>
        </w:tc>
        <w:tc>
          <w:tcPr>
            <w:tcW w:w="2980"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2915"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140" w:type="dxa"/>
            <w:tcBorders>
              <w:top w:val="single" w:color="000000" w:sz="4" w:space="0"/>
              <w:left w:val="single" w:color="000000" w:sz="4" w:space="0"/>
              <w:bottom w:val="single" w:color="000000" w:sz="4" w:space="0"/>
              <w:right w:val="single" w:color="000000" w:sz="4" w:space="0"/>
            </w:tcBorders>
          </w:tcPr>
          <w:p>
            <w:pPr>
              <w:pStyle w:val="23"/>
              <w:rPr>
                <w:sz w:val="21"/>
                <w:szCs w:val="21"/>
              </w:rPr>
            </w:pPr>
          </w:p>
        </w:tc>
        <w:tc>
          <w:tcPr>
            <w:tcW w:w="1048" w:type="dxa"/>
            <w:tcBorders>
              <w:top w:val="single" w:color="000000" w:sz="4" w:space="0"/>
              <w:left w:val="single" w:color="000000" w:sz="4" w:space="0"/>
              <w:bottom w:val="single" w:color="000000" w:sz="4" w:space="0"/>
            </w:tcBorders>
          </w:tcPr>
          <w:p>
            <w:pPr>
              <w:pStyle w:val="23"/>
              <w:rPr>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5" w:hRule="atLeast"/>
        </w:trPr>
        <w:tc>
          <w:tcPr>
            <w:tcW w:w="1159" w:type="dxa"/>
            <w:tcBorders>
              <w:top w:val="single" w:color="000000" w:sz="4" w:space="0"/>
              <w:right w:val="single" w:color="000000" w:sz="4" w:space="0"/>
            </w:tcBorders>
          </w:tcPr>
          <w:p>
            <w:pPr>
              <w:pStyle w:val="23"/>
              <w:spacing w:before="118"/>
              <w:ind w:left="20"/>
              <w:jc w:val="center"/>
              <w:rPr>
                <w:sz w:val="21"/>
                <w:szCs w:val="21"/>
              </w:rPr>
            </w:pPr>
            <w:r>
              <w:rPr>
                <w:sz w:val="21"/>
                <w:szCs w:val="21"/>
              </w:rPr>
              <w:t>3</w:t>
            </w:r>
          </w:p>
        </w:tc>
        <w:tc>
          <w:tcPr>
            <w:tcW w:w="2980" w:type="dxa"/>
            <w:tcBorders>
              <w:top w:val="single" w:color="000000" w:sz="4" w:space="0"/>
              <w:left w:val="single" w:color="000000" w:sz="4" w:space="0"/>
              <w:right w:val="single" w:color="000000" w:sz="4" w:space="0"/>
            </w:tcBorders>
          </w:tcPr>
          <w:p>
            <w:pPr>
              <w:pStyle w:val="23"/>
              <w:rPr>
                <w:sz w:val="21"/>
                <w:szCs w:val="21"/>
              </w:rPr>
            </w:pPr>
          </w:p>
        </w:tc>
        <w:tc>
          <w:tcPr>
            <w:tcW w:w="2915" w:type="dxa"/>
            <w:tcBorders>
              <w:top w:val="single" w:color="000000" w:sz="4" w:space="0"/>
              <w:left w:val="single" w:color="000000" w:sz="4" w:space="0"/>
              <w:right w:val="single" w:color="000000" w:sz="4" w:space="0"/>
            </w:tcBorders>
          </w:tcPr>
          <w:p>
            <w:pPr>
              <w:pStyle w:val="23"/>
              <w:rPr>
                <w:sz w:val="21"/>
                <w:szCs w:val="21"/>
              </w:rPr>
            </w:pPr>
          </w:p>
        </w:tc>
        <w:tc>
          <w:tcPr>
            <w:tcW w:w="1140" w:type="dxa"/>
            <w:tcBorders>
              <w:top w:val="single" w:color="000000" w:sz="4" w:space="0"/>
              <w:left w:val="single" w:color="000000" w:sz="4" w:space="0"/>
              <w:right w:val="single" w:color="000000" w:sz="4" w:space="0"/>
            </w:tcBorders>
          </w:tcPr>
          <w:p>
            <w:pPr>
              <w:pStyle w:val="23"/>
              <w:rPr>
                <w:sz w:val="21"/>
                <w:szCs w:val="21"/>
              </w:rPr>
            </w:pPr>
          </w:p>
        </w:tc>
        <w:tc>
          <w:tcPr>
            <w:tcW w:w="1048" w:type="dxa"/>
            <w:tcBorders>
              <w:top w:val="single" w:color="000000" w:sz="4" w:space="0"/>
              <w:left w:val="single" w:color="000000" w:sz="4" w:space="0"/>
            </w:tcBorders>
          </w:tcPr>
          <w:p>
            <w:pPr>
              <w:pStyle w:val="23"/>
              <w:rPr>
                <w:sz w:val="21"/>
                <w:szCs w:val="21"/>
              </w:rPr>
            </w:pPr>
          </w:p>
        </w:tc>
      </w:tr>
    </w:tbl>
    <w:p>
      <w:pPr>
        <w:pStyle w:val="22"/>
        <w:numPr>
          <w:ilvl w:val="1"/>
          <w:numId w:val="10"/>
        </w:numPr>
        <w:tabs>
          <w:tab w:val="left" w:pos="530"/>
        </w:tabs>
        <w:ind w:left="529" w:hanging="317"/>
        <w:rPr>
          <w:rFonts w:hint="eastAsia"/>
          <w:sz w:val="21"/>
          <w:szCs w:val="21"/>
        </w:rPr>
      </w:pPr>
      <w:r>
        <w:rPr>
          <w:rFonts w:hint="eastAsia"/>
          <w:sz w:val="21"/>
          <w:szCs w:val="21"/>
        </w:rPr>
        <w:t>供货范围</w:t>
      </w:r>
    </w:p>
    <w:p>
      <w:pPr>
        <w:spacing w:before="120" w:beforeLines="50"/>
        <w:ind w:left="-301" w:firstLine="420" w:firstLineChars="200"/>
        <w:rPr>
          <w:rFonts w:hint="eastAsia"/>
          <w:sz w:val="21"/>
          <w:szCs w:val="21"/>
        </w:rPr>
      </w:pPr>
      <w:r>
        <w:rPr>
          <w:rFonts w:hint="eastAsia"/>
          <w:sz w:val="21"/>
          <w:szCs w:val="21"/>
        </w:rPr>
        <w:t>投标方应按本标书的要求提供全新的、合格的设备及其附属设备、备品备件、专用工具和仪器。投标方所提供的组件或附件如需向第三方外购时，投标方应对质量向招标方负责，并提供相应出厂和验收</w:t>
      </w:r>
      <w:r>
        <w:rPr>
          <w:rFonts w:hint="eastAsia" w:ascii="宋体" w:hAnsi="宋体" w:eastAsia="宋体" w:cs="宋体"/>
          <w:sz w:val="21"/>
          <w:szCs w:val="21"/>
          <w:lang w:val="zh-CN" w:eastAsia="zh-CN" w:bidi="zh-CN"/>
        </w:rPr>
        <w:t>证明</w:t>
      </w:r>
      <w:r>
        <w:rPr>
          <w:rFonts w:hint="eastAsia"/>
          <w:sz w:val="21"/>
          <w:szCs w:val="21"/>
        </w:rPr>
        <w:t>。</w:t>
      </w:r>
    </w:p>
    <w:p>
      <w:pPr>
        <w:pStyle w:val="22"/>
        <w:numPr>
          <w:ilvl w:val="0"/>
          <w:numId w:val="0"/>
        </w:numPr>
        <w:tabs>
          <w:tab w:val="left" w:pos="530"/>
        </w:tabs>
        <w:ind w:firstLine="630" w:firstLineChars="300"/>
        <w:rPr>
          <w:rFonts w:hint="eastAsia"/>
          <w:sz w:val="21"/>
          <w:szCs w:val="21"/>
        </w:rPr>
      </w:pPr>
      <w:r>
        <w:rPr>
          <w:rFonts w:hint="eastAsia"/>
          <w:sz w:val="21"/>
          <w:szCs w:val="21"/>
        </w:rPr>
        <w:t>供货范围一览表</w:t>
      </w:r>
    </w:p>
    <w:tbl>
      <w:tblPr>
        <w:tblStyle w:val="7"/>
        <w:tblW w:w="97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54"/>
        <w:gridCol w:w="1240"/>
        <w:gridCol w:w="886"/>
        <w:gridCol w:w="2977"/>
        <w:gridCol w:w="708"/>
        <w:gridCol w:w="2162"/>
        <w:gridCol w:w="6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02" w:hRule="atLeast"/>
          <w:tblHeader/>
          <w:jc w:val="center"/>
        </w:trPr>
        <w:tc>
          <w:tcPr>
            <w:tcW w:w="1154" w:type="dxa"/>
            <w:vMerge w:val="restart"/>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序号</w:t>
            </w:r>
          </w:p>
        </w:tc>
        <w:tc>
          <w:tcPr>
            <w:tcW w:w="1240" w:type="dxa"/>
            <w:vMerge w:val="restart"/>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名  称</w:t>
            </w:r>
          </w:p>
        </w:tc>
        <w:tc>
          <w:tcPr>
            <w:tcW w:w="886" w:type="dxa"/>
            <w:vMerge w:val="restart"/>
            <w:tcBorders>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单位</w:t>
            </w:r>
          </w:p>
        </w:tc>
        <w:tc>
          <w:tcPr>
            <w:tcW w:w="3685" w:type="dxa"/>
            <w:gridSpan w:val="2"/>
            <w:tcBorders>
              <w:left w:val="single" w:color="auto" w:sz="4" w:space="0"/>
              <w:bottom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项目要求</w:t>
            </w:r>
          </w:p>
        </w:tc>
        <w:tc>
          <w:tcPr>
            <w:tcW w:w="2797" w:type="dxa"/>
            <w:gridSpan w:val="2"/>
            <w:tcBorders>
              <w:bottom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2" w:hRule="atLeast"/>
          <w:tblHeader/>
          <w:jc w:val="center"/>
        </w:trPr>
        <w:tc>
          <w:tcPr>
            <w:tcW w:w="1154" w:type="dxa"/>
            <w:vMerge w:val="continue"/>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1240" w:type="dxa"/>
            <w:vMerge w:val="continue"/>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886" w:type="dxa"/>
            <w:vMerge w:val="continue"/>
            <w:tcBorders>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2977" w:type="dxa"/>
            <w:tcBorders>
              <w:top w:val="single" w:color="auto" w:sz="4" w:space="0"/>
              <w:left w:val="single" w:color="auto" w:sz="4" w:space="0"/>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型式、规格</w:t>
            </w:r>
          </w:p>
        </w:tc>
        <w:tc>
          <w:tcPr>
            <w:tcW w:w="708" w:type="dxa"/>
            <w:tcBorders>
              <w:top w:val="single" w:color="auto" w:sz="4" w:space="0"/>
              <w:lef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数量</w:t>
            </w:r>
          </w:p>
        </w:tc>
        <w:tc>
          <w:tcPr>
            <w:tcW w:w="2162" w:type="dxa"/>
            <w:tcBorders>
              <w:top w:val="single" w:color="auto" w:sz="4" w:space="0"/>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型式、规格</w:t>
            </w:r>
          </w:p>
        </w:tc>
        <w:tc>
          <w:tcPr>
            <w:tcW w:w="635" w:type="dxa"/>
            <w:tcBorders>
              <w:top w:val="single" w:color="auto" w:sz="4" w:space="0"/>
              <w:lef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r>
              <w:rPr>
                <w:rFonts w:hint="eastAsia" w:ascii="宋体" w:hAnsi="宋体" w:eastAsia="宋体" w:cs="宋体"/>
                <w:sz w:val="21"/>
                <w:szCs w:val="21"/>
                <w:lang w:val="zh-CN" w:eastAsia="zh-CN" w:bidi="zh-CN"/>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801" w:hRule="atLeast"/>
          <w:jc w:val="center"/>
        </w:trPr>
        <w:tc>
          <w:tcPr>
            <w:tcW w:w="1154" w:type="dxa"/>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1240" w:type="dxa"/>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886" w:type="dxa"/>
            <w:tcBorders>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2977" w:type="dxa"/>
            <w:tcBorders>
              <w:left w:val="single" w:color="auto" w:sz="4" w:space="0"/>
              <w:right w:val="single" w:color="auto" w:sz="4" w:space="0"/>
            </w:tcBorders>
            <w:noWrap w:val="0"/>
            <w:vAlign w:val="center"/>
          </w:tcPr>
          <w:p>
            <w:pPr>
              <w:rPr>
                <w:rFonts w:hint="eastAsia" w:ascii="宋体" w:hAnsi="宋体" w:eastAsia="宋体" w:cs="宋体"/>
                <w:sz w:val="21"/>
                <w:szCs w:val="21"/>
                <w:lang w:val="zh-CN" w:eastAsia="zh-CN" w:bidi="zh-CN"/>
              </w:rPr>
            </w:pPr>
          </w:p>
        </w:tc>
        <w:tc>
          <w:tcPr>
            <w:tcW w:w="708" w:type="dxa"/>
            <w:tcBorders>
              <w:left w:val="single" w:color="auto" w:sz="4" w:space="0"/>
            </w:tcBorders>
            <w:noWrap w:val="0"/>
            <w:vAlign w:val="center"/>
          </w:tcPr>
          <w:p>
            <w:pPr>
              <w:spacing w:before="120" w:beforeLines="50"/>
              <w:ind w:left="-301" w:firstLine="420" w:firstLineChars="200"/>
              <w:rPr>
                <w:rFonts w:hint="default" w:ascii="宋体" w:hAnsi="宋体" w:eastAsia="宋体" w:cs="宋体"/>
                <w:sz w:val="21"/>
                <w:szCs w:val="21"/>
                <w:lang w:val="en-US" w:eastAsia="zh-CN" w:bidi="zh-CN"/>
              </w:rPr>
            </w:pPr>
          </w:p>
        </w:tc>
        <w:tc>
          <w:tcPr>
            <w:tcW w:w="2162" w:type="dxa"/>
            <w:tcBorders>
              <w:righ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c>
          <w:tcPr>
            <w:tcW w:w="635" w:type="dxa"/>
            <w:tcBorders>
              <w:left w:val="single" w:color="auto" w:sz="4" w:space="0"/>
            </w:tcBorders>
            <w:noWrap w:val="0"/>
            <w:vAlign w:val="center"/>
          </w:tcPr>
          <w:p>
            <w:pPr>
              <w:spacing w:before="120" w:beforeLines="50"/>
              <w:ind w:left="-301" w:firstLine="420" w:firstLineChars="200"/>
              <w:rPr>
                <w:rFonts w:hint="default" w:ascii="宋体" w:hAnsi="宋体" w:eastAsia="宋体" w:cs="宋体"/>
                <w:sz w:val="21"/>
                <w:szCs w:val="21"/>
                <w:lang w:val="en-US" w:eastAsia="zh-CN" w:bidi="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8" w:hRule="atLeast"/>
          <w:jc w:val="center"/>
        </w:trPr>
        <w:tc>
          <w:tcPr>
            <w:tcW w:w="3280" w:type="dxa"/>
            <w:gridSpan w:val="3"/>
            <w:tcBorders>
              <w:right w:val="single" w:color="auto" w:sz="4" w:space="0"/>
            </w:tcBorders>
            <w:noWrap w:val="0"/>
            <w:vAlign w:val="center"/>
          </w:tcPr>
          <w:p>
            <w:pPr>
              <w:spacing w:before="120" w:beforeLines="50"/>
              <w:ind w:left="-301" w:firstLine="440" w:firstLineChars="200"/>
              <w:rPr>
                <w:rFonts w:hint="eastAsia" w:ascii="宋体" w:hAnsi="宋体" w:eastAsia="宋体"/>
                <w:szCs w:val="21"/>
                <w:lang w:val="en-US" w:eastAsia="zh-CN"/>
              </w:rPr>
            </w:pPr>
          </w:p>
        </w:tc>
        <w:tc>
          <w:tcPr>
            <w:tcW w:w="6482" w:type="dxa"/>
            <w:gridSpan w:val="4"/>
            <w:tcBorders>
              <w:left w:val="single" w:color="auto" w:sz="4" w:space="0"/>
            </w:tcBorders>
            <w:noWrap w:val="0"/>
            <w:vAlign w:val="center"/>
          </w:tcPr>
          <w:p>
            <w:pPr>
              <w:spacing w:before="120" w:beforeLines="50"/>
              <w:ind w:left="-301" w:firstLine="420" w:firstLineChars="200"/>
              <w:rPr>
                <w:rFonts w:hint="eastAsia" w:ascii="宋体" w:hAnsi="宋体" w:eastAsia="宋体" w:cs="宋体"/>
                <w:sz w:val="21"/>
                <w:szCs w:val="21"/>
                <w:lang w:val="zh-CN" w:eastAsia="zh-CN" w:bidi="zh-CN"/>
              </w:rPr>
            </w:pPr>
          </w:p>
        </w:tc>
      </w:tr>
    </w:tbl>
    <w:p>
      <w:pPr>
        <w:tabs>
          <w:tab w:val="left" w:pos="4150"/>
        </w:tabs>
        <w:rPr>
          <w:sz w:val="21"/>
          <w:szCs w:val="21"/>
        </w:rPr>
      </w:pPr>
    </w:p>
    <w:sectPr>
      <w:headerReference r:id="rId3" w:type="default"/>
      <w:footerReference r:id="rId4" w:type="default"/>
      <w:pgSz w:w="11910" w:h="16840"/>
      <w:pgMar w:top="1420" w:right="920" w:bottom="580" w:left="920" w:header="0" w:footer="383" w:gutter="0"/>
      <w:pgNumType w:start="1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decimal"/>
      <w:suff w:val="space"/>
      <w:lvlText w:val="%1."/>
      <w:lvlJc w:val="left"/>
      <w:pPr>
        <w:ind w:left="0" w:firstLine="0"/>
      </w:pPr>
      <w:rPr>
        <w:rFonts w:hint="eastAsia"/>
      </w:rPr>
    </w:lvl>
    <w:lvl w:ilvl="1" w:tentative="0">
      <w:start w:val="1"/>
      <w:numFmt w:val="decimal"/>
      <w:pStyle w:val="2"/>
      <w:isLgl/>
      <w:suff w:val="space"/>
      <w:lvlText w:val="%1.%2"/>
      <w:lvlJc w:val="left"/>
      <w:pPr>
        <w:ind w:left="142" w:firstLine="0"/>
      </w:pPr>
      <w:rPr>
        <w:rFonts w:hint="eastAsia"/>
        <w:b w:val="0"/>
      </w:rPr>
    </w:lvl>
    <w:lvl w:ilvl="2" w:tentative="0">
      <w:start w:val="1"/>
      <w:numFmt w:val="decimal"/>
      <w:pStyle w:val="27"/>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18E36168"/>
    <w:multiLevelType w:val="multilevel"/>
    <w:tmpl w:val="18E36168"/>
    <w:lvl w:ilvl="0" w:tentative="0">
      <w:start w:val="1"/>
      <w:numFmt w:val="decimal"/>
      <w:lvlText w:val="（%1）"/>
      <w:lvlJc w:val="left"/>
      <w:pPr>
        <w:ind w:left="1141" w:hanging="718"/>
        <w:jc w:val="left"/>
      </w:pPr>
      <w:rPr>
        <w:rFonts w:hint="default" w:ascii="宋体" w:hAnsi="宋体" w:eastAsia="宋体" w:cs="宋体"/>
        <w:spacing w:val="-1"/>
        <w:w w:val="99"/>
        <w:sz w:val="21"/>
        <w:szCs w:val="21"/>
        <w:lang w:val="zh-CN" w:eastAsia="zh-CN" w:bidi="zh-CN"/>
      </w:rPr>
    </w:lvl>
    <w:lvl w:ilvl="1" w:tentative="0">
      <w:start w:val="0"/>
      <w:numFmt w:val="bullet"/>
      <w:lvlText w:val="•"/>
      <w:lvlJc w:val="left"/>
      <w:pPr>
        <w:ind w:left="2032" w:hanging="718"/>
      </w:pPr>
      <w:rPr>
        <w:rFonts w:hint="default"/>
        <w:lang w:val="zh-CN" w:eastAsia="zh-CN" w:bidi="zh-CN"/>
      </w:rPr>
    </w:lvl>
    <w:lvl w:ilvl="2" w:tentative="0">
      <w:start w:val="0"/>
      <w:numFmt w:val="bullet"/>
      <w:lvlText w:val="•"/>
      <w:lvlJc w:val="left"/>
      <w:pPr>
        <w:ind w:left="2925" w:hanging="718"/>
      </w:pPr>
      <w:rPr>
        <w:rFonts w:hint="default"/>
        <w:lang w:val="zh-CN" w:eastAsia="zh-CN" w:bidi="zh-CN"/>
      </w:rPr>
    </w:lvl>
    <w:lvl w:ilvl="3" w:tentative="0">
      <w:start w:val="0"/>
      <w:numFmt w:val="bullet"/>
      <w:lvlText w:val="•"/>
      <w:lvlJc w:val="left"/>
      <w:pPr>
        <w:ind w:left="3817" w:hanging="718"/>
      </w:pPr>
      <w:rPr>
        <w:rFonts w:hint="default"/>
        <w:lang w:val="zh-CN" w:eastAsia="zh-CN" w:bidi="zh-CN"/>
      </w:rPr>
    </w:lvl>
    <w:lvl w:ilvl="4" w:tentative="0">
      <w:start w:val="0"/>
      <w:numFmt w:val="bullet"/>
      <w:lvlText w:val="•"/>
      <w:lvlJc w:val="left"/>
      <w:pPr>
        <w:ind w:left="4710" w:hanging="718"/>
      </w:pPr>
      <w:rPr>
        <w:rFonts w:hint="default"/>
        <w:lang w:val="zh-CN" w:eastAsia="zh-CN" w:bidi="zh-CN"/>
      </w:rPr>
    </w:lvl>
    <w:lvl w:ilvl="5" w:tentative="0">
      <w:start w:val="0"/>
      <w:numFmt w:val="bullet"/>
      <w:lvlText w:val="•"/>
      <w:lvlJc w:val="left"/>
      <w:pPr>
        <w:ind w:left="5603" w:hanging="718"/>
      </w:pPr>
      <w:rPr>
        <w:rFonts w:hint="default"/>
        <w:lang w:val="zh-CN" w:eastAsia="zh-CN" w:bidi="zh-CN"/>
      </w:rPr>
    </w:lvl>
    <w:lvl w:ilvl="6" w:tentative="0">
      <w:start w:val="0"/>
      <w:numFmt w:val="bullet"/>
      <w:lvlText w:val="•"/>
      <w:lvlJc w:val="left"/>
      <w:pPr>
        <w:ind w:left="6495" w:hanging="718"/>
      </w:pPr>
      <w:rPr>
        <w:rFonts w:hint="default"/>
        <w:lang w:val="zh-CN" w:eastAsia="zh-CN" w:bidi="zh-CN"/>
      </w:rPr>
    </w:lvl>
    <w:lvl w:ilvl="7" w:tentative="0">
      <w:start w:val="0"/>
      <w:numFmt w:val="bullet"/>
      <w:lvlText w:val="•"/>
      <w:lvlJc w:val="left"/>
      <w:pPr>
        <w:ind w:left="7388" w:hanging="718"/>
      </w:pPr>
      <w:rPr>
        <w:rFonts w:hint="default"/>
        <w:lang w:val="zh-CN" w:eastAsia="zh-CN" w:bidi="zh-CN"/>
      </w:rPr>
    </w:lvl>
    <w:lvl w:ilvl="8" w:tentative="0">
      <w:start w:val="0"/>
      <w:numFmt w:val="bullet"/>
      <w:lvlText w:val="•"/>
      <w:lvlJc w:val="left"/>
      <w:pPr>
        <w:ind w:left="8280" w:hanging="718"/>
      </w:pPr>
      <w:rPr>
        <w:rFonts w:hint="default"/>
        <w:lang w:val="zh-CN" w:eastAsia="zh-CN" w:bidi="zh-CN"/>
      </w:rPr>
    </w:lvl>
  </w:abstractNum>
  <w:abstractNum w:abstractNumId="2">
    <w:nsid w:val="214E5FBB"/>
    <w:multiLevelType w:val="multilevel"/>
    <w:tmpl w:val="214E5FBB"/>
    <w:lvl w:ilvl="0" w:tentative="0">
      <w:start w:val="1"/>
      <w:numFmt w:val="decimal"/>
      <w:lvlText w:val="%1"/>
      <w:lvlJc w:val="left"/>
      <w:pPr>
        <w:ind w:left="424" w:hanging="212"/>
        <w:jc w:val="left"/>
      </w:pPr>
      <w:rPr>
        <w:rFonts w:hint="default" w:ascii="Times New Roman" w:hAnsi="Times New Roman" w:eastAsia="Times New Roman" w:cs="Times New Roman"/>
        <w:w w:val="99"/>
        <w:sz w:val="21"/>
        <w:szCs w:val="21"/>
        <w:lang w:val="zh-CN" w:eastAsia="zh-CN" w:bidi="zh-CN"/>
      </w:rPr>
    </w:lvl>
    <w:lvl w:ilvl="1" w:tentative="0">
      <w:start w:val="1"/>
      <w:numFmt w:val="decimal"/>
      <w:lvlText w:val="%1.%2"/>
      <w:lvlJc w:val="left"/>
      <w:pPr>
        <w:ind w:left="580" w:hanging="368"/>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1.%2.%3"/>
      <w:lvlJc w:val="left"/>
      <w:pPr>
        <w:ind w:left="738" w:hanging="526"/>
        <w:jc w:val="left"/>
      </w:pPr>
      <w:rPr>
        <w:rFonts w:hint="default" w:ascii="Times New Roman" w:hAnsi="Times New Roman" w:eastAsia="Times New Roman" w:cs="Times New Roman"/>
        <w:spacing w:val="0"/>
        <w:w w:val="99"/>
        <w:sz w:val="21"/>
        <w:szCs w:val="21"/>
        <w:lang w:val="zh-CN" w:eastAsia="zh-CN" w:bidi="zh-CN"/>
      </w:rPr>
    </w:lvl>
    <w:lvl w:ilvl="3" w:tentative="0">
      <w:start w:val="0"/>
      <w:numFmt w:val="bullet"/>
      <w:lvlText w:val="•"/>
      <w:lvlJc w:val="left"/>
      <w:pPr>
        <w:ind w:left="1905" w:hanging="526"/>
      </w:pPr>
      <w:rPr>
        <w:rFonts w:hint="default"/>
        <w:lang w:val="zh-CN" w:eastAsia="zh-CN" w:bidi="zh-CN"/>
      </w:rPr>
    </w:lvl>
    <w:lvl w:ilvl="4" w:tentative="0">
      <w:start w:val="0"/>
      <w:numFmt w:val="bullet"/>
      <w:lvlText w:val="•"/>
      <w:lvlJc w:val="left"/>
      <w:pPr>
        <w:ind w:left="3071" w:hanging="526"/>
      </w:pPr>
      <w:rPr>
        <w:rFonts w:hint="default"/>
        <w:lang w:val="zh-CN" w:eastAsia="zh-CN" w:bidi="zh-CN"/>
      </w:rPr>
    </w:lvl>
    <w:lvl w:ilvl="5" w:tentative="0">
      <w:start w:val="0"/>
      <w:numFmt w:val="bullet"/>
      <w:lvlText w:val="•"/>
      <w:lvlJc w:val="left"/>
      <w:pPr>
        <w:ind w:left="4237" w:hanging="526"/>
      </w:pPr>
      <w:rPr>
        <w:rFonts w:hint="default"/>
        <w:lang w:val="zh-CN" w:eastAsia="zh-CN" w:bidi="zh-CN"/>
      </w:rPr>
    </w:lvl>
    <w:lvl w:ilvl="6" w:tentative="0">
      <w:start w:val="0"/>
      <w:numFmt w:val="bullet"/>
      <w:lvlText w:val="•"/>
      <w:lvlJc w:val="left"/>
      <w:pPr>
        <w:ind w:left="5403" w:hanging="526"/>
      </w:pPr>
      <w:rPr>
        <w:rFonts w:hint="default"/>
        <w:lang w:val="zh-CN" w:eastAsia="zh-CN" w:bidi="zh-CN"/>
      </w:rPr>
    </w:lvl>
    <w:lvl w:ilvl="7" w:tentative="0">
      <w:start w:val="0"/>
      <w:numFmt w:val="bullet"/>
      <w:lvlText w:val="•"/>
      <w:lvlJc w:val="left"/>
      <w:pPr>
        <w:ind w:left="6568" w:hanging="526"/>
      </w:pPr>
      <w:rPr>
        <w:rFonts w:hint="default"/>
        <w:lang w:val="zh-CN" w:eastAsia="zh-CN" w:bidi="zh-CN"/>
      </w:rPr>
    </w:lvl>
    <w:lvl w:ilvl="8" w:tentative="0">
      <w:start w:val="0"/>
      <w:numFmt w:val="bullet"/>
      <w:lvlText w:val="•"/>
      <w:lvlJc w:val="left"/>
      <w:pPr>
        <w:ind w:left="7734" w:hanging="526"/>
      </w:pPr>
      <w:rPr>
        <w:rFonts w:hint="default"/>
        <w:lang w:val="zh-CN" w:eastAsia="zh-CN" w:bidi="zh-CN"/>
      </w:rPr>
    </w:lvl>
  </w:abstractNum>
  <w:abstractNum w:abstractNumId="3">
    <w:nsid w:val="21DE0886"/>
    <w:multiLevelType w:val="multilevel"/>
    <w:tmpl w:val="21DE0886"/>
    <w:lvl w:ilvl="0" w:tentative="0">
      <w:start w:val="1"/>
      <w:numFmt w:val="decimal"/>
      <w:lvlText w:val="%1"/>
      <w:lvlJc w:val="left"/>
      <w:pPr>
        <w:ind w:left="212" w:hanging="473"/>
        <w:jc w:val="left"/>
      </w:pPr>
      <w:rPr>
        <w:rFonts w:hint="default"/>
        <w:lang w:val="zh-CN" w:eastAsia="zh-CN" w:bidi="zh-CN"/>
      </w:rPr>
    </w:lvl>
    <w:lvl w:ilvl="1" w:tentative="0">
      <w:start w:val="5"/>
      <w:numFmt w:val="decimal"/>
      <w:lvlText w:val="%1.%2"/>
      <w:lvlJc w:val="left"/>
      <w:pPr>
        <w:ind w:left="212" w:hanging="473"/>
        <w:jc w:val="left"/>
      </w:pPr>
      <w:rPr>
        <w:rFonts w:hint="default"/>
        <w:lang w:val="zh-CN" w:eastAsia="zh-CN" w:bidi="zh-CN"/>
      </w:rPr>
    </w:lvl>
    <w:lvl w:ilvl="2" w:tentative="0">
      <w:start w:val="1"/>
      <w:numFmt w:val="decimal"/>
      <w:lvlText w:val="%1.%2.%3"/>
      <w:lvlJc w:val="left"/>
      <w:pPr>
        <w:ind w:left="212" w:hanging="473"/>
        <w:jc w:val="left"/>
      </w:pPr>
      <w:rPr>
        <w:rFonts w:hint="default" w:ascii="Times New Roman" w:hAnsi="Times New Roman" w:eastAsia="Times New Roman" w:cs="Times New Roman"/>
        <w:spacing w:val="0"/>
        <w:w w:val="99"/>
        <w:sz w:val="21"/>
        <w:szCs w:val="21"/>
        <w:lang w:val="zh-CN" w:eastAsia="zh-CN" w:bidi="zh-CN"/>
      </w:rPr>
    </w:lvl>
    <w:lvl w:ilvl="3" w:tentative="0">
      <w:start w:val="0"/>
      <w:numFmt w:val="bullet"/>
      <w:lvlText w:val="•"/>
      <w:lvlJc w:val="left"/>
      <w:pPr>
        <w:ind w:left="3173" w:hanging="473"/>
      </w:pPr>
      <w:rPr>
        <w:rFonts w:hint="default"/>
        <w:lang w:val="zh-CN" w:eastAsia="zh-CN" w:bidi="zh-CN"/>
      </w:rPr>
    </w:lvl>
    <w:lvl w:ilvl="4" w:tentative="0">
      <w:start w:val="0"/>
      <w:numFmt w:val="bullet"/>
      <w:lvlText w:val="•"/>
      <w:lvlJc w:val="left"/>
      <w:pPr>
        <w:ind w:left="4158" w:hanging="473"/>
      </w:pPr>
      <w:rPr>
        <w:rFonts w:hint="default"/>
        <w:lang w:val="zh-CN" w:eastAsia="zh-CN" w:bidi="zh-CN"/>
      </w:rPr>
    </w:lvl>
    <w:lvl w:ilvl="5" w:tentative="0">
      <w:start w:val="0"/>
      <w:numFmt w:val="bullet"/>
      <w:lvlText w:val="•"/>
      <w:lvlJc w:val="left"/>
      <w:pPr>
        <w:ind w:left="5143" w:hanging="473"/>
      </w:pPr>
      <w:rPr>
        <w:rFonts w:hint="default"/>
        <w:lang w:val="zh-CN" w:eastAsia="zh-CN" w:bidi="zh-CN"/>
      </w:rPr>
    </w:lvl>
    <w:lvl w:ilvl="6" w:tentative="0">
      <w:start w:val="0"/>
      <w:numFmt w:val="bullet"/>
      <w:lvlText w:val="•"/>
      <w:lvlJc w:val="left"/>
      <w:pPr>
        <w:ind w:left="6127" w:hanging="473"/>
      </w:pPr>
      <w:rPr>
        <w:rFonts w:hint="default"/>
        <w:lang w:val="zh-CN" w:eastAsia="zh-CN" w:bidi="zh-CN"/>
      </w:rPr>
    </w:lvl>
    <w:lvl w:ilvl="7" w:tentative="0">
      <w:start w:val="0"/>
      <w:numFmt w:val="bullet"/>
      <w:lvlText w:val="•"/>
      <w:lvlJc w:val="left"/>
      <w:pPr>
        <w:ind w:left="7112" w:hanging="473"/>
      </w:pPr>
      <w:rPr>
        <w:rFonts w:hint="default"/>
        <w:lang w:val="zh-CN" w:eastAsia="zh-CN" w:bidi="zh-CN"/>
      </w:rPr>
    </w:lvl>
    <w:lvl w:ilvl="8" w:tentative="0">
      <w:start w:val="0"/>
      <w:numFmt w:val="bullet"/>
      <w:lvlText w:val="•"/>
      <w:lvlJc w:val="left"/>
      <w:pPr>
        <w:ind w:left="8096" w:hanging="473"/>
      </w:pPr>
      <w:rPr>
        <w:rFonts w:hint="default"/>
        <w:lang w:val="zh-CN" w:eastAsia="zh-CN" w:bidi="zh-CN"/>
      </w:rPr>
    </w:lvl>
  </w:abstractNum>
  <w:abstractNum w:abstractNumId="4">
    <w:nsid w:val="2B6031F8"/>
    <w:multiLevelType w:val="multilevel"/>
    <w:tmpl w:val="2B6031F8"/>
    <w:lvl w:ilvl="0" w:tentative="0">
      <w:start w:val="3"/>
      <w:numFmt w:val="decimal"/>
      <w:lvlText w:val="%1"/>
      <w:lvlJc w:val="left"/>
      <w:pPr>
        <w:ind w:left="630" w:hanging="418"/>
        <w:jc w:val="left"/>
      </w:pPr>
      <w:rPr>
        <w:rFonts w:hint="default"/>
        <w:lang w:val="zh-CN" w:eastAsia="zh-CN" w:bidi="zh-CN"/>
      </w:rPr>
    </w:lvl>
    <w:lvl w:ilvl="1" w:tentative="0">
      <w:start w:val="1"/>
      <w:numFmt w:val="decimal"/>
      <w:lvlText w:val="%1.%2"/>
      <w:lvlJc w:val="left"/>
      <w:pPr>
        <w:ind w:left="580" w:hanging="368"/>
        <w:jc w:val="left"/>
      </w:pPr>
      <w:rPr>
        <w:rFonts w:hint="default"/>
        <w:spacing w:val="0"/>
        <w:w w:val="99"/>
        <w:lang w:val="zh-CN" w:eastAsia="zh-CN" w:bidi="zh-CN"/>
      </w:rPr>
    </w:lvl>
    <w:lvl w:ilvl="2" w:tentative="0">
      <w:start w:val="0"/>
      <w:numFmt w:val="bullet"/>
      <w:lvlText w:val="•"/>
      <w:lvlJc w:val="left"/>
      <w:pPr>
        <w:ind w:left="1687" w:hanging="368"/>
      </w:pPr>
      <w:rPr>
        <w:rFonts w:hint="default"/>
        <w:lang w:val="zh-CN" w:eastAsia="zh-CN" w:bidi="zh-CN"/>
      </w:rPr>
    </w:lvl>
    <w:lvl w:ilvl="3" w:tentative="0">
      <w:start w:val="0"/>
      <w:numFmt w:val="bullet"/>
      <w:lvlText w:val="•"/>
      <w:lvlJc w:val="left"/>
      <w:pPr>
        <w:ind w:left="2734" w:hanging="368"/>
      </w:pPr>
      <w:rPr>
        <w:rFonts w:hint="default"/>
        <w:lang w:val="zh-CN" w:eastAsia="zh-CN" w:bidi="zh-CN"/>
      </w:rPr>
    </w:lvl>
    <w:lvl w:ilvl="4" w:tentative="0">
      <w:start w:val="0"/>
      <w:numFmt w:val="bullet"/>
      <w:lvlText w:val="•"/>
      <w:lvlJc w:val="left"/>
      <w:pPr>
        <w:ind w:left="3782" w:hanging="368"/>
      </w:pPr>
      <w:rPr>
        <w:rFonts w:hint="default"/>
        <w:lang w:val="zh-CN" w:eastAsia="zh-CN" w:bidi="zh-CN"/>
      </w:rPr>
    </w:lvl>
    <w:lvl w:ilvl="5" w:tentative="0">
      <w:start w:val="0"/>
      <w:numFmt w:val="bullet"/>
      <w:lvlText w:val="•"/>
      <w:lvlJc w:val="left"/>
      <w:pPr>
        <w:ind w:left="4829" w:hanging="368"/>
      </w:pPr>
      <w:rPr>
        <w:rFonts w:hint="default"/>
        <w:lang w:val="zh-CN" w:eastAsia="zh-CN" w:bidi="zh-CN"/>
      </w:rPr>
    </w:lvl>
    <w:lvl w:ilvl="6" w:tentative="0">
      <w:start w:val="0"/>
      <w:numFmt w:val="bullet"/>
      <w:lvlText w:val="•"/>
      <w:lvlJc w:val="left"/>
      <w:pPr>
        <w:ind w:left="5876" w:hanging="368"/>
      </w:pPr>
      <w:rPr>
        <w:rFonts w:hint="default"/>
        <w:lang w:val="zh-CN" w:eastAsia="zh-CN" w:bidi="zh-CN"/>
      </w:rPr>
    </w:lvl>
    <w:lvl w:ilvl="7" w:tentative="0">
      <w:start w:val="0"/>
      <w:numFmt w:val="bullet"/>
      <w:lvlText w:val="•"/>
      <w:lvlJc w:val="left"/>
      <w:pPr>
        <w:ind w:left="6924" w:hanging="368"/>
      </w:pPr>
      <w:rPr>
        <w:rFonts w:hint="default"/>
        <w:lang w:val="zh-CN" w:eastAsia="zh-CN" w:bidi="zh-CN"/>
      </w:rPr>
    </w:lvl>
    <w:lvl w:ilvl="8" w:tentative="0">
      <w:start w:val="0"/>
      <w:numFmt w:val="bullet"/>
      <w:lvlText w:val="•"/>
      <w:lvlJc w:val="left"/>
      <w:pPr>
        <w:ind w:left="7971" w:hanging="368"/>
      </w:pPr>
      <w:rPr>
        <w:rFonts w:hint="default"/>
        <w:lang w:val="zh-CN" w:eastAsia="zh-CN" w:bidi="zh-CN"/>
      </w:rPr>
    </w:lvl>
  </w:abstractNum>
  <w:abstractNum w:abstractNumId="5">
    <w:nsid w:val="4FDB573C"/>
    <w:multiLevelType w:val="multilevel"/>
    <w:tmpl w:val="4FDB573C"/>
    <w:lvl w:ilvl="0" w:tentative="0">
      <w:start w:val="1"/>
      <w:numFmt w:val="decimal"/>
      <w:lvlText w:val="%1"/>
      <w:lvlJc w:val="left"/>
      <w:pPr>
        <w:ind w:left="580" w:hanging="368"/>
        <w:jc w:val="left"/>
      </w:pPr>
      <w:rPr>
        <w:rFonts w:hint="default"/>
        <w:lang w:val="zh-CN" w:eastAsia="zh-CN" w:bidi="zh-CN"/>
      </w:rPr>
    </w:lvl>
    <w:lvl w:ilvl="1" w:tentative="0">
      <w:start w:val="2"/>
      <w:numFmt w:val="decimal"/>
      <w:lvlText w:val="%1.%2"/>
      <w:lvlJc w:val="left"/>
      <w:pPr>
        <w:ind w:left="580" w:hanging="368"/>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3）"/>
      <w:lvlJc w:val="left"/>
      <w:pPr>
        <w:ind w:left="948" w:hanging="316"/>
        <w:jc w:val="left"/>
      </w:pPr>
      <w:rPr>
        <w:rFonts w:hint="default" w:ascii="Times New Roman" w:hAnsi="Times New Roman" w:eastAsia="Times New Roman" w:cs="Times New Roman"/>
        <w:spacing w:val="-1"/>
        <w:w w:val="99"/>
        <w:sz w:val="19"/>
        <w:szCs w:val="19"/>
        <w:lang w:val="zh-CN" w:eastAsia="zh-CN" w:bidi="zh-CN"/>
      </w:rPr>
    </w:lvl>
    <w:lvl w:ilvl="3" w:tentative="0">
      <w:start w:val="0"/>
      <w:numFmt w:val="bullet"/>
      <w:lvlText w:val="•"/>
      <w:lvlJc w:val="left"/>
      <w:pPr>
        <w:ind w:left="2968" w:hanging="316"/>
      </w:pPr>
      <w:rPr>
        <w:rFonts w:hint="default"/>
        <w:lang w:val="zh-CN" w:eastAsia="zh-CN" w:bidi="zh-CN"/>
      </w:rPr>
    </w:lvl>
    <w:lvl w:ilvl="4" w:tentative="0">
      <w:start w:val="0"/>
      <w:numFmt w:val="bullet"/>
      <w:lvlText w:val="•"/>
      <w:lvlJc w:val="left"/>
      <w:pPr>
        <w:ind w:left="3982" w:hanging="316"/>
      </w:pPr>
      <w:rPr>
        <w:rFonts w:hint="default"/>
        <w:lang w:val="zh-CN" w:eastAsia="zh-CN" w:bidi="zh-CN"/>
      </w:rPr>
    </w:lvl>
    <w:lvl w:ilvl="5" w:tentative="0">
      <w:start w:val="0"/>
      <w:numFmt w:val="bullet"/>
      <w:lvlText w:val="•"/>
      <w:lvlJc w:val="left"/>
      <w:pPr>
        <w:ind w:left="4996" w:hanging="316"/>
      </w:pPr>
      <w:rPr>
        <w:rFonts w:hint="default"/>
        <w:lang w:val="zh-CN" w:eastAsia="zh-CN" w:bidi="zh-CN"/>
      </w:rPr>
    </w:lvl>
    <w:lvl w:ilvl="6" w:tentative="0">
      <w:start w:val="0"/>
      <w:numFmt w:val="bullet"/>
      <w:lvlText w:val="•"/>
      <w:lvlJc w:val="left"/>
      <w:pPr>
        <w:ind w:left="6010" w:hanging="316"/>
      </w:pPr>
      <w:rPr>
        <w:rFonts w:hint="default"/>
        <w:lang w:val="zh-CN" w:eastAsia="zh-CN" w:bidi="zh-CN"/>
      </w:rPr>
    </w:lvl>
    <w:lvl w:ilvl="7" w:tentative="0">
      <w:start w:val="0"/>
      <w:numFmt w:val="bullet"/>
      <w:lvlText w:val="•"/>
      <w:lvlJc w:val="left"/>
      <w:pPr>
        <w:ind w:left="7024" w:hanging="316"/>
      </w:pPr>
      <w:rPr>
        <w:rFonts w:hint="default"/>
        <w:lang w:val="zh-CN" w:eastAsia="zh-CN" w:bidi="zh-CN"/>
      </w:rPr>
    </w:lvl>
    <w:lvl w:ilvl="8" w:tentative="0">
      <w:start w:val="0"/>
      <w:numFmt w:val="bullet"/>
      <w:lvlText w:val="•"/>
      <w:lvlJc w:val="left"/>
      <w:pPr>
        <w:ind w:left="8038" w:hanging="316"/>
      </w:pPr>
      <w:rPr>
        <w:rFonts w:hint="default"/>
        <w:lang w:val="zh-CN" w:eastAsia="zh-CN" w:bidi="zh-CN"/>
      </w:rPr>
    </w:lvl>
  </w:abstractNum>
  <w:abstractNum w:abstractNumId="6">
    <w:nsid w:val="530648AC"/>
    <w:multiLevelType w:val="multilevel"/>
    <w:tmpl w:val="530648AC"/>
    <w:lvl w:ilvl="0" w:tentative="0">
      <w:start w:val="1"/>
      <w:numFmt w:val="decimal"/>
      <w:lvlText w:val="%1"/>
      <w:lvlJc w:val="left"/>
      <w:pPr>
        <w:ind w:left="529" w:hanging="317"/>
        <w:jc w:val="left"/>
      </w:pPr>
      <w:rPr>
        <w:rFonts w:hint="default"/>
        <w:lang w:val="zh-CN" w:eastAsia="zh-CN" w:bidi="zh-CN"/>
      </w:rPr>
    </w:lvl>
    <w:lvl w:ilvl="1" w:tentative="0">
      <w:start w:val="7"/>
      <w:numFmt w:val="decimal"/>
      <w:lvlText w:val="%1.%2"/>
      <w:lvlJc w:val="left"/>
      <w:pPr>
        <w:ind w:left="529" w:hanging="317"/>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1.%2.%3"/>
      <w:lvlJc w:val="left"/>
      <w:pPr>
        <w:ind w:left="212" w:hanging="473"/>
        <w:jc w:val="left"/>
      </w:pPr>
      <w:rPr>
        <w:rFonts w:hint="default" w:ascii="Times New Roman" w:hAnsi="Times New Roman" w:eastAsia="Times New Roman" w:cs="Times New Roman"/>
        <w:spacing w:val="0"/>
        <w:w w:val="99"/>
        <w:sz w:val="21"/>
        <w:szCs w:val="21"/>
        <w:lang w:val="zh-CN" w:eastAsia="zh-CN" w:bidi="zh-CN"/>
      </w:rPr>
    </w:lvl>
    <w:lvl w:ilvl="3" w:tentative="0">
      <w:start w:val="0"/>
      <w:numFmt w:val="bullet"/>
      <w:lvlText w:val="•"/>
      <w:lvlJc w:val="left"/>
      <w:pPr>
        <w:ind w:left="2641" w:hanging="473"/>
      </w:pPr>
      <w:rPr>
        <w:rFonts w:hint="default"/>
        <w:lang w:val="zh-CN" w:eastAsia="zh-CN" w:bidi="zh-CN"/>
      </w:rPr>
    </w:lvl>
    <w:lvl w:ilvl="4" w:tentative="0">
      <w:start w:val="0"/>
      <w:numFmt w:val="bullet"/>
      <w:lvlText w:val="•"/>
      <w:lvlJc w:val="left"/>
      <w:pPr>
        <w:ind w:left="3702" w:hanging="473"/>
      </w:pPr>
      <w:rPr>
        <w:rFonts w:hint="default"/>
        <w:lang w:val="zh-CN" w:eastAsia="zh-CN" w:bidi="zh-CN"/>
      </w:rPr>
    </w:lvl>
    <w:lvl w:ilvl="5" w:tentative="0">
      <w:start w:val="0"/>
      <w:numFmt w:val="bullet"/>
      <w:lvlText w:val="•"/>
      <w:lvlJc w:val="left"/>
      <w:pPr>
        <w:ind w:left="4762" w:hanging="473"/>
      </w:pPr>
      <w:rPr>
        <w:rFonts w:hint="default"/>
        <w:lang w:val="zh-CN" w:eastAsia="zh-CN" w:bidi="zh-CN"/>
      </w:rPr>
    </w:lvl>
    <w:lvl w:ilvl="6" w:tentative="0">
      <w:start w:val="0"/>
      <w:numFmt w:val="bullet"/>
      <w:lvlText w:val="•"/>
      <w:lvlJc w:val="left"/>
      <w:pPr>
        <w:ind w:left="5823" w:hanging="473"/>
      </w:pPr>
      <w:rPr>
        <w:rFonts w:hint="default"/>
        <w:lang w:val="zh-CN" w:eastAsia="zh-CN" w:bidi="zh-CN"/>
      </w:rPr>
    </w:lvl>
    <w:lvl w:ilvl="7" w:tentative="0">
      <w:start w:val="0"/>
      <w:numFmt w:val="bullet"/>
      <w:lvlText w:val="•"/>
      <w:lvlJc w:val="left"/>
      <w:pPr>
        <w:ind w:left="6884" w:hanging="473"/>
      </w:pPr>
      <w:rPr>
        <w:rFonts w:hint="default"/>
        <w:lang w:val="zh-CN" w:eastAsia="zh-CN" w:bidi="zh-CN"/>
      </w:rPr>
    </w:lvl>
    <w:lvl w:ilvl="8" w:tentative="0">
      <w:start w:val="0"/>
      <w:numFmt w:val="bullet"/>
      <w:lvlText w:val="•"/>
      <w:lvlJc w:val="left"/>
      <w:pPr>
        <w:ind w:left="7944" w:hanging="473"/>
      </w:pPr>
      <w:rPr>
        <w:rFonts w:hint="default"/>
        <w:lang w:val="zh-CN" w:eastAsia="zh-CN" w:bidi="zh-CN"/>
      </w:rPr>
    </w:lvl>
  </w:abstractNum>
  <w:abstractNum w:abstractNumId="7">
    <w:nsid w:val="65082AA7"/>
    <w:multiLevelType w:val="multilevel"/>
    <w:tmpl w:val="65082AA7"/>
    <w:lvl w:ilvl="0" w:tentative="0">
      <w:start w:val="1"/>
      <w:numFmt w:val="decimal"/>
      <w:lvlText w:val="%1"/>
      <w:lvlJc w:val="left"/>
      <w:pPr>
        <w:ind w:left="580" w:hanging="368"/>
        <w:jc w:val="left"/>
      </w:pPr>
      <w:rPr>
        <w:rFonts w:hint="default"/>
        <w:lang w:val="zh-CN" w:eastAsia="zh-CN" w:bidi="zh-CN"/>
      </w:rPr>
    </w:lvl>
    <w:lvl w:ilvl="1" w:tentative="0">
      <w:start w:val="8"/>
      <w:numFmt w:val="decimal"/>
      <w:lvlText w:val="%1.%2"/>
      <w:lvlJc w:val="left"/>
      <w:pPr>
        <w:ind w:left="580" w:hanging="368"/>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1.%2.%3"/>
      <w:lvlJc w:val="left"/>
      <w:pPr>
        <w:ind w:left="738" w:hanging="526"/>
        <w:jc w:val="left"/>
      </w:pPr>
      <w:rPr>
        <w:rFonts w:hint="default" w:ascii="Times New Roman" w:hAnsi="Times New Roman" w:eastAsia="Times New Roman" w:cs="Times New Roman"/>
        <w:spacing w:val="0"/>
        <w:w w:val="99"/>
        <w:sz w:val="21"/>
        <w:szCs w:val="21"/>
        <w:lang w:val="zh-CN" w:eastAsia="zh-CN" w:bidi="zh-CN"/>
      </w:rPr>
    </w:lvl>
    <w:lvl w:ilvl="3" w:tentative="0">
      <w:start w:val="0"/>
      <w:numFmt w:val="bullet"/>
      <w:lvlText w:val="•"/>
      <w:lvlJc w:val="left"/>
      <w:pPr>
        <w:ind w:left="2812" w:hanging="526"/>
      </w:pPr>
      <w:rPr>
        <w:rFonts w:hint="default"/>
        <w:lang w:val="zh-CN" w:eastAsia="zh-CN" w:bidi="zh-CN"/>
      </w:rPr>
    </w:lvl>
    <w:lvl w:ilvl="4" w:tentative="0">
      <w:start w:val="0"/>
      <w:numFmt w:val="bullet"/>
      <w:lvlText w:val="•"/>
      <w:lvlJc w:val="left"/>
      <w:pPr>
        <w:ind w:left="3848" w:hanging="526"/>
      </w:pPr>
      <w:rPr>
        <w:rFonts w:hint="default"/>
        <w:lang w:val="zh-CN" w:eastAsia="zh-CN" w:bidi="zh-CN"/>
      </w:rPr>
    </w:lvl>
    <w:lvl w:ilvl="5" w:tentative="0">
      <w:start w:val="0"/>
      <w:numFmt w:val="bullet"/>
      <w:lvlText w:val="•"/>
      <w:lvlJc w:val="left"/>
      <w:pPr>
        <w:ind w:left="4884" w:hanging="526"/>
      </w:pPr>
      <w:rPr>
        <w:rFonts w:hint="default"/>
        <w:lang w:val="zh-CN" w:eastAsia="zh-CN" w:bidi="zh-CN"/>
      </w:rPr>
    </w:lvl>
    <w:lvl w:ilvl="6" w:tentative="0">
      <w:start w:val="0"/>
      <w:numFmt w:val="bullet"/>
      <w:lvlText w:val="•"/>
      <w:lvlJc w:val="left"/>
      <w:pPr>
        <w:ind w:left="5921" w:hanging="526"/>
      </w:pPr>
      <w:rPr>
        <w:rFonts w:hint="default"/>
        <w:lang w:val="zh-CN" w:eastAsia="zh-CN" w:bidi="zh-CN"/>
      </w:rPr>
    </w:lvl>
    <w:lvl w:ilvl="7" w:tentative="0">
      <w:start w:val="0"/>
      <w:numFmt w:val="bullet"/>
      <w:lvlText w:val="•"/>
      <w:lvlJc w:val="left"/>
      <w:pPr>
        <w:ind w:left="6957" w:hanging="526"/>
      </w:pPr>
      <w:rPr>
        <w:rFonts w:hint="default"/>
        <w:lang w:val="zh-CN" w:eastAsia="zh-CN" w:bidi="zh-CN"/>
      </w:rPr>
    </w:lvl>
    <w:lvl w:ilvl="8" w:tentative="0">
      <w:start w:val="0"/>
      <w:numFmt w:val="bullet"/>
      <w:lvlText w:val="•"/>
      <w:lvlJc w:val="left"/>
      <w:pPr>
        <w:ind w:left="7993" w:hanging="526"/>
      </w:pPr>
      <w:rPr>
        <w:rFonts w:hint="default"/>
        <w:lang w:val="zh-CN" w:eastAsia="zh-CN" w:bidi="zh-CN"/>
      </w:rPr>
    </w:lvl>
  </w:abstractNum>
  <w:abstractNum w:abstractNumId="8">
    <w:nsid w:val="67C00FC6"/>
    <w:multiLevelType w:val="multilevel"/>
    <w:tmpl w:val="67C00FC6"/>
    <w:lvl w:ilvl="0" w:tentative="0">
      <w:start w:val="1"/>
      <w:numFmt w:val="decimal"/>
      <w:lvlText w:val="%1"/>
      <w:lvlJc w:val="left"/>
      <w:pPr>
        <w:ind w:left="580" w:hanging="368"/>
        <w:jc w:val="left"/>
      </w:pPr>
      <w:rPr>
        <w:rFonts w:hint="default"/>
        <w:lang w:val="zh-CN" w:eastAsia="zh-CN" w:bidi="zh-CN"/>
      </w:rPr>
    </w:lvl>
    <w:lvl w:ilvl="1" w:tentative="0">
      <w:start w:val="9"/>
      <w:numFmt w:val="decimal"/>
      <w:lvlText w:val="%1.%2"/>
      <w:lvlJc w:val="left"/>
      <w:pPr>
        <w:ind w:left="580" w:hanging="368"/>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1.%2.%3"/>
      <w:lvlJc w:val="left"/>
      <w:pPr>
        <w:ind w:left="685" w:hanging="473"/>
        <w:jc w:val="left"/>
      </w:pPr>
      <w:rPr>
        <w:rFonts w:hint="default" w:ascii="Times New Roman" w:hAnsi="Times New Roman" w:eastAsia="Times New Roman" w:cs="Times New Roman"/>
        <w:spacing w:val="0"/>
        <w:w w:val="99"/>
        <w:sz w:val="21"/>
        <w:szCs w:val="21"/>
        <w:lang w:val="zh-CN" w:eastAsia="zh-CN" w:bidi="zh-CN"/>
      </w:rPr>
    </w:lvl>
    <w:lvl w:ilvl="3" w:tentative="0">
      <w:start w:val="0"/>
      <w:numFmt w:val="bullet"/>
      <w:lvlText w:val="•"/>
      <w:lvlJc w:val="left"/>
      <w:pPr>
        <w:ind w:left="2765" w:hanging="473"/>
      </w:pPr>
      <w:rPr>
        <w:rFonts w:hint="default"/>
        <w:lang w:val="zh-CN" w:eastAsia="zh-CN" w:bidi="zh-CN"/>
      </w:rPr>
    </w:lvl>
    <w:lvl w:ilvl="4" w:tentative="0">
      <w:start w:val="0"/>
      <w:numFmt w:val="bullet"/>
      <w:lvlText w:val="•"/>
      <w:lvlJc w:val="left"/>
      <w:pPr>
        <w:ind w:left="3808" w:hanging="473"/>
      </w:pPr>
      <w:rPr>
        <w:rFonts w:hint="default"/>
        <w:lang w:val="zh-CN" w:eastAsia="zh-CN" w:bidi="zh-CN"/>
      </w:rPr>
    </w:lvl>
    <w:lvl w:ilvl="5" w:tentative="0">
      <w:start w:val="0"/>
      <w:numFmt w:val="bullet"/>
      <w:lvlText w:val="•"/>
      <w:lvlJc w:val="left"/>
      <w:pPr>
        <w:ind w:left="4851" w:hanging="473"/>
      </w:pPr>
      <w:rPr>
        <w:rFonts w:hint="default"/>
        <w:lang w:val="zh-CN" w:eastAsia="zh-CN" w:bidi="zh-CN"/>
      </w:rPr>
    </w:lvl>
    <w:lvl w:ilvl="6" w:tentative="0">
      <w:start w:val="0"/>
      <w:numFmt w:val="bullet"/>
      <w:lvlText w:val="•"/>
      <w:lvlJc w:val="left"/>
      <w:pPr>
        <w:ind w:left="5894" w:hanging="473"/>
      </w:pPr>
      <w:rPr>
        <w:rFonts w:hint="default"/>
        <w:lang w:val="zh-CN" w:eastAsia="zh-CN" w:bidi="zh-CN"/>
      </w:rPr>
    </w:lvl>
    <w:lvl w:ilvl="7" w:tentative="0">
      <w:start w:val="0"/>
      <w:numFmt w:val="bullet"/>
      <w:lvlText w:val="•"/>
      <w:lvlJc w:val="left"/>
      <w:pPr>
        <w:ind w:left="6937" w:hanging="473"/>
      </w:pPr>
      <w:rPr>
        <w:rFonts w:hint="default"/>
        <w:lang w:val="zh-CN" w:eastAsia="zh-CN" w:bidi="zh-CN"/>
      </w:rPr>
    </w:lvl>
    <w:lvl w:ilvl="8" w:tentative="0">
      <w:start w:val="0"/>
      <w:numFmt w:val="bullet"/>
      <w:lvlText w:val="•"/>
      <w:lvlJc w:val="left"/>
      <w:pPr>
        <w:ind w:left="7980" w:hanging="473"/>
      </w:pPr>
      <w:rPr>
        <w:rFonts w:hint="default"/>
        <w:lang w:val="zh-CN" w:eastAsia="zh-CN" w:bidi="zh-CN"/>
      </w:rPr>
    </w:lvl>
  </w:abstractNum>
  <w:abstractNum w:abstractNumId="9">
    <w:nsid w:val="6ADE0729"/>
    <w:multiLevelType w:val="multilevel"/>
    <w:tmpl w:val="6ADE0729"/>
    <w:lvl w:ilvl="0" w:tentative="0">
      <w:start w:val="1"/>
      <w:numFmt w:val="decimal"/>
      <w:lvlText w:val="%1"/>
      <w:lvlJc w:val="left"/>
      <w:pPr>
        <w:ind w:left="529" w:hanging="317"/>
        <w:jc w:val="left"/>
      </w:pPr>
      <w:rPr>
        <w:rFonts w:hint="default"/>
        <w:lang w:val="zh-CN" w:eastAsia="zh-CN" w:bidi="zh-CN"/>
      </w:rPr>
    </w:lvl>
    <w:lvl w:ilvl="1" w:tentative="0">
      <w:start w:val="6"/>
      <w:numFmt w:val="decimal"/>
      <w:lvlText w:val="%1.%2"/>
      <w:lvlJc w:val="left"/>
      <w:pPr>
        <w:ind w:left="529" w:hanging="317"/>
        <w:jc w:val="left"/>
      </w:pPr>
      <w:rPr>
        <w:rFonts w:hint="default" w:ascii="Times New Roman" w:hAnsi="Times New Roman" w:eastAsia="Times New Roman" w:cs="Times New Roman"/>
        <w:spacing w:val="0"/>
        <w:w w:val="99"/>
        <w:sz w:val="21"/>
        <w:szCs w:val="21"/>
        <w:lang w:val="zh-CN" w:eastAsia="zh-CN" w:bidi="zh-CN"/>
      </w:rPr>
    </w:lvl>
    <w:lvl w:ilvl="2" w:tentative="0">
      <w:start w:val="1"/>
      <w:numFmt w:val="decimal"/>
      <w:lvlText w:val="%1.%2.%3"/>
      <w:lvlJc w:val="left"/>
      <w:pPr>
        <w:ind w:left="220" w:hanging="423"/>
        <w:jc w:val="left"/>
      </w:pPr>
      <w:rPr>
        <w:rFonts w:hint="default" w:ascii="Times New Roman" w:hAnsi="Times New Roman" w:eastAsia="Times New Roman" w:cs="Times New Roman"/>
        <w:spacing w:val="-2"/>
        <w:w w:val="99"/>
        <w:sz w:val="19"/>
        <w:szCs w:val="19"/>
        <w:lang w:val="zh-CN" w:eastAsia="zh-CN" w:bidi="zh-CN"/>
      </w:rPr>
    </w:lvl>
    <w:lvl w:ilvl="3" w:tentative="0">
      <w:start w:val="1"/>
      <w:numFmt w:val="decimal"/>
      <w:lvlText w:val="%1.%2.%3.%4"/>
      <w:lvlJc w:val="left"/>
      <w:pPr>
        <w:ind w:left="791" w:hanging="579"/>
        <w:jc w:val="left"/>
      </w:pPr>
      <w:rPr>
        <w:rFonts w:hint="default" w:ascii="Times New Roman" w:hAnsi="Times New Roman" w:eastAsia="Times New Roman" w:cs="Times New Roman"/>
        <w:spacing w:val="-2"/>
        <w:w w:val="99"/>
        <w:sz w:val="19"/>
        <w:szCs w:val="19"/>
        <w:lang w:val="zh-CN" w:eastAsia="zh-CN" w:bidi="zh-CN"/>
      </w:rPr>
    </w:lvl>
    <w:lvl w:ilvl="4" w:tentative="0">
      <w:start w:val="0"/>
      <w:numFmt w:val="bullet"/>
      <w:lvlText w:val="•"/>
      <w:lvlJc w:val="left"/>
      <w:pPr>
        <w:ind w:left="3116" w:hanging="579"/>
      </w:pPr>
      <w:rPr>
        <w:rFonts w:hint="default"/>
        <w:lang w:val="zh-CN" w:eastAsia="zh-CN" w:bidi="zh-CN"/>
      </w:rPr>
    </w:lvl>
    <w:lvl w:ilvl="5" w:tentative="0">
      <w:start w:val="0"/>
      <w:numFmt w:val="bullet"/>
      <w:lvlText w:val="•"/>
      <w:lvlJc w:val="left"/>
      <w:pPr>
        <w:ind w:left="4274" w:hanging="579"/>
      </w:pPr>
      <w:rPr>
        <w:rFonts w:hint="default"/>
        <w:lang w:val="zh-CN" w:eastAsia="zh-CN" w:bidi="zh-CN"/>
      </w:rPr>
    </w:lvl>
    <w:lvl w:ilvl="6" w:tentative="0">
      <w:start w:val="0"/>
      <w:numFmt w:val="bullet"/>
      <w:lvlText w:val="•"/>
      <w:lvlJc w:val="left"/>
      <w:pPr>
        <w:ind w:left="5433" w:hanging="579"/>
      </w:pPr>
      <w:rPr>
        <w:rFonts w:hint="default"/>
        <w:lang w:val="zh-CN" w:eastAsia="zh-CN" w:bidi="zh-CN"/>
      </w:rPr>
    </w:lvl>
    <w:lvl w:ilvl="7" w:tentative="0">
      <w:start w:val="0"/>
      <w:numFmt w:val="bullet"/>
      <w:lvlText w:val="•"/>
      <w:lvlJc w:val="left"/>
      <w:pPr>
        <w:ind w:left="6591" w:hanging="579"/>
      </w:pPr>
      <w:rPr>
        <w:rFonts w:hint="default"/>
        <w:lang w:val="zh-CN" w:eastAsia="zh-CN" w:bidi="zh-CN"/>
      </w:rPr>
    </w:lvl>
    <w:lvl w:ilvl="8" w:tentative="0">
      <w:start w:val="0"/>
      <w:numFmt w:val="bullet"/>
      <w:lvlText w:val="•"/>
      <w:lvlJc w:val="left"/>
      <w:pPr>
        <w:ind w:left="7749" w:hanging="579"/>
      </w:pPr>
      <w:rPr>
        <w:rFonts w:hint="default"/>
        <w:lang w:val="zh-CN" w:eastAsia="zh-CN" w:bidi="zh-CN"/>
      </w:rPr>
    </w:lvl>
  </w:abstractNum>
  <w:num w:numId="1">
    <w:abstractNumId w:val="0"/>
  </w:num>
  <w:num w:numId="2">
    <w:abstractNumId w:val="2"/>
  </w:num>
  <w:num w:numId="3">
    <w:abstractNumId w:val="5"/>
  </w:num>
  <w:num w:numId="4">
    <w:abstractNumId w:val="1"/>
  </w:num>
  <w:num w:numId="5">
    <w:abstractNumId w:val="3"/>
  </w:num>
  <w:num w:numId="6">
    <w:abstractNumId w:val="9"/>
  </w:num>
  <w:num w:numId="7">
    <w:abstractNumId w:val="6"/>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75"/>
    <w:rsid w:val="00003731"/>
    <w:rsid w:val="000A1AEE"/>
    <w:rsid w:val="00136DB7"/>
    <w:rsid w:val="001649F8"/>
    <w:rsid w:val="00186677"/>
    <w:rsid w:val="002E6232"/>
    <w:rsid w:val="00477F8E"/>
    <w:rsid w:val="004F753D"/>
    <w:rsid w:val="00502850"/>
    <w:rsid w:val="005924FB"/>
    <w:rsid w:val="006B7CF5"/>
    <w:rsid w:val="00713FE2"/>
    <w:rsid w:val="008B43EF"/>
    <w:rsid w:val="008C228D"/>
    <w:rsid w:val="00906ECE"/>
    <w:rsid w:val="00AE3DF3"/>
    <w:rsid w:val="00BC0DE9"/>
    <w:rsid w:val="00CF04EB"/>
    <w:rsid w:val="00D23A49"/>
    <w:rsid w:val="00D53609"/>
    <w:rsid w:val="00D62CFC"/>
    <w:rsid w:val="00EE6E63"/>
    <w:rsid w:val="00FA1CFC"/>
    <w:rsid w:val="00FD7575"/>
    <w:rsid w:val="119B24C9"/>
    <w:rsid w:val="1F4641B3"/>
    <w:rsid w:val="1F4F53ED"/>
    <w:rsid w:val="24FF3122"/>
    <w:rsid w:val="29423C39"/>
    <w:rsid w:val="29C16CEB"/>
    <w:rsid w:val="30987137"/>
    <w:rsid w:val="32705150"/>
    <w:rsid w:val="32D64C0A"/>
    <w:rsid w:val="33D53D8F"/>
    <w:rsid w:val="3FE63EE8"/>
    <w:rsid w:val="3FF766C8"/>
    <w:rsid w:val="417A757F"/>
    <w:rsid w:val="41DD7242"/>
    <w:rsid w:val="43310639"/>
    <w:rsid w:val="476B3E59"/>
    <w:rsid w:val="4CD02F6D"/>
    <w:rsid w:val="55E4287A"/>
    <w:rsid w:val="594B44C4"/>
    <w:rsid w:val="5CC10F04"/>
    <w:rsid w:val="5E84131A"/>
    <w:rsid w:val="62253F3B"/>
    <w:rsid w:val="651D0D41"/>
    <w:rsid w:val="6836373D"/>
    <w:rsid w:val="68776A1E"/>
    <w:rsid w:val="6B916354"/>
    <w:rsid w:val="6CC7085A"/>
    <w:rsid w:val="6DBF23A6"/>
    <w:rsid w:val="707B3132"/>
    <w:rsid w:val="7D7734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2"/>
    <w:basedOn w:val="1"/>
    <w:next w:val="1"/>
    <w:qFormat/>
    <w:uiPriority w:val="0"/>
    <w:pPr>
      <w:keepNext/>
      <w:keepLines/>
      <w:numPr>
        <w:ilvl w:val="1"/>
        <w:numId w:val="1"/>
      </w:numPr>
      <w:outlineLvl w:val="1"/>
    </w:pPr>
    <w:rPr>
      <w:rFonts w:hAnsi="Arial"/>
      <w:b/>
      <w:bCs/>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1"/>
    <w:rPr>
      <w:sz w:val="21"/>
      <w:szCs w:val="21"/>
    </w:rPr>
  </w:style>
  <w:style w:type="paragraph" w:styleId="4">
    <w:name w:val="Balloon Text"/>
    <w:basedOn w:val="1"/>
    <w:link w:val="26"/>
    <w:semiHidden/>
    <w:unhideWhenUsed/>
    <w:qFormat/>
    <w:uiPriority w:val="99"/>
    <w:rPr>
      <w:sz w:val="18"/>
      <w:szCs w:val="18"/>
    </w:rPr>
  </w:style>
  <w:style w:type="paragraph" w:styleId="5">
    <w:name w:val="footer"/>
    <w:basedOn w:val="1"/>
    <w:link w:val="25"/>
    <w:unhideWhenUsed/>
    <w:qFormat/>
    <w:uiPriority w:val="99"/>
    <w:pPr>
      <w:tabs>
        <w:tab w:val="center" w:pos="4153"/>
        <w:tab w:val="right" w:pos="8306"/>
      </w:tabs>
      <w:snapToGrid w:val="0"/>
    </w:pPr>
    <w:rPr>
      <w:sz w:val="18"/>
      <w:szCs w:val="18"/>
    </w:rPr>
  </w:style>
  <w:style w:type="paragraph" w:styleId="6">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table" w:customStyle="1" w:styleId="9">
    <w:name w:val="Table Normal"/>
    <w:semiHidden/>
    <w:unhideWhenUsed/>
    <w:qFormat/>
    <w:uiPriority w:val="2"/>
    <w:tblPr>
      <w:tblCellMar>
        <w:top w:w="0" w:type="dxa"/>
        <w:left w:w="0" w:type="dxa"/>
        <w:bottom w:w="0" w:type="dxa"/>
        <w:right w:w="0" w:type="dxa"/>
      </w:tblCellMar>
    </w:tblPr>
  </w:style>
  <w:style w:type="paragraph" w:customStyle="1" w:styleId="10">
    <w:name w:val="目录 11"/>
    <w:basedOn w:val="1"/>
    <w:qFormat/>
    <w:uiPriority w:val="1"/>
    <w:pPr>
      <w:spacing w:before="20"/>
      <w:ind w:left="18"/>
      <w:jc w:val="center"/>
    </w:pPr>
    <w:rPr>
      <w:sz w:val="18"/>
      <w:szCs w:val="18"/>
    </w:rPr>
  </w:style>
  <w:style w:type="paragraph" w:customStyle="1" w:styleId="11">
    <w:name w:val="目录 21"/>
    <w:basedOn w:val="1"/>
    <w:qFormat/>
    <w:uiPriority w:val="1"/>
    <w:pPr>
      <w:spacing w:before="2"/>
      <w:ind w:left="231"/>
    </w:pPr>
    <w:rPr>
      <w:sz w:val="21"/>
      <w:szCs w:val="21"/>
    </w:rPr>
  </w:style>
  <w:style w:type="paragraph" w:customStyle="1" w:styleId="12">
    <w:name w:val="目录 31"/>
    <w:basedOn w:val="1"/>
    <w:qFormat/>
    <w:uiPriority w:val="1"/>
    <w:pPr>
      <w:spacing w:before="2"/>
      <w:ind w:left="1176" w:hanging="525"/>
    </w:pPr>
    <w:rPr>
      <w:sz w:val="21"/>
      <w:szCs w:val="21"/>
    </w:rPr>
  </w:style>
  <w:style w:type="paragraph" w:customStyle="1" w:styleId="13">
    <w:name w:val="标题 11"/>
    <w:basedOn w:val="1"/>
    <w:qFormat/>
    <w:uiPriority w:val="1"/>
    <w:pPr>
      <w:spacing w:before="318"/>
      <w:ind w:left="18"/>
      <w:jc w:val="center"/>
      <w:outlineLvl w:val="1"/>
    </w:pPr>
    <w:rPr>
      <w:rFonts w:ascii="黑体" w:hAnsi="黑体" w:eastAsia="黑体" w:cs="黑体"/>
      <w:sz w:val="48"/>
      <w:szCs w:val="48"/>
    </w:rPr>
  </w:style>
  <w:style w:type="paragraph" w:customStyle="1" w:styleId="14">
    <w:name w:val="标题 21"/>
    <w:basedOn w:val="1"/>
    <w:qFormat/>
    <w:uiPriority w:val="1"/>
    <w:pPr>
      <w:ind w:left="114" w:right="112"/>
      <w:jc w:val="center"/>
      <w:outlineLvl w:val="2"/>
    </w:pPr>
    <w:rPr>
      <w:b/>
      <w:bCs/>
      <w:sz w:val="44"/>
      <w:szCs w:val="44"/>
    </w:rPr>
  </w:style>
  <w:style w:type="paragraph" w:customStyle="1" w:styleId="15">
    <w:name w:val="标题 31"/>
    <w:basedOn w:val="1"/>
    <w:qFormat/>
    <w:uiPriority w:val="1"/>
    <w:pPr>
      <w:spacing w:before="44"/>
      <w:ind w:left="2470"/>
      <w:outlineLvl w:val="3"/>
    </w:pPr>
    <w:rPr>
      <w:sz w:val="40"/>
      <w:szCs w:val="40"/>
    </w:rPr>
  </w:style>
  <w:style w:type="paragraph" w:customStyle="1" w:styleId="16">
    <w:name w:val="标题 41"/>
    <w:basedOn w:val="1"/>
    <w:qFormat/>
    <w:uiPriority w:val="1"/>
    <w:pPr>
      <w:spacing w:before="54"/>
      <w:ind w:left="20"/>
      <w:jc w:val="center"/>
      <w:outlineLvl w:val="4"/>
    </w:pPr>
    <w:rPr>
      <w:b/>
      <w:bCs/>
      <w:sz w:val="32"/>
      <w:szCs w:val="32"/>
    </w:rPr>
  </w:style>
  <w:style w:type="paragraph" w:customStyle="1" w:styleId="17">
    <w:name w:val="标题 51"/>
    <w:basedOn w:val="1"/>
    <w:qFormat/>
    <w:uiPriority w:val="1"/>
    <w:pPr>
      <w:spacing w:before="55"/>
      <w:ind w:left="291"/>
      <w:outlineLvl w:val="5"/>
    </w:pPr>
    <w:rPr>
      <w:rFonts w:ascii="黑体" w:hAnsi="黑体" w:eastAsia="黑体" w:cs="黑体"/>
      <w:sz w:val="32"/>
      <w:szCs w:val="32"/>
    </w:rPr>
  </w:style>
  <w:style w:type="paragraph" w:customStyle="1" w:styleId="18">
    <w:name w:val="标题 61"/>
    <w:basedOn w:val="1"/>
    <w:qFormat/>
    <w:uiPriority w:val="1"/>
    <w:pPr>
      <w:ind w:left="1019"/>
      <w:outlineLvl w:val="6"/>
    </w:pPr>
    <w:rPr>
      <w:b/>
      <w:bCs/>
      <w:sz w:val="28"/>
      <w:szCs w:val="28"/>
    </w:rPr>
  </w:style>
  <w:style w:type="paragraph" w:customStyle="1" w:styleId="19">
    <w:name w:val="标题 71"/>
    <w:basedOn w:val="1"/>
    <w:qFormat/>
    <w:uiPriority w:val="1"/>
    <w:pPr>
      <w:spacing w:line="300" w:lineRule="exact"/>
      <w:ind w:left="40"/>
      <w:outlineLvl w:val="7"/>
    </w:pPr>
    <w:rPr>
      <w:sz w:val="26"/>
      <w:szCs w:val="26"/>
    </w:rPr>
  </w:style>
  <w:style w:type="paragraph" w:customStyle="1" w:styleId="20">
    <w:name w:val="标题 81"/>
    <w:basedOn w:val="1"/>
    <w:qFormat/>
    <w:uiPriority w:val="1"/>
    <w:pPr>
      <w:ind w:left="860"/>
      <w:outlineLvl w:val="8"/>
    </w:pPr>
    <w:rPr>
      <w:b/>
      <w:bCs/>
      <w:sz w:val="24"/>
      <w:szCs w:val="24"/>
    </w:rPr>
  </w:style>
  <w:style w:type="paragraph" w:customStyle="1" w:styleId="21">
    <w:name w:val="标题 91"/>
    <w:basedOn w:val="1"/>
    <w:qFormat/>
    <w:uiPriority w:val="1"/>
    <w:pPr>
      <w:ind w:left="220"/>
    </w:pPr>
    <w:rPr>
      <w:sz w:val="24"/>
      <w:szCs w:val="24"/>
    </w:rPr>
  </w:style>
  <w:style w:type="paragraph" w:styleId="22">
    <w:name w:val="List Paragraph"/>
    <w:basedOn w:val="1"/>
    <w:qFormat/>
    <w:uiPriority w:val="1"/>
    <w:pPr>
      <w:ind w:left="231" w:firstLine="314"/>
    </w:pPr>
  </w:style>
  <w:style w:type="paragraph" w:customStyle="1" w:styleId="23">
    <w:name w:val="Table Paragraph"/>
    <w:basedOn w:val="1"/>
    <w:qFormat/>
    <w:uiPriority w:val="1"/>
  </w:style>
  <w:style w:type="character" w:customStyle="1" w:styleId="24">
    <w:name w:val="页眉 字符"/>
    <w:basedOn w:val="8"/>
    <w:link w:val="6"/>
    <w:qFormat/>
    <w:uiPriority w:val="99"/>
    <w:rPr>
      <w:rFonts w:ascii="宋体" w:hAnsi="宋体" w:eastAsia="宋体" w:cs="宋体"/>
      <w:sz w:val="18"/>
      <w:szCs w:val="18"/>
      <w:lang w:val="zh-CN" w:eastAsia="zh-CN" w:bidi="zh-CN"/>
    </w:rPr>
  </w:style>
  <w:style w:type="character" w:customStyle="1" w:styleId="25">
    <w:name w:val="页脚 字符"/>
    <w:basedOn w:val="8"/>
    <w:link w:val="5"/>
    <w:qFormat/>
    <w:uiPriority w:val="99"/>
    <w:rPr>
      <w:rFonts w:ascii="宋体" w:hAnsi="宋体" w:eastAsia="宋体" w:cs="宋体"/>
      <w:sz w:val="18"/>
      <w:szCs w:val="18"/>
      <w:lang w:val="zh-CN" w:eastAsia="zh-CN" w:bidi="zh-CN"/>
    </w:rPr>
  </w:style>
  <w:style w:type="character" w:customStyle="1" w:styleId="26">
    <w:name w:val="批注框文本 字符"/>
    <w:basedOn w:val="8"/>
    <w:link w:val="4"/>
    <w:semiHidden/>
    <w:qFormat/>
    <w:uiPriority w:val="99"/>
    <w:rPr>
      <w:rFonts w:ascii="宋体" w:hAnsi="宋体" w:eastAsia="宋体" w:cs="宋体"/>
      <w:sz w:val="18"/>
      <w:szCs w:val="18"/>
      <w:lang w:val="zh-CN" w:eastAsia="zh-CN" w:bidi="zh-CN"/>
    </w:rPr>
  </w:style>
  <w:style w:type="paragraph" w:customStyle="1" w:styleId="27">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707</Words>
  <Characters>4033</Characters>
  <Lines>33</Lines>
  <Paragraphs>9</Paragraphs>
  <TotalTime>3</TotalTime>
  <ScaleCrop>false</ScaleCrop>
  <LinksUpToDate>false</LinksUpToDate>
  <CharactersWithSpaces>4731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2018-10-19T05:43:00Z</dcterms:created>
  <dc:creator>绿力科技</dc:creator>
  <cp:lastModifiedBy>63C7468465774248832307E6A509E501</cp:lastModifiedBy>
  <dcterms:modified xsi:type="dcterms:W3CDTF">2024-08-12T00:54:04Z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2018-10-18T00:00:00Z</vt:filetime>
  </property>
  <property fmtid="{D5CDD505-2E9C-101B-9397-08002B2CF9AE}" pid="3" name="LastSaved">
    <vt:filetime>2018-10-19T00:00:00Z</vt:filetime>
  </property>
  <property fmtid="{D5CDD505-2E9C-101B-9397-08002B2CF9AE}" pid="4" name="KSOProductBuildVer">
    <vt:lpwstr>2052-11.8.2.12085</vt:lpwstr>
  </property>
  <property fmtid="{D5CDD505-2E9C-101B-9397-08002B2CF9AE}" pid="5" name="ICV">
    <vt:lpwstr>526314EDBAB147059D9ABA0B783BC72F</vt:lpwstr>
  </property>
</Properties>
</file>