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0"/>
        </w:numPr>
        <w:jc w:val="center"/>
        <w:rPr>
          <w:rFonts w:hint="eastAsia"/>
          <w:color w:val="auto"/>
          <w:highlight w:val="none"/>
          <w:lang w:val="en-US" w:eastAsia="zh-CN"/>
        </w:rPr>
      </w:pPr>
      <w:r>
        <w:rPr>
          <w:rFonts w:hint="eastAsia"/>
          <w:color w:val="auto"/>
          <w:highlight w:val="none"/>
          <w:lang w:val="en-US" w:eastAsia="zh-CN"/>
        </w:rPr>
        <w:t>2024年云南电力试验研究院（集团）有限公司检验检测事业部实验室检测辅助工具零星采购技术规范书</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sz w:val="21"/>
          <w:szCs w:val="21"/>
          <w:highlight w:val="none"/>
          <w:lang w:val="en-US" w:eastAsia="zh-CN"/>
        </w:rPr>
      </w:pPr>
      <w:bookmarkStart w:id="0" w:name="_Toc441159752"/>
      <w:bookmarkEnd w:id="0"/>
      <w:r>
        <w:rPr>
          <w:rFonts w:hint="eastAsia" w:ascii="仿宋" w:hAnsi="仿宋" w:eastAsia="仿宋" w:cs="仿宋"/>
          <w:b/>
          <w:bCs/>
          <w:color w:val="auto"/>
          <w:sz w:val="21"/>
          <w:szCs w:val="21"/>
          <w:highlight w:val="none"/>
          <w:lang w:val="en-US" w:eastAsia="zh-CN"/>
        </w:rPr>
        <w:t>一.项目概要</w:t>
      </w:r>
    </w:p>
    <w:p>
      <w:pPr>
        <w:keepNext w:val="0"/>
        <w:keepLines w:val="0"/>
        <w:pageBreakBefore w:val="0"/>
        <w:numPr>
          <w:ilvl w:val="0"/>
          <w:numId w:val="0"/>
        </w:numPr>
        <w:kinsoku/>
        <w:wordWrap/>
        <w:overflowPunct/>
        <w:topLinePunct w:val="0"/>
        <w:bidi w:val="0"/>
        <w:spacing w:line="360" w:lineRule="auto"/>
        <w:ind w:firstLine="420" w:firstLineChars="200"/>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因CMA及CNAS资质维护需要增加实验室检测辅助工具，特此开展本次采购。</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二.项目范围</w:t>
      </w:r>
    </w:p>
    <w:p>
      <w:pPr>
        <w:keepNext w:val="0"/>
        <w:keepLines w:val="0"/>
        <w:pageBreakBefore w:val="0"/>
        <w:numPr>
          <w:ilvl w:val="0"/>
          <w:numId w:val="0"/>
        </w:numPr>
        <w:kinsoku/>
        <w:wordWrap/>
        <w:overflowPunct/>
        <w:topLinePunct w:val="0"/>
        <w:bidi w:val="0"/>
        <w:spacing w:line="360" w:lineRule="auto"/>
        <w:ind w:firstLine="420" w:firstLineChars="200"/>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采购表1中的货物。</w:t>
      </w:r>
    </w:p>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表1 采购详情</w:t>
      </w:r>
    </w:p>
    <w:tbl>
      <w:tblPr>
        <w:tblStyle w:val="14"/>
        <w:tblW w:w="5208" w:type="pct"/>
        <w:jc w:val="center"/>
        <w:tblLayout w:type="autofit"/>
        <w:tblCellMar>
          <w:top w:w="0" w:type="dxa"/>
          <w:left w:w="108" w:type="dxa"/>
          <w:bottom w:w="0" w:type="dxa"/>
          <w:right w:w="108" w:type="dxa"/>
        </w:tblCellMar>
      </w:tblPr>
      <w:tblGrid>
        <w:gridCol w:w="1116"/>
        <w:gridCol w:w="1869"/>
        <w:gridCol w:w="1160"/>
        <w:gridCol w:w="1160"/>
        <w:gridCol w:w="3572"/>
      </w:tblGrid>
      <w:tr>
        <w:tblPrEx>
          <w:tblCellMar>
            <w:top w:w="0" w:type="dxa"/>
            <w:left w:w="108" w:type="dxa"/>
            <w:bottom w:w="0" w:type="dxa"/>
            <w:right w:w="108" w:type="dxa"/>
          </w:tblCellMar>
        </w:tblPrEx>
        <w:trPr>
          <w:trHeight w:val="614" w:hRule="atLeast"/>
          <w:jc w:val="center"/>
        </w:trPr>
        <w:tc>
          <w:tcPr>
            <w:tcW w:w="62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序号</w:t>
            </w:r>
          </w:p>
        </w:tc>
        <w:tc>
          <w:tcPr>
            <w:tcW w:w="1052" w:type="pct"/>
            <w:tcBorders>
              <w:top w:val="single" w:color="auto" w:sz="4" w:space="0"/>
              <w:left w:val="nil"/>
              <w:bottom w:val="single" w:color="auto" w:sz="4" w:space="0"/>
              <w:right w:val="single" w:color="auto" w:sz="4" w:space="0"/>
            </w:tcBorders>
            <w:shd w:val="clear" w:color="auto" w:fill="auto"/>
            <w:vAlign w:val="center"/>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物资名称</w:t>
            </w:r>
          </w:p>
        </w:tc>
        <w:tc>
          <w:tcPr>
            <w:tcW w:w="653" w:type="pct"/>
            <w:tcBorders>
              <w:top w:val="single" w:color="auto" w:sz="4" w:space="0"/>
              <w:left w:val="nil"/>
              <w:bottom w:val="single" w:color="auto" w:sz="4" w:space="0"/>
              <w:right w:val="single" w:color="auto" w:sz="4" w:space="0"/>
            </w:tcBorders>
            <w:shd w:val="clear" w:color="auto" w:fill="auto"/>
            <w:vAlign w:val="center"/>
          </w:tcPr>
          <w:p>
            <w:pPr>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单位</w:t>
            </w:r>
          </w:p>
        </w:tc>
        <w:tc>
          <w:tcPr>
            <w:tcW w:w="653" w:type="pct"/>
            <w:tcBorders>
              <w:top w:val="single" w:color="auto" w:sz="4" w:space="0"/>
              <w:left w:val="nil"/>
              <w:bottom w:val="single" w:color="auto" w:sz="4" w:space="0"/>
              <w:right w:val="single" w:color="auto" w:sz="4" w:space="0"/>
            </w:tcBorders>
            <w:shd w:val="clear" w:color="auto" w:fill="auto"/>
            <w:vAlign w:val="center"/>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数量</w:t>
            </w:r>
          </w:p>
        </w:tc>
        <w:tc>
          <w:tcPr>
            <w:tcW w:w="2011" w:type="pct"/>
            <w:tcBorders>
              <w:top w:val="single" w:color="auto" w:sz="4" w:space="0"/>
              <w:left w:val="nil"/>
              <w:bottom w:val="single" w:color="auto" w:sz="4" w:space="0"/>
              <w:right w:val="single" w:color="auto" w:sz="4" w:space="0"/>
            </w:tcBorders>
            <w:shd w:val="clear" w:color="auto" w:fill="auto"/>
            <w:vAlign w:val="center"/>
          </w:tcPr>
          <w:p>
            <w:pPr>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备注</w:t>
            </w:r>
          </w:p>
        </w:tc>
      </w:tr>
      <w:tr>
        <w:tblPrEx>
          <w:tblCellMar>
            <w:top w:w="0" w:type="dxa"/>
            <w:left w:w="108" w:type="dxa"/>
            <w:bottom w:w="0" w:type="dxa"/>
            <w:right w:w="108" w:type="dxa"/>
          </w:tblCellMar>
        </w:tblPrEx>
        <w:trPr>
          <w:trHeight w:val="445" w:hRule="atLeast"/>
          <w:jc w:val="center"/>
        </w:trPr>
        <w:tc>
          <w:tcPr>
            <w:tcW w:w="62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t>1</w:t>
            </w:r>
          </w:p>
        </w:tc>
        <w:tc>
          <w:tcPr>
            <w:tcW w:w="1052" w:type="pct"/>
            <w:tcBorders>
              <w:top w:val="single" w:color="auto" w:sz="4" w:space="0"/>
              <w:left w:val="nil"/>
              <w:bottom w:val="single" w:color="auto" w:sz="4" w:space="0"/>
              <w:right w:val="single" w:color="auto" w:sz="4" w:space="0"/>
            </w:tcBorders>
            <w:shd w:val="clear" w:color="auto" w:fill="auto"/>
            <w:vAlign w:val="center"/>
          </w:tcPr>
          <w:p>
            <w:pPr>
              <w:widowControl/>
              <w:jc w:val="both"/>
              <w:textAlignment w:val="center"/>
              <w:rPr>
                <w:rFonts w:hint="default" w:ascii="仿宋" w:hAnsi="仿宋" w:eastAsia="仿宋" w:cs="仿宋"/>
                <w:color w:val="auto"/>
                <w:kern w:val="2"/>
                <w:sz w:val="21"/>
                <w:szCs w:val="21"/>
                <w:lang w:val="en-US" w:eastAsia="zh-CN" w:bidi="ar-SA"/>
              </w:rPr>
            </w:pPr>
            <w:r>
              <w:rPr>
                <w:rFonts w:hint="eastAsia" w:ascii="仿宋" w:hAnsi="仿宋" w:eastAsia="仿宋" w:cs="仿宋"/>
                <w:b/>
                <w:bCs/>
                <w:color w:val="auto"/>
                <w:sz w:val="21"/>
                <w:szCs w:val="21"/>
                <w:highlight w:val="none"/>
                <w:lang w:val="en-US" w:eastAsia="zh-CN"/>
              </w:rPr>
              <w:t>实验室检测辅助工具-数显扭矩扳手</w:t>
            </w:r>
          </w:p>
        </w:tc>
        <w:tc>
          <w:tcPr>
            <w:tcW w:w="653" w:type="pct"/>
            <w:tcBorders>
              <w:top w:val="single" w:color="auto" w:sz="4" w:space="0"/>
              <w:left w:val="nil"/>
              <w:bottom w:val="single" w:color="auto" w:sz="4" w:space="0"/>
              <w:right w:val="single" w:color="auto" w:sz="4" w:space="0"/>
            </w:tcBorders>
            <w:shd w:val="clear" w:color="auto" w:fill="auto"/>
            <w:vAlign w:val="center"/>
          </w:tcPr>
          <w:p>
            <w:pPr>
              <w:widowControl/>
              <w:jc w:val="center"/>
              <w:textAlignment w:val="center"/>
              <w:rPr>
                <w:rFonts w:hint="default"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1</w:t>
            </w:r>
          </w:p>
        </w:tc>
        <w:tc>
          <w:tcPr>
            <w:tcW w:w="653" w:type="pct"/>
            <w:tcBorders>
              <w:top w:val="single" w:color="auto" w:sz="4" w:space="0"/>
              <w:left w:val="nil"/>
              <w:bottom w:val="single" w:color="auto" w:sz="4" w:space="0"/>
              <w:right w:val="single" w:color="auto" w:sz="4" w:space="0"/>
            </w:tcBorders>
            <w:shd w:val="clear" w:color="auto" w:fill="auto"/>
            <w:vAlign w:val="center"/>
          </w:tcPr>
          <w:p>
            <w:pPr>
              <w:widowControl/>
              <w:jc w:val="center"/>
              <w:textAlignment w:val="center"/>
              <w:rPr>
                <w:rFonts w:hint="default"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套</w:t>
            </w:r>
          </w:p>
        </w:tc>
        <w:tc>
          <w:tcPr>
            <w:tcW w:w="2011" w:type="pct"/>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rPr>
                <w:rFonts w:hint="default"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技术参数详见技术规范书3.1项目技术要求</w:t>
            </w:r>
          </w:p>
        </w:tc>
      </w:tr>
      <w:tr>
        <w:tblPrEx>
          <w:tblCellMar>
            <w:top w:w="0" w:type="dxa"/>
            <w:left w:w="108" w:type="dxa"/>
            <w:bottom w:w="0" w:type="dxa"/>
            <w:right w:w="108" w:type="dxa"/>
          </w:tblCellMar>
        </w:tblPrEx>
        <w:trPr>
          <w:trHeight w:val="445" w:hRule="atLeast"/>
          <w:jc w:val="center"/>
        </w:trPr>
        <w:tc>
          <w:tcPr>
            <w:tcW w:w="62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w:t>
            </w:r>
          </w:p>
        </w:tc>
        <w:tc>
          <w:tcPr>
            <w:tcW w:w="1052" w:type="pct"/>
            <w:tcBorders>
              <w:top w:val="single" w:color="auto" w:sz="4" w:space="0"/>
              <w:left w:val="nil"/>
              <w:bottom w:val="single" w:color="auto" w:sz="4" w:space="0"/>
              <w:right w:val="single" w:color="auto" w:sz="4" w:space="0"/>
            </w:tcBorders>
            <w:shd w:val="clear" w:color="auto" w:fill="auto"/>
            <w:vAlign w:val="center"/>
          </w:tcPr>
          <w:p>
            <w:pPr>
              <w:widowControl/>
              <w:jc w:val="center"/>
              <w:textAlignment w:val="center"/>
              <w:rPr>
                <w:rFonts w:hint="default" w:ascii="仿宋" w:hAnsi="仿宋" w:eastAsia="仿宋" w:cs="仿宋"/>
                <w:color w:val="auto"/>
                <w:kern w:val="2"/>
                <w:sz w:val="21"/>
                <w:szCs w:val="21"/>
                <w:lang w:val="en-US" w:eastAsia="zh-CN" w:bidi="ar-SA"/>
              </w:rPr>
            </w:pPr>
            <w:r>
              <w:rPr>
                <w:rFonts w:hint="eastAsia" w:ascii="仿宋" w:hAnsi="仿宋" w:eastAsia="仿宋" w:cs="仿宋"/>
                <w:b/>
                <w:bCs/>
                <w:color w:val="auto"/>
                <w:sz w:val="21"/>
                <w:szCs w:val="21"/>
                <w:highlight w:val="none"/>
                <w:lang w:val="en-US" w:eastAsia="zh-CN"/>
              </w:rPr>
              <w:t>实验室检测辅助工具-恒温水浴槽</w:t>
            </w:r>
          </w:p>
        </w:tc>
        <w:tc>
          <w:tcPr>
            <w:tcW w:w="653" w:type="pct"/>
            <w:tcBorders>
              <w:top w:val="single" w:color="auto" w:sz="4" w:space="0"/>
              <w:left w:val="nil"/>
              <w:bottom w:val="single" w:color="auto" w:sz="4" w:space="0"/>
              <w:right w:val="single" w:color="auto" w:sz="4" w:space="0"/>
            </w:tcBorders>
            <w:shd w:val="clear" w:color="auto" w:fill="auto"/>
            <w:vAlign w:val="center"/>
          </w:tcPr>
          <w:p>
            <w:pPr>
              <w:widowControl/>
              <w:jc w:val="center"/>
              <w:textAlignment w:val="center"/>
              <w:rPr>
                <w:rFonts w:hint="default"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1</w:t>
            </w:r>
          </w:p>
        </w:tc>
        <w:tc>
          <w:tcPr>
            <w:tcW w:w="653" w:type="pct"/>
            <w:tcBorders>
              <w:top w:val="single" w:color="auto" w:sz="4" w:space="0"/>
              <w:left w:val="nil"/>
              <w:bottom w:val="single" w:color="auto" w:sz="4" w:space="0"/>
              <w:right w:val="single" w:color="auto" w:sz="4" w:space="0"/>
            </w:tcBorders>
            <w:shd w:val="clear" w:color="auto" w:fill="auto"/>
            <w:vAlign w:val="center"/>
          </w:tcPr>
          <w:p>
            <w:pPr>
              <w:widowControl/>
              <w:jc w:val="center"/>
              <w:textAlignment w:val="center"/>
              <w:rPr>
                <w:rFonts w:hint="default"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台</w:t>
            </w:r>
          </w:p>
        </w:tc>
        <w:tc>
          <w:tcPr>
            <w:tcW w:w="2011" w:type="pct"/>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技术参数详见技术规范书3.1项目技术要求</w:t>
            </w:r>
          </w:p>
        </w:tc>
      </w:tr>
      <w:tr>
        <w:tblPrEx>
          <w:tblCellMar>
            <w:top w:w="0" w:type="dxa"/>
            <w:left w:w="108" w:type="dxa"/>
            <w:bottom w:w="0" w:type="dxa"/>
            <w:right w:w="108" w:type="dxa"/>
          </w:tblCellMar>
        </w:tblPrEx>
        <w:trPr>
          <w:trHeight w:val="445" w:hRule="atLeast"/>
          <w:jc w:val="center"/>
        </w:trPr>
        <w:tc>
          <w:tcPr>
            <w:tcW w:w="62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w:t>
            </w:r>
          </w:p>
        </w:tc>
        <w:tc>
          <w:tcPr>
            <w:tcW w:w="1052" w:type="pct"/>
            <w:tcBorders>
              <w:top w:val="single" w:color="auto" w:sz="4" w:space="0"/>
              <w:left w:val="nil"/>
              <w:bottom w:val="single" w:color="auto" w:sz="4" w:space="0"/>
              <w:right w:val="single" w:color="auto" w:sz="4" w:space="0"/>
            </w:tcBorders>
            <w:shd w:val="clear" w:color="auto" w:fill="auto"/>
            <w:vAlign w:val="center"/>
          </w:tcPr>
          <w:p>
            <w:pPr>
              <w:widowControl/>
              <w:jc w:val="center"/>
              <w:textAlignment w:val="center"/>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实验室检测辅助工具-数显游标卡尺</w:t>
            </w:r>
          </w:p>
        </w:tc>
        <w:tc>
          <w:tcPr>
            <w:tcW w:w="653" w:type="pct"/>
            <w:tcBorders>
              <w:top w:val="single" w:color="auto" w:sz="4" w:space="0"/>
              <w:left w:val="nil"/>
              <w:bottom w:val="single" w:color="auto" w:sz="4" w:space="0"/>
              <w:right w:val="single" w:color="auto" w:sz="4" w:space="0"/>
            </w:tcBorders>
            <w:shd w:val="clear" w:color="auto" w:fill="auto"/>
            <w:vAlign w:val="center"/>
          </w:tcPr>
          <w:p>
            <w:pPr>
              <w:widowControl/>
              <w:jc w:val="center"/>
              <w:textAlignment w:val="center"/>
              <w:rPr>
                <w:rFonts w:hint="default"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1</w:t>
            </w:r>
          </w:p>
        </w:tc>
        <w:tc>
          <w:tcPr>
            <w:tcW w:w="653" w:type="pct"/>
            <w:tcBorders>
              <w:top w:val="single" w:color="auto" w:sz="4" w:space="0"/>
              <w:left w:val="nil"/>
              <w:bottom w:val="single" w:color="auto" w:sz="4" w:space="0"/>
              <w:right w:val="single" w:color="auto" w:sz="4" w:space="0"/>
            </w:tcBorders>
            <w:shd w:val="clear" w:color="auto" w:fill="auto"/>
            <w:vAlign w:val="center"/>
          </w:tcPr>
          <w:p>
            <w:pPr>
              <w:widowControl/>
              <w:jc w:val="center"/>
              <w:textAlignment w:val="center"/>
              <w:rPr>
                <w:rFonts w:hint="default"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把</w:t>
            </w:r>
          </w:p>
        </w:tc>
        <w:tc>
          <w:tcPr>
            <w:tcW w:w="2011" w:type="pct"/>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技术参数详见技术规范书3.1项目技术要求</w:t>
            </w:r>
          </w:p>
        </w:tc>
      </w:tr>
      <w:tr>
        <w:tblPrEx>
          <w:tblCellMar>
            <w:top w:w="0" w:type="dxa"/>
            <w:left w:w="108" w:type="dxa"/>
            <w:bottom w:w="0" w:type="dxa"/>
            <w:right w:w="108" w:type="dxa"/>
          </w:tblCellMar>
        </w:tblPrEx>
        <w:trPr>
          <w:trHeight w:val="445" w:hRule="atLeast"/>
          <w:jc w:val="center"/>
        </w:trPr>
        <w:tc>
          <w:tcPr>
            <w:tcW w:w="62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w:t>
            </w:r>
          </w:p>
        </w:tc>
        <w:tc>
          <w:tcPr>
            <w:tcW w:w="1052" w:type="pct"/>
            <w:tcBorders>
              <w:top w:val="single" w:color="auto" w:sz="4" w:space="0"/>
              <w:left w:val="nil"/>
              <w:bottom w:val="single" w:color="auto" w:sz="4" w:space="0"/>
              <w:right w:val="single" w:color="auto" w:sz="4" w:space="0"/>
            </w:tcBorders>
            <w:shd w:val="clear" w:color="auto" w:fill="auto"/>
            <w:vAlign w:val="center"/>
          </w:tcPr>
          <w:p>
            <w:pPr>
              <w:widowControl/>
              <w:jc w:val="center"/>
              <w:textAlignment w:val="center"/>
              <w:rPr>
                <w:rFonts w:hint="default"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sz w:val="21"/>
                <w:szCs w:val="21"/>
                <w:highlight w:val="none"/>
                <w:lang w:val="en-US" w:eastAsia="zh-CN"/>
              </w:rPr>
              <w:t>实验室检测辅助工具-数字大气压力计</w:t>
            </w:r>
          </w:p>
        </w:tc>
        <w:tc>
          <w:tcPr>
            <w:tcW w:w="653" w:type="pct"/>
            <w:tcBorders>
              <w:top w:val="single" w:color="auto" w:sz="4" w:space="0"/>
              <w:left w:val="nil"/>
              <w:bottom w:val="single" w:color="auto" w:sz="4" w:space="0"/>
              <w:right w:val="single" w:color="auto" w:sz="4" w:space="0"/>
            </w:tcBorders>
            <w:shd w:val="clear" w:color="auto" w:fill="auto"/>
            <w:vAlign w:val="center"/>
          </w:tcPr>
          <w:p>
            <w:pPr>
              <w:widowControl/>
              <w:jc w:val="center"/>
              <w:textAlignment w:val="center"/>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4</w:t>
            </w:r>
          </w:p>
        </w:tc>
        <w:tc>
          <w:tcPr>
            <w:tcW w:w="653" w:type="pct"/>
            <w:tcBorders>
              <w:top w:val="single" w:color="auto" w:sz="4" w:space="0"/>
              <w:left w:val="nil"/>
              <w:bottom w:val="single" w:color="auto" w:sz="4" w:space="0"/>
              <w:right w:val="single" w:color="auto" w:sz="4" w:space="0"/>
            </w:tcBorders>
            <w:shd w:val="clear" w:color="auto" w:fill="auto"/>
            <w:vAlign w:val="center"/>
          </w:tcPr>
          <w:p>
            <w:pPr>
              <w:widowControl/>
              <w:jc w:val="center"/>
              <w:textAlignment w:val="center"/>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个</w:t>
            </w:r>
          </w:p>
        </w:tc>
        <w:tc>
          <w:tcPr>
            <w:tcW w:w="2011" w:type="pct"/>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both"/>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技术参数详见技术规范书3.1项目技术要求</w:t>
            </w:r>
          </w:p>
        </w:tc>
      </w:tr>
    </w:tbl>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三.项目技术要求</w:t>
      </w:r>
    </w:p>
    <w:p>
      <w:pPr>
        <w:pStyle w:val="13"/>
        <w:keepNext w:val="0"/>
        <w:keepLines w:val="0"/>
        <w:pageBreakBefore w:val="0"/>
        <w:kinsoku/>
        <w:wordWrap/>
        <w:overflowPunct/>
        <w:topLinePunct w:val="0"/>
        <w:bidi w:val="0"/>
        <w:spacing w:line="360" w:lineRule="auto"/>
        <w:ind w:left="0" w:leftChars="0" w:firstLine="0" w:firstLineChars="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3.1项目技术要求</w:t>
      </w:r>
    </w:p>
    <w:p>
      <w:pPr>
        <w:pStyle w:val="13"/>
        <w:keepNext w:val="0"/>
        <w:keepLines w:val="0"/>
        <w:pageBreakBefore w:val="0"/>
        <w:kinsoku/>
        <w:wordWrap/>
        <w:overflowPunct/>
        <w:topLinePunct w:val="0"/>
        <w:bidi w:val="0"/>
        <w:spacing w:line="360" w:lineRule="auto"/>
        <w:ind w:left="0" w:leftChars="0" w:firstLine="0" w:firstLineChars="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3.1.1 实验室检测辅助工具-数显扭矩扳手</w:t>
      </w:r>
    </w:p>
    <w:p>
      <w:pPr>
        <w:pStyle w:val="13"/>
        <w:keepNext w:val="0"/>
        <w:keepLines w:val="0"/>
        <w:pageBreakBefore w:val="0"/>
        <w:numPr>
          <w:ilvl w:val="0"/>
          <w:numId w:val="1"/>
        </w:numPr>
        <w:kinsoku/>
        <w:wordWrap/>
        <w:overflowPunct/>
        <w:topLinePunct w:val="0"/>
        <w:bidi w:val="0"/>
        <w:spacing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扭矩上限：30N·m；</w:t>
      </w:r>
    </w:p>
    <w:p>
      <w:pPr>
        <w:pStyle w:val="13"/>
        <w:keepNext w:val="0"/>
        <w:keepLines w:val="0"/>
        <w:pageBreakBefore w:val="0"/>
        <w:numPr>
          <w:ilvl w:val="0"/>
          <w:numId w:val="1"/>
        </w:numPr>
        <w:kinsoku/>
        <w:wordWrap/>
        <w:overflowPunct/>
        <w:topLinePunct w:val="0"/>
        <w:bidi w:val="0"/>
        <w:spacing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精度：顺时针±2%、逆时针±2.5%；</w:t>
      </w:r>
    </w:p>
    <w:p>
      <w:pPr>
        <w:pStyle w:val="13"/>
        <w:keepNext w:val="0"/>
        <w:keepLines w:val="0"/>
        <w:pageBreakBefore w:val="0"/>
        <w:numPr>
          <w:ilvl w:val="0"/>
          <w:numId w:val="1"/>
        </w:numPr>
        <w:kinsoku/>
        <w:wordWrap/>
        <w:overflowPunct/>
        <w:topLinePunct w:val="0"/>
        <w:bidi w:val="0"/>
        <w:spacing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转接头：1/4</w:t>
      </w:r>
    </w:p>
    <w:p>
      <w:pPr>
        <w:pStyle w:val="13"/>
        <w:keepNext w:val="0"/>
        <w:keepLines w:val="0"/>
        <w:pageBreakBefore w:val="0"/>
        <w:numPr>
          <w:ilvl w:val="0"/>
          <w:numId w:val="1"/>
        </w:numPr>
        <w:kinsoku/>
        <w:wordWrap/>
        <w:overflowPunct/>
        <w:topLinePunct w:val="0"/>
        <w:bidi w:val="0"/>
        <w:spacing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配套套筒尺寸：5mm、6mm、7mm、9mm、10mm、11mm、12mm、13mm、14mm；</w:t>
      </w:r>
    </w:p>
    <w:p>
      <w:pPr>
        <w:pStyle w:val="13"/>
        <w:keepNext w:val="0"/>
        <w:keepLines w:val="0"/>
        <w:pageBreakBefore w:val="0"/>
        <w:kinsoku/>
        <w:wordWrap/>
        <w:overflowPunct/>
        <w:topLinePunct w:val="0"/>
        <w:bidi w:val="0"/>
        <w:spacing w:line="360" w:lineRule="auto"/>
        <w:ind w:left="0" w:leftChars="0" w:firstLine="0" w:firstLineChars="0"/>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3.1.2 实验室检测辅助工具-恒温水浴槽</w:t>
      </w:r>
    </w:p>
    <w:p>
      <w:pPr>
        <w:pStyle w:val="13"/>
        <w:keepNext w:val="0"/>
        <w:keepLines w:val="0"/>
        <w:pageBreakBefore w:val="0"/>
        <w:numPr>
          <w:ilvl w:val="0"/>
          <w:numId w:val="2"/>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温度控制范围：-5~100℃；</w:t>
      </w:r>
    </w:p>
    <w:p>
      <w:pPr>
        <w:pStyle w:val="13"/>
        <w:keepNext w:val="0"/>
        <w:keepLines w:val="0"/>
        <w:pageBreakBefore w:val="0"/>
        <w:numPr>
          <w:ilvl w:val="0"/>
          <w:numId w:val="2"/>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波动度：±0.05℃；</w:t>
      </w:r>
    </w:p>
    <w:p>
      <w:pPr>
        <w:pStyle w:val="13"/>
        <w:keepNext w:val="0"/>
        <w:keepLines w:val="0"/>
        <w:pageBreakBefore w:val="0"/>
        <w:numPr>
          <w:ilvl w:val="0"/>
          <w:numId w:val="2"/>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分辨率：±0.01℃；</w:t>
      </w:r>
    </w:p>
    <w:p>
      <w:pPr>
        <w:pStyle w:val="13"/>
        <w:keepNext w:val="0"/>
        <w:keepLines w:val="0"/>
        <w:pageBreakBefore w:val="0"/>
        <w:numPr>
          <w:ilvl w:val="0"/>
          <w:numId w:val="2"/>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槽容积：6L；</w:t>
      </w:r>
    </w:p>
    <w:p>
      <w:pPr>
        <w:pStyle w:val="13"/>
        <w:keepNext w:val="0"/>
        <w:keepLines w:val="0"/>
        <w:pageBreakBefore w:val="0"/>
        <w:numPr>
          <w:ilvl w:val="0"/>
          <w:numId w:val="2"/>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槽深度：150mm；</w:t>
      </w:r>
    </w:p>
    <w:p>
      <w:pPr>
        <w:pStyle w:val="13"/>
        <w:keepNext w:val="0"/>
        <w:keepLines w:val="0"/>
        <w:pageBreakBefore w:val="0"/>
        <w:numPr>
          <w:ilvl w:val="0"/>
          <w:numId w:val="2"/>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泵流量：6L/min；</w:t>
      </w:r>
    </w:p>
    <w:p>
      <w:pPr>
        <w:pStyle w:val="13"/>
        <w:keepNext w:val="0"/>
        <w:keepLines w:val="0"/>
        <w:pageBreakBefore w:val="0"/>
        <w:numPr>
          <w:ilvl w:val="0"/>
          <w:numId w:val="2"/>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功率：0.8kW；</w:t>
      </w:r>
    </w:p>
    <w:p>
      <w:pPr>
        <w:pStyle w:val="13"/>
        <w:keepNext w:val="0"/>
        <w:keepLines w:val="0"/>
        <w:pageBreakBefore w:val="0"/>
        <w:numPr>
          <w:ilvl w:val="0"/>
          <w:numId w:val="2"/>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扬程：1.4m;</w:t>
      </w:r>
    </w:p>
    <w:p>
      <w:pPr>
        <w:pStyle w:val="13"/>
        <w:keepNext w:val="0"/>
        <w:keepLines w:val="0"/>
        <w:pageBreakBefore w:val="0"/>
        <w:numPr>
          <w:ilvl w:val="0"/>
          <w:numId w:val="2"/>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进出水口外径：10mm</w:t>
      </w:r>
    </w:p>
    <w:p>
      <w:pPr>
        <w:pStyle w:val="13"/>
        <w:keepNext w:val="0"/>
        <w:keepLines w:val="0"/>
        <w:pageBreakBefore w:val="0"/>
        <w:numPr>
          <w:ilvl w:val="0"/>
          <w:numId w:val="2"/>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功能：支持槽内、外实验，可内外循环</w:t>
      </w:r>
    </w:p>
    <w:p>
      <w:pPr>
        <w:pStyle w:val="13"/>
        <w:keepNext w:val="0"/>
        <w:keepLines w:val="0"/>
        <w:pageBreakBefore w:val="0"/>
        <w:kinsoku/>
        <w:wordWrap/>
        <w:overflowPunct/>
        <w:topLinePunct w:val="0"/>
        <w:bidi w:val="0"/>
        <w:spacing w:line="360" w:lineRule="auto"/>
        <w:ind w:left="0" w:leftChars="0" w:firstLine="0" w:firstLineChars="0"/>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3.1.3 实验室检测辅助工具-数显游标卡尺</w:t>
      </w:r>
    </w:p>
    <w:p>
      <w:pPr>
        <w:pStyle w:val="13"/>
        <w:keepNext w:val="0"/>
        <w:keepLines w:val="0"/>
        <w:pageBreakBefore w:val="0"/>
        <w:numPr>
          <w:ilvl w:val="0"/>
          <w:numId w:val="3"/>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测量范围：0-800mm；</w:t>
      </w:r>
    </w:p>
    <w:p>
      <w:pPr>
        <w:pStyle w:val="13"/>
        <w:keepNext w:val="0"/>
        <w:keepLines w:val="0"/>
        <w:pageBreakBefore w:val="0"/>
        <w:numPr>
          <w:ilvl w:val="0"/>
          <w:numId w:val="3"/>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精度：不低于±0.1%</w:t>
      </w:r>
    </w:p>
    <w:p>
      <w:pPr>
        <w:pStyle w:val="13"/>
        <w:keepNext w:val="0"/>
        <w:keepLines w:val="0"/>
        <w:pageBreakBefore w:val="0"/>
        <w:kinsoku/>
        <w:wordWrap/>
        <w:overflowPunct/>
        <w:topLinePunct w:val="0"/>
        <w:bidi w:val="0"/>
        <w:spacing w:line="360" w:lineRule="auto"/>
        <w:ind w:left="0" w:leftChars="0" w:firstLine="0" w:firstLineChars="0"/>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3.1.4 实验室检测辅助工具-数字大气压力计</w:t>
      </w:r>
    </w:p>
    <w:p>
      <w:pPr>
        <w:pStyle w:val="13"/>
        <w:keepNext w:val="0"/>
        <w:keepLines w:val="0"/>
        <w:pageBreakBefore w:val="0"/>
        <w:numPr>
          <w:ilvl w:val="0"/>
          <w:numId w:val="4"/>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温度精度：±0.1℃；</w:t>
      </w:r>
    </w:p>
    <w:p>
      <w:pPr>
        <w:pStyle w:val="13"/>
        <w:keepNext w:val="0"/>
        <w:keepLines w:val="0"/>
        <w:pageBreakBefore w:val="0"/>
        <w:numPr>
          <w:ilvl w:val="0"/>
          <w:numId w:val="4"/>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湿度精度：±1.5%RH(@25℃)；</w:t>
      </w:r>
    </w:p>
    <w:p>
      <w:pPr>
        <w:pStyle w:val="13"/>
        <w:keepNext w:val="0"/>
        <w:keepLines w:val="0"/>
        <w:pageBreakBefore w:val="0"/>
        <w:numPr>
          <w:ilvl w:val="0"/>
          <w:numId w:val="4"/>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气压精度：±1hpa(@25℃)；</w:t>
      </w:r>
    </w:p>
    <w:p>
      <w:pPr>
        <w:pStyle w:val="13"/>
        <w:keepNext w:val="0"/>
        <w:keepLines w:val="0"/>
        <w:pageBreakBefore w:val="0"/>
        <w:numPr>
          <w:ilvl w:val="0"/>
          <w:numId w:val="4"/>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温度范围：-40~85℃；</w:t>
      </w:r>
    </w:p>
    <w:p>
      <w:pPr>
        <w:pStyle w:val="13"/>
        <w:keepNext w:val="0"/>
        <w:keepLines w:val="0"/>
        <w:pageBreakBefore w:val="0"/>
        <w:numPr>
          <w:ilvl w:val="0"/>
          <w:numId w:val="4"/>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湿度范围：0~100%RH；</w:t>
      </w:r>
    </w:p>
    <w:p>
      <w:pPr>
        <w:pStyle w:val="13"/>
        <w:keepNext w:val="0"/>
        <w:keepLines w:val="0"/>
        <w:pageBreakBefore w:val="0"/>
        <w:numPr>
          <w:ilvl w:val="0"/>
          <w:numId w:val="4"/>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气压范围：300-1100hpa；</w:t>
      </w:r>
    </w:p>
    <w:p>
      <w:pPr>
        <w:pStyle w:val="13"/>
        <w:keepNext w:val="0"/>
        <w:keepLines w:val="0"/>
        <w:pageBreakBefore w:val="0"/>
        <w:numPr>
          <w:ilvl w:val="0"/>
          <w:numId w:val="4"/>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内置储存：40万组；</w:t>
      </w:r>
    </w:p>
    <w:p>
      <w:pPr>
        <w:pStyle w:val="13"/>
        <w:keepNext w:val="0"/>
        <w:keepLines w:val="0"/>
        <w:pageBreakBefore w:val="0"/>
        <w:numPr>
          <w:ilvl w:val="0"/>
          <w:numId w:val="4"/>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数据接口：蓝牙/USB/4G；</w:t>
      </w:r>
    </w:p>
    <w:p>
      <w:pPr>
        <w:pStyle w:val="13"/>
        <w:keepNext w:val="0"/>
        <w:keepLines w:val="0"/>
        <w:pageBreakBefore w:val="0"/>
        <w:numPr>
          <w:ilvl w:val="0"/>
          <w:numId w:val="4"/>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电池：18650可充电锂电池；</w:t>
      </w:r>
    </w:p>
    <w:p>
      <w:pPr>
        <w:pStyle w:val="13"/>
        <w:keepNext w:val="0"/>
        <w:keepLines w:val="0"/>
        <w:pageBreakBefore w:val="0"/>
        <w:numPr>
          <w:ilvl w:val="0"/>
          <w:numId w:val="4"/>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传感器：外置2m天线；</w:t>
      </w:r>
    </w:p>
    <w:p>
      <w:pPr>
        <w:pStyle w:val="13"/>
        <w:keepNext w:val="0"/>
        <w:keepLines w:val="0"/>
        <w:pageBreakBefore w:val="0"/>
        <w:numPr>
          <w:ilvl w:val="0"/>
          <w:numId w:val="4"/>
        </w:numPr>
        <w:kinsoku/>
        <w:wordWrap/>
        <w:overflowPunct/>
        <w:topLinePunct w:val="0"/>
        <w:autoSpaceDE/>
        <w:autoSpaceDN/>
        <w:bidi w:val="0"/>
        <w:adjustRightInd/>
        <w:snapToGrid/>
        <w:spacing w:after="0" w:line="360" w:lineRule="auto"/>
        <w:ind w:left="425" w:leftChars="0" w:hanging="425" w:firstLineChars="0"/>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带18650可充电锂电池充电器（每次可充电2只）。</w:t>
      </w:r>
    </w:p>
    <w:p>
      <w:pPr>
        <w:pStyle w:val="13"/>
        <w:keepNext w:val="0"/>
        <w:keepLines w:val="0"/>
        <w:pageBreakBefore w:val="0"/>
        <w:kinsoku/>
        <w:wordWrap/>
        <w:overflowPunct/>
        <w:topLinePunct w:val="0"/>
        <w:bidi w:val="0"/>
        <w:spacing w:line="360" w:lineRule="auto"/>
        <w:ind w:left="0" w:leftChars="0" w:firstLine="0" w:firstLineChars="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3.2项目进度要求</w:t>
      </w:r>
    </w:p>
    <w:tbl>
      <w:tblPr>
        <w:tblStyle w:val="1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1"/>
        <w:gridCol w:w="4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1" w:type="dxa"/>
            <w:shd w:val="clear" w:color="auto" w:fill="D9D9D9"/>
            <w:vAlign w:val="center"/>
          </w:tcPr>
          <w:p>
            <w:pPr>
              <w:pStyle w:val="17"/>
              <w:keepNext w:val="0"/>
              <w:keepLines w:val="0"/>
              <w:pageBreakBefore w:val="0"/>
              <w:kinsoku/>
              <w:wordWrap/>
              <w:overflowPunct/>
              <w:topLinePunct w:val="0"/>
              <w:bidi w:val="0"/>
              <w:adjustRightInd/>
              <w:snapToGrid/>
              <w:spacing w:line="360" w:lineRule="auto"/>
              <w:ind w:firstLine="0" w:firstLineChars="0"/>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时间</w:t>
            </w:r>
          </w:p>
        </w:tc>
        <w:tc>
          <w:tcPr>
            <w:tcW w:w="4411" w:type="dxa"/>
            <w:shd w:val="clear" w:color="auto" w:fill="D9D9D9"/>
            <w:vAlign w:val="center"/>
          </w:tcPr>
          <w:p>
            <w:pPr>
              <w:pStyle w:val="17"/>
              <w:keepNext w:val="0"/>
              <w:keepLines w:val="0"/>
              <w:pageBreakBefore w:val="0"/>
              <w:kinsoku/>
              <w:wordWrap/>
              <w:overflowPunct/>
              <w:topLinePunct w:val="0"/>
              <w:bidi w:val="0"/>
              <w:adjustRightInd/>
              <w:snapToGrid/>
              <w:spacing w:line="360" w:lineRule="auto"/>
              <w:ind w:firstLine="0" w:firstLineChars="0"/>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主要工作内容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1" w:type="dxa"/>
            <w:vAlign w:val="center"/>
          </w:tcPr>
          <w:p>
            <w:pPr>
              <w:pStyle w:val="17"/>
              <w:keepNext w:val="0"/>
              <w:keepLines w:val="0"/>
              <w:pageBreakBefore w:val="0"/>
              <w:kinsoku/>
              <w:wordWrap/>
              <w:overflowPunct/>
              <w:topLinePunct w:val="0"/>
              <w:bidi w:val="0"/>
              <w:adjustRightInd/>
              <w:snapToGrid/>
              <w:spacing w:line="360" w:lineRule="auto"/>
              <w:ind w:firstLine="0" w:firstLineChars="0"/>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中标通知书发布</w:t>
            </w:r>
            <w:r>
              <w:rPr>
                <w:rFonts w:hint="eastAsia" w:ascii="仿宋" w:hAnsi="仿宋" w:eastAsia="仿宋" w:cs="仿宋"/>
                <w:color w:val="auto"/>
                <w:sz w:val="21"/>
                <w:szCs w:val="21"/>
                <w:highlight w:val="none"/>
                <w:lang w:eastAsia="zh-CN"/>
              </w:rPr>
              <w:t>之日起</w:t>
            </w:r>
            <w:r>
              <w:rPr>
                <w:rFonts w:hint="eastAsia" w:ascii="仿宋" w:hAnsi="仿宋" w:eastAsia="仿宋" w:cs="仿宋"/>
                <w:color w:val="auto"/>
                <w:sz w:val="21"/>
                <w:szCs w:val="21"/>
                <w:highlight w:val="none"/>
                <w:lang w:val="en-US" w:eastAsia="zh-CN"/>
              </w:rPr>
              <w:t>20日内</w:t>
            </w:r>
          </w:p>
        </w:tc>
        <w:tc>
          <w:tcPr>
            <w:tcW w:w="4411" w:type="dxa"/>
            <w:vAlign w:val="center"/>
          </w:tcPr>
          <w:p>
            <w:pPr>
              <w:pStyle w:val="17"/>
              <w:keepNext w:val="0"/>
              <w:keepLines w:val="0"/>
              <w:pageBreakBefore w:val="0"/>
              <w:kinsoku/>
              <w:wordWrap/>
              <w:overflowPunct/>
              <w:topLinePunct w:val="0"/>
              <w:bidi w:val="0"/>
              <w:adjustRightInd/>
              <w:snapToGrid/>
              <w:spacing w:line="360" w:lineRule="auto"/>
              <w:ind w:firstLine="0" w:firstLineChars="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中标人按照需方要求的参数提供相应的设备</w:t>
            </w:r>
          </w:p>
        </w:tc>
      </w:tr>
    </w:tbl>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四.货物要求</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4.1 标的物交付时间：</w:t>
      </w:r>
      <w:r>
        <w:rPr>
          <w:rFonts w:hint="eastAsia" w:ascii="仿宋" w:hAnsi="仿宋" w:eastAsia="仿宋" w:cs="仿宋"/>
          <w:color w:val="auto"/>
          <w:kern w:val="0"/>
          <w:sz w:val="21"/>
          <w:szCs w:val="21"/>
          <w:highlight w:val="none"/>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4.2.1交货期限为：自中标通知书发布之日起</w:t>
      </w:r>
      <w:r>
        <w:rPr>
          <w:rFonts w:hint="eastAsia" w:ascii="仿宋" w:hAnsi="仿宋" w:eastAsia="仿宋" w:cs="仿宋"/>
          <w:color w:val="auto"/>
          <w:kern w:val="0"/>
          <w:sz w:val="21"/>
          <w:szCs w:val="21"/>
          <w:highlight w:val="none"/>
          <w:u w:val="single"/>
          <w:lang w:val="en-US" w:eastAsia="zh-CN"/>
        </w:rPr>
        <w:t xml:space="preserve"> 20 </w:t>
      </w:r>
      <w:r>
        <w:rPr>
          <w:rFonts w:hint="eastAsia" w:ascii="仿宋" w:hAnsi="仿宋" w:eastAsia="仿宋" w:cs="仿宋"/>
          <w:color w:val="auto"/>
          <w:kern w:val="0"/>
          <w:sz w:val="21"/>
          <w:szCs w:val="21"/>
          <w:highlight w:val="none"/>
          <w:lang w:val="en-US" w:eastAsia="zh-CN"/>
        </w:rPr>
        <w:t>天内完成。</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4.2.2交货方式：接到需方通知之日起</w:t>
      </w:r>
      <w:r>
        <w:rPr>
          <w:rFonts w:hint="eastAsia" w:ascii="仿宋" w:hAnsi="仿宋" w:eastAsia="仿宋" w:cs="仿宋"/>
          <w:color w:val="auto"/>
          <w:kern w:val="0"/>
          <w:sz w:val="21"/>
          <w:szCs w:val="21"/>
          <w:highlight w:val="none"/>
          <w:u w:val="single"/>
          <w:lang w:val="en-US" w:eastAsia="zh-CN"/>
        </w:rPr>
        <w:t xml:space="preserve"> 20 </w:t>
      </w:r>
      <w:r>
        <w:rPr>
          <w:rFonts w:hint="eastAsia" w:ascii="仿宋" w:hAnsi="仿宋" w:eastAsia="仿宋" w:cs="仿宋"/>
          <w:color w:val="auto"/>
          <w:kern w:val="0"/>
          <w:sz w:val="21"/>
          <w:szCs w:val="21"/>
          <w:highlight w:val="none"/>
          <w:lang w:val="en-US" w:eastAsia="zh-CN"/>
        </w:rPr>
        <w:t>日内交货到需方指定地点（具体交货期以需方联系为准）。</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4.2.3如中标人逾期交货，取消中标人中标资格，并依法追究其法律责任。</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kern w:val="0"/>
          <w:sz w:val="21"/>
          <w:szCs w:val="21"/>
          <w:highlight w:val="none"/>
          <w:lang w:eastAsia="zh-CN"/>
        </w:rPr>
      </w:pPr>
      <w:r>
        <w:rPr>
          <w:rFonts w:hint="eastAsia" w:ascii="仿宋" w:hAnsi="仿宋" w:eastAsia="仿宋" w:cs="仿宋"/>
          <w:b/>
          <w:bCs/>
          <w:color w:val="auto"/>
          <w:kern w:val="0"/>
          <w:sz w:val="21"/>
          <w:szCs w:val="21"/>
          <w:highlight w:val="none"/>
          <w:lang w:val="en-US" w:eastAsia="zh-CN"/>
        </w:rPr>
        <w:t xml:space="preserve">4.4 </w:t>
      </w:r>
      <w:r>
        <w:rPr>
          <w:rFonts w:hint="eastAsia" w:ascii="仿宋" w:hAnsi="仿宋" w:eastAsia="仿宋" w:cs="仿宋"/>
          <w:b/>
          <w:bCs/>
          <w:color w:val="auto"/>
          <w:kern w:val="0"/>
          <w:sz w:val="21"/>
          <w:szCs w:val="21"/>
          <w:highlight w:val="none"/>
          <w:lang w:eastAsia="zh-CN"/>
        </w:rPr>
        <w:t>验收地点：</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昆明市经开区云大西路105号云电科技园</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4.5 售后服务要求</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4.5.1供方在服务过程中，应在接到通知后的24小时内答复并处理问题。</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4.5.2遇特殊情况，需方认为有必要提前交付，可同供方协商，确定提前交货日，供方应大力支持。</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4.5.3供方须按需方实际要求安排足够的且有相应经验的技术人员进行技术服务。</w:t>
      </w:r>
    </w:p>
    <w:p>
      <w:pPr>
        <w:pStyle w:val="13"/>
        <w:ind w:left="0" w:leftChars="0" w:firstLine="0" w:firstLineChars="0"/>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4.5.4 质保期为</w:t>
      </w:r>
      <w:r>
        <w:rPr>
          <w:rFonts w:hint="eastAsia" w:ascii="仿宋" w:hAnsi="仿宋" w:eastAsia="仿宋" w:cs="仿宋"/>
          <w:b w:val="0"/>
          <w:bCs w:val="0"/>
          <w:color w:val="auto"/>
          <w:kern w:val="0"/>
          <w:sz w:val="21"/>
          <w:szCs w:val="21"/>
          <w:highlight w:val="none"/>
          <w:u w:val="single"/>
          <w:lang w:val="en-US" w:eastAsia="zh-CN"/>
        </w:rPr>
        <w:t>12</w:t>
      </w:r>
      <w:r>
        <w:rPr>
          <w:rFonts w:hint="eastAsia" w:ascii="仿宋" w:hAnsi="仿宋" w:eastAsia="仿宋" w:cs="仿宋"/>
          <w:b w:val="0"/>
          <w:bCs w:val="0"/>
          <w:color w:val="auto"/>
          <w:kern w:val="0"/>
          <w:sz w:val="21"/>
          <w:szCs w:val="21"/>
          <w:highlight w:val="none"/>
          <w:lang w:val="en-US" w:eastAsia="zh-CN"/>
        </w:rPr>
        <w:t>个月。</w:t>
      </w:r>
    </w:p>
    <w:p>
      <w:pPr>
        <w:pStyle w:val="13"/>
        <w:ind w:left="0" w:leftChars="0" w:firstLine="0" w:firstLineChars="0"/>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4.5.5 设备因自身质量问题导致设备不能正常使用，供方应当积极配合进行相应的换货流程。</w:t>
      </w:r>
    </w:p>
    <w:p>
      <w:pPr>
        <w:keepNext w:val="0"/>
        <w:keepLines w:val="0"/>
        <w:pageBreakBefore w:val="0"/>
        <w:numPr>
          <w:ilvl w:val="0"/>
          <w:numId w:val="0"/>
        </w:numPr>
        <w:kinsoku/>
        <w:wordWrap/>
        <w:overflowPunct/>
        <w:topLinePunct w:val="0"/>
        <w:bidi w:val="0"/>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4.6交付成果、验收</w:t>
      </w:r>
    </w:p>
    <w:p>
      <w:pPr>
        <w:keepNext w:val="0"/>
        <w:keepLines w:val="0"/>
        <w:pageBreakBefore w:val="0"/>
        <w:widowControl/>
        <w:suppressLineNumbers w:val="0"/>
        <w:kinsoku/>
        <w:wordWrap/>
        <w:overflowPunct/>
        <w:topLinePunct w:val="0"/>
        <w:bidi w:val="0"/>
        <w:spacing w:line="360" w:lineRule="auto"/>
        <w:jc w:val="left"/>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bidi="ar"/>
        </w:rPr>
        <w:t>当本次采购所列项目验收完毕，并通过双方签字确认，正式交付给甲方，视为正式验收合格。</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4.7采购清册及权重</w:t>
      </w:r>
    </w:p>
    <w:p>
      <w:pPr>
        <w:keepNext w:val="0"/>
        <w:keepLines w:val="0"/>
        <w:pageBreakBefore w:val="0"/>
        <w:numPr>
          <w:ilvl w:val="0"/>
          <w:numId w:val="0"/>
        </w:numPr>
        <w:kinsoku/>
        <w:wordWrap/>
        <w:overflowPunct/>
        <w:topLinePunct w:val="0"/>
        <w:bidi w:val="0"/>
        <w:spacing w:line="360" w:lineRule="auto"/>
        <w:jc w:val="center"/>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表2 物资采购清册</w:t>
      </w:r>
    </w:p>
    <w:tbl>
      <w:tblPr>
        <w:tblStyle w:val="14"/>
        <w:tblW w:w="551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6" w:type="dxa"/>
          <w:bottom w:w="0" w:type="dxa"/>
          <w:right w:w="36" w:type="dxa"/>
        </w:tblCellMar>
      </w:tblPr>
      <w:tblGrid>
        <w:gridCol w:w="282"/>
        <w:gridCol w:w="1155"/>
        <w:gridCol w:w="1962"/>
        <w:gridCol w:w="324"/>
        <w:gridCol w:w="632"/>
        <w:gridCol w:w="810"/>
        <w:gridCol w:w="792"/>
        <w:gridCol w:w="32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1314" w:hRule="exact"/>
        </w:trPr>
        <w:tc>
          <w:tcPr>
            <w:tcW w:w="152" w:type="pct"/>
            <w:vAlign w:val="center"/>
          </w:tcPr>
          <w:p>
            <w:pPr>
              <w:keepNext w:val="0"/>
              <w:keepLines w:val="0"/>
              <w:pageBreakBefore w:val="0"/>
              <w:widowControl/>
              <w:suppressLineNumbers w:val="0"/>
              <w:kinsoku/>
              <w:wordWrap/>
              <w:overflowPunct/>
              <w:topLinePunct w:val="0"/>
              <w:bidi w:val="0"/>
              <w:spacing w:line="360" w:lineRule="auto"/>
              <w:jc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序号</w:t>
            </w:r>
          </w:p>
        </w:tc>
        <w:tc>
          <w:tcPr>
            <w:tcW w:w="625" w:type="pct"/>
            <w:vAlign w:val="center"/>
          </w:tcPr>
          <w:p>
            <w:pPr>
              <w:keepNext w:val="0"/>
              <w:keepLines w:val="0"/>
              <w:pageBreakBefore w:val="0"/>
              <w:widowControl/>
              <w:suppressLineNumbers w:val="0"/>
              <w:kinsoku/>
              <w:wordWrap/>
              <w:overflowPunct/>
              <w:topLinePunct w:val="0"/>
              <w:bidi w:val="0"/>
              <w:spacing w:line="360" w:lineRule="auto"/>
              <w:jc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名称</w:t>
            </w:r>
          </w:p>
        </w:tc>
        <w:tc>
          <w:tcPr>
            <w:tcW w:w="1061" w:type="pct"/>
            <w:vAlign w:val="center"/>
          </w:tcPr>
          <w:p>
            <w:pPr>
              <w:keepNext w:val="0"/>
              <w:keepLines w:val="0"/>
              <w:pageBreakBefore w:val="0"/>
              <w:widowControl/>
              <w:suppressLineNumbers w:val="0"/>
              <w:kinsoku/>
              <w:wordWrap/>
              <w:overflowPunct/>
              <w:topLinePunct w:val="0"/>
              <w:bidi w:val="0"/>
              <w:spacing w:line="360" w:lineRule="auto"/>
              <w:jc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规格</w:t>
            </w:r>
          </w:p>
        </w:tc>
        <w:tc>
          <w:tcPr>
            <w:tcW w:w="175" w:type="pct"/>
            <w:vAlign w:val="center"/>
          </w:tcPr>
          <w:p>
            <w:pPr>
              <w:keepNext w:val="0"/>
              <w:keepLines w:val="0"/>
              <w:pageBreakBefore w:val="0"/>
              <w:widowControl/>
              <w:suppressLineNumbers w:val="0"/>
              <w:kinsoku/>
              <w:wordWrap/>
              <w:overflowPunct/>
              <w:topLinePunct w:val="0"/>
              <w:bidi w:val="0"/>
              <w:spacing w:line="360" w:lineRule="auto"/>
              <w:jc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数量</w:t>
            </w:r>
          </w:p>
        </w:tc>
        <w:tc>
          <w:tcPr>
            <w:tcW w:w="342" w:type="pct"/>
            <w:vAlign w:val="center"/>
          </w:tcPr>
          <w:p>
            <w:pPr>
              <w:keepNext w:val="0"/>
              <w:keepLines w:val="0"/>
              <w:pageBreakBefore w:val="0"/>
              <w:widowControl/>
              <w:suppressLineNumbers w:val="0"/>
              <w:kinsoku/>
              <w:wordWrap/>
              <w:overflowPunct/>
              <w:topLinePunct w:val="0"/>
              <w:bidi w:val="0"/>
              <w:spacing w:line="360" w:lineRule="auto"/>
              <w:jc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单位</w:t>
            </w:r>
          </w:p>
        </w:tc>
        <w:tc>
          <w:tcPr>
            <w:tcW w:w="438" w:type="pct"/>
            <w:vAlign w:val="center"/>
          </w:tcPr>
          <w:p>
            <w:pPr>
              <w:keepNext w:val="0"/>
              <w:keepLines w:val="0"/>
              <w:pageBreakBefore w:val="0"/>
              <w:widowControl/>
              <w:suppressLineNumbers w:val="0"/>
              <w:kinsoku/>
              <w:wordWrap/>
              <w:overflowPunct/>
              <w:topLinePunct w:val="0"/>
              <w:bidi w:val="0"/>
              <w:spacing w:line="360" w:lineRule="auto"/>
              <w:jc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单价最高限价（万元）</w:t>
            </w:r>
          </w:p>
        </w:tc>
        <w:tc>
          <w:tcPr>
            <w:tcW w:w="428" w:type="pct"/>
            <w:vAlign w:val="center"/>
          </w:tcPr>
          <w:p>
            <w:pPr>
              <w:keepNext w:val="0"/>
              <w:keepLines w:val="0"/>
              <w:pageBreakBefore w:val="0"/>
              <w:widowControl/>
              <w:suppressLineNumbers w:val="0"/>
              <w:kinsoku/>
              <w:wordWrap/>
              <w:overflowPunct/>
              <w:topLinePunct w:val="0"/>
              <w:bidi w:val="0"/>
              <w:spacing w:line="360" w:lineRule="auto"/>
              <w:jc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总价最高限价（万元）</w:t>
            </w:r>
          </w:p>
        </w:tc>
        <w:tc>
          <w:tcPr>
            <w:tcW w:w="1774" w:type="pct"/>
            <w:vAlign w:val="center"/>
          </w:tcPr>
          <w:p>
            <w:pPr>
              <w:keepNext w:val="0"/>
              <w:keepLines w:val="0"/>
              <w:pageBreakBefore w:val="0"/>
              <w:widowControl/>
              <w:suppressLineNumbers w:val="0"/>
              <w:kinsoku/>
              <w:wordWrap/>
              <w:overflowPunct/>
              <w:topLinePunct w:val="0"/>
              <w:bidi w:val="0"/>
              <w:spacing w:line="360" w:lineRule="auto"/>
              <w:jc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trPr>
        <w:tc>
          <w:tcPr>
            <w:tcW w:w="152" w:type="pct"/>
            <w:vAlign w:val="center"/>
          </w:tcPr>
          <w:p>
            <w:pPr>
              <w:keepNext w:val="0"/>
              <w:keepLines w:val="0"/>
              <w:pageBreakBefore w:val="0"/>
              <w:widowControl/>
              <w:suppressLineNumbers w:val="0"/>
              <w:kinsoku/>
              <w:wordWrap/>
              <w:overflowPunct/>
              <w:topLinePunct w:val="0"/>
              <w:bidi w:val="0"/>
              <w:spacing w:line="360" w:lineRule="auto"/>
              <w:jc w:val="center"/>
              <w:rPr>
                <w:rFonts w:hint="eastAsia" w:ascii="仿宋" w:hAnsi="仿宋" w:eastAsia="仿宋" w:cs="仿宋"/>
                <w:color w:val="auto"/>
                <w:kern w:val="0"/>
                <w:sz w:val="21"/>
                <w:szCs w:val="21"/>
                <w:highlight w:val="none"/>
                <w:lang w:val="en-US" w:eastAsia="zh-CN" w:bidi="ar"/>
              </w:rPr>
            </w:pPr>
            <w:bookmarkStart w:id="1" w:name="_GoBack" w:colFirst="6" w:colLast="6"/>
            <w:r>
              <w:rPr>
                <w:rFonts w:hint="eastAsia" w:ascii="仿宋" w:hAnsi="仿宋" w:eastAsia="仿宋" w:cs="仿宋"/>
                <w:color w:val="auto"/>
                <w:kern w:val="0"/>
                <w:sz w:val="21"/>
                <w:szCs w:val="21"/>
                <w:highlight w:val="none"/>
                <w:lang w:val="en-US" w:eastAsia="zh-CN" w:bidi="ar"/>
              </w:rPr>
              <w:t>1</w:t>
            </w:r>
          </w:p>
        </w:tc>
        <w:tc>
          <w:tcPr>
            <w:tcW w:w="625" w:type="pct"/>
            <w:vAlign w:val="center"/>
          </w:tcPr>
          <w:p>
            <w:pPr>
              <w:widowControl/>
              <w:jc w:val="both"/>
              <w:textAlignment w:val="center"/>
              <w:rPr>
                <w:rFonts w:hint="eastAsia" w:ascii="仿宋" w:hAnsi="仿宋" w:eastAsia="仿宋" w:cs="仿宋"/>
                <w:color w:val="auto"/>
                <w:kern w:val="2"/>
                <w:sz w:val="21"/>
                <w:szCs w:val="21"/>
                <w:lang w:val="en-US" w:eastAsia="zh-CN" w:bidi="ar-SA"/>
              </w:rPr>
            </w:pPr>
            <w:r>
              <w:rPr>
                <w:rFonts w:hint="eastAsia" w:ascii="仿宋" w:hAnsi="仿宋" w:eastAsia="仿宋" w:cs="仿宋"/>
                <w:b/>
                <w:bCs/>
                <w:color w:val="auto"/>
                <w:sz w:val="21"/>
                <w:szCs w:val="21"/>
                <w:highlight w:val="none"/>
                <w:lang w:val="en-US" w:eastAsia="zh-CN"/>
              </w:rPr>
              <w:t>实验室检测辅助工具-数显扭矩扳手</w:t>
            </w:r>
          </w:p>
        </w:tc>
        <w:tc>
          <w:tcPr>
            <w:tcW w:w="1061" w:type="pct"/>
            <w:vAlign w:val="center"/>
          </w:tcPr>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rPr>
                <w:rFonts w:hint="default" w:ascii="仿宋" w:hAnsi="仿宋" w:eastAsia="仿宋" w:cs="仿宋"/>
                <w:color w:val="auto"/>
                <w:kern w:val="0"/>
                <w:sz w:val="21"/>
                <w:szCs w:val="21"/>
                <w:lang w:val="en-US" w:eastAsia="zh-CN" w:bidi="ar"/>
              </w:rPr>
            </w:pPr>
            <w:r>
              <w:rPr>
                <w:rFonts w:hint="default" w:ascii="仿宋" w:hAnsi="仿宋" w:eastAsia="仿宋" w:cs="仿宋"/>
                <w:color w:val="auto"/>
                <w:kern w:val="0"/>
                <w:sz w:val="21"/>
                <w:szCs w:val="21"/>
                <w:lang w:val="en-US" w:eastAsia="zh-CN" w:bidi="ar"/>
              </w:rPr>
              <w:t>扭矩上限：30N·m</w:t>
            </w:r>
            <w:r>
              <w:rPr>
                <w:rFonts w:hint="eastAsia" w:ascii="仿宋" w:hAnsi="仿宋" w:eastAsia="仿宋" w:cs="仿宋"/>
                <w:color w:val="auto"/>
                <w:kern w:val="0"/>
                <w:sz w:val="21"/>
                <w:szCs w:val="21"/>
                <w:lang w:val="en-US" w:eastAsia="zh-CN" w:bidi="ar"/>
              </w:rPr>
              <w:t>、</w:t>
            </w:r>
            <w:r>
              <w:rPr>
                <w:rFonts w:hint="default" w:ascii="仿宋" w:hAnsi="仿宋" w:eastAsia="仿宋" w:cs="仿宋"/>
                <w:color w:val="auto"/>
                <w:kern w:val="0"/>
                <w:sz w:val="21"/>
                <w:szCs w:val="21"/>
                <w:lang w:val="en-US" w:eastAsia="zh-CN" w:bidi="ar"/>
              </w:rPr>
              <w:t>精度：顺时针±2%、逆时针±2.5%；</w:t>
            </w:r>
          </w:p>
        </w:tc>
        <w:tc>
          <w:tcPr>
            <w:tcW w:w="175" w:type="pct"/>
            <w:vAlign w:val="center"/>
          </w:tcPr>
          <w:p>
            <w:pPr>
              <w:widowControl/>
              <w:jc w:val="center"/>
              <w:textAlignment w:val="center"/>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1</w:t>
            </w:r>
          </w:p>
        </w:tc>
        <w:tc>
          <w:tcPr>
            <w:tcW w:w="342" w:type="pct"/>
            <w:vAlign w:val="center"/>
          </w:tcPr>
          <w:p>
            <w:pPr>
              <w:widowControl/>
              <w:jc w:val="center"/>
              <w:textAlignment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套</w:t>
            </w:r>
          </w:p>
        </w:tc>
        <w:tc>
          <w:tcPr>
            <w:tcW w:w="438" w:type="pct"/>
            <w:vAlign w:val="center"/>
          </w:tcPr>
          <w:p>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both"/>
              <w:rPr>
                <w:rFonts w:hint="default"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0.06</w:t>
            </w:r>
          </w:p>
        </w:tc>
        <w:tc>
          <w:tcPr>
            <w:tcW w:w="428" w:type="pct"/>
            <w:vAlign w:val="center"/>
          </w:tcPr>
          <w:p>
            <w:pPr>
              <w:keepNext w:val="0"/>
              <w:keepLines w:val="0"/>
              <w:pageBreakBefore w:val="0"/>
              <w:widowControl/>
              <w:suppressLineNumbers w:val="0"/>
              <w:kinsoku/>
              <w:wordWrap/>
              <w:overflowPunct/>
              <w:topLinePunct w:val="0"/>
              <w:bidi w:val="0"/>
              <w:spacing w:line="360" w:lineRule="auto"/>
              <w:jc w:val="center"/>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0.06</w:t>
            </w:r>
          </w:p>
        </w:tc>
        <w:tc>
          <w:tcPr>
            <w:tcW w:w="1774" w:type="pct"/>
            <w:vAlign w:val="center"/>
          </w:tcPr>
          <w:p>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both"/>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技术参数详见技术规范书3.1项目技术要求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trPr>
        <w:tc>
          <w:tcPr>
            <w:tcW w:w="152" w:type="pct"/>
            <w:vAlign w:val="center"/>
          </w:tcPr>
          <w:p>
            <w:pPr>
              <w:keepNext w:val="0"/>
              <w:keepLines w:val="0"/>
              <w:pageBreakBefore w:val="0"/>
              <w:widowControl/>
              <w:suppressLineNumbers w:val="0"/>
              <w:kinsoku/>
              <w:wordWrap/>
              <w:overflowPunct/>
              <w:topLinePunct w:val="0"/>
              <w:bidi w:val="0"/>
              <w:spacing w:line="360" w:lineRule="auto"/>
              <w:jc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w:t>
            </w:r>
          </w:p>
        </w:tc>
        <w:tc>
          <w:tcPr>
            <w:tcW w:w="625" w:type="pct"/>
            <w:vAlign w:val="center"/>
          </w:tcPr>
          <w:p>
            <w:pPr>
              <w:widowControl/>
              <w:jc w:val="center"/>
              <w:textAlignment w:val="center"/>
              <w:rPr>
                <w:rFonts w:hint="eastAsia" w:ascii="仿宋" w:hAnsi="仿宋" w:eastAsia="仿宋" w:cs="仿宋"/>
                <w:color w:val="auto"/>
                <w:kern w:val="2"/>
                <w:sz w:val="21"/>
                <w:szCs w:val="21"/>
                <w:lang w:val="en-US" w:eastAsia="zh-CN" w:bidi="ar-SA"/>
              </w:rPr>
            </w:pPr>
            <w:r>
              <w:rPr>
                <w:rFonts w:hint="eastAsia" w:ascii="仿宋" w:hAnsi="仿宋" w:eastAsia="仿宋" w:cs="仿宋"/>
                <w:b/>
                <w:bCs/>
                <w:color w:val="auto"/>
                <w:sz w:val="21"/>
                <w:szCs w:val="21"/>
                <w:highlight w:val="none"/>
                <w:lang w:val="en-US" w:eastAsia="zh-CN"/>
              </w:rPr>
              <w:t>实验室检测辅助工具-恒温水浴槽</w:t>
            </w:r>
          </w:p>
        </w:tc>
        <w:tc>
          <w:tcPr>
            <w:tcW w:w="1061" w:type="pct"/>
            <w:vAlign w:val="center"/>
          </w:tcPr>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rPr>
                <w:rFonts w:hint="default"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6L、-5~100℃、精度不低于</w:t>
            </w:r>
            <w:r>
              <w:rPr>
                <w:rFonts w:hint="eastAsia" w:ascii="仿宋" w:hAnsi="仿宋" w:eastAsia="仿宋" w:cs="仿宋"/>
                <w:b w:val="0"/>
                <w:bCs w:val="0"/>
                <w:color w:val="auto"/>
                <w:sz w:val="21"/>
                <w:szCs w:val="21"/>
                <w:highlight w:val="none"/>
                <w:lang w:val="en-US" w:eastAsia="zh-CN"/>
              </w:rPr>
              <w:t>±0.05℃；</w:t>
            </w:r>
          </w:p>
        </w:tc>
        <w:tc>
          <w:tcPr>
            <w:tcW w:w="175" w:type="pct"/>
            <w:vAlign w:val="center"/>
          </w:tcPr>
          <w:p>
            <w:pPr>
              <w:widowControl/>
              <w:jc w:val="center"/>
              <w:textAlignment w:val="center"/>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1</w:t>
            </w:r>
          </w:p>
        </w:tc>
        <w:tc>
          <w:tcPr>
            <w:tcW w:w="342" w:type="pct"/>
            <w:vAlign w:val="center"/>
          </w:tcPr>
          <w:p>
            <w:pPr>
              <w:widowControl/>
              <w:jc w:val="center"/>
              <w:textAlignment w:val="center"/>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台</w:t>
            </w:r>
          </w:p>
        </w:tc>
        <w:tc>
          <w:tcPr>
            <w:tcW w:w="438" w:type="pct"/>
            <w:vAlign w:val="center"/>
          </w:tcPr>
          <w:p>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both"/>
              <w:rPr>
                <w:rFonts w:hint="default"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0.50</w:t>
            </w:r>
          </w:p>
        </w:tc>
        <w:tc>
          <w:tcPr>
            <w:tcW w:w="428" w:type="pct"/>
            <w:vAlign w:val="center"/>
          </w:tcPr>
          <w:p>
            <w:pPr>
              <w:keepNext w:val="0"/>
              <w:keepLines w:val="0"/>
              <w:pageBreakBefore w:val="0"/>
              <w:widowControl/>
              <w:suppressLineNumbers w:val="0"/>
              <w:kinsoku/>
              <w:wordWrap/>
              <w:overflowPunct/>
              <w:topLinePunct w:val="0"/>
              <w:bidi w:val="0"/>
              <w:spacing w:line="360" w:lineRule="auto"/>
              <w:jc w:val="center"/>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0.50</w:t>
            </w:r>
          </w:p>
        </w:tc>
        <w:tc>
          <w:tcPr>
            <w:tcW w:w="1774" w:type="pct"/>
            <w:vAlign w:val="center"/>
          </w:tcPr>
          <w:p>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both"/>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技术参数详见技术规范书3.1项目技术要求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trPr>
        <w:tc>
          <w:tcPr>
            <w:tcW w:w="152" w:type="pct"/>
            <w:vAlign w:val="center"/>
          </w:tcPr>
          <w:p>
            <w:pPr>
              <w:keepNext w:val="0"/>
              <w:keepLines w:val="0"/>
              <w:pageBreakBefore w:val="0"/>
              <w:widowControl/>
              <w:suppressLineNumbers w:val="0"/>
              <w:kinsoku/>
              <w:wordWrap/>
              <w:overflowPunct/>
              <w:topLinePunct w:val="0"/>
              <w:bidi w:val="0"/>
              <w:spacing w:line="360" w:lineRule="auto"/>
              <w:jc w:val="center"/>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w:t>
            </w:r>
          </w:p>
        </w:tc>
        <w:tc>
          <w:tcPr>
            <w:tcW w:w="625" w:type="pct"/>
            <w:vAlign w:val="center"/>
          </w:tcPr>
          <w:p>
            <w:pPr>
              <w:widowControl/>
              <w:jc w:val="center"/>
              <w:textAlignment w:val="center"/>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实验室检测辅助工具-数显游标卡尺</w:t>
            </w:r>
          </w:p>
        </w:tc>
        <w:tc>
          <w:tcPr>
            <w:tcW w:w="1061" w:type="pct"/>
            <w:vAlign w:val="center"/>
          </w:tcPr>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rPr>
                <w:rFonts w:hint="default"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0-800mm/精度不低于±0.1%</w:t>
            </w:r>
          </w:p>
        </w:tc>
        <w:tc>
          <w:tcPr>
            <w:tcW w:w="175" w:type="pct"/>
            <w:vAlign w:val="center"/>
          </w:tcPr>
          <w:p>
            <w:pPr>
              <w:widowControl/>
              <w:jc w:val="center"/>
              <w:textAlignment w:val="center"/>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1</w:t>
            </w:r>
          </w:p>
        </w:tc>
        <w:tc>
          <w:tcPr>
            <w:tcW w:w="342" w:type="pct"/>
            <w:vAlign w:val="center"/>
          </w:tcPr>
          <w:p>
            <w:pPr>
              <w:widowControl/>
              <w:jc w:val="center"/>
              <w:textAlignment w:val="center"/>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把</w:t>
            </w:r>
          </w:p>
        </w:tc>
        <w:tc>
          <w:tcPr>
            <w:tcW w:w="438" w:type="pct"/>
            <w:vAlign w:val="center"/>
          </w:tcPr>
          <w:p>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both"/>
              <w:rPr>
                <w:rFonts w:hint="default"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0.18</w:t>
            </w:r>
          </w:p>
        </w:tc>
        <w:tc>
          <w:tcPr>
            <w:tcW w:w="428" w:type="pct"/>
            <w:vAlign w:val="center"/>
          </w:tcPr>
          <w:p>
            <w:pPr>
              <w:keepNext w:val="0"/>
              <w:keepLines w:val="0"/>
              <w:pageBreakBefore w:val="0"/>
              <w:widowControl/>
              <w:suppressLineNumbers w:val="0"/>
              <w:kinsoku/>
              <w:wordWrap/>
              <w:overflowPunct/>
              <w:topLinePunct w:val="0"/>
              <w:bidi w:val="0"/>
              <w:spacing w:line="360" w:lineRule="auto"/>
              <w:jc w:val="center"/>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0.18</w:t>
            </w:r>
          </w:p>
        </w:tc>
        <w:tc>
          <w:tcPr>
            <w:tcW w:w="1774" w:type="pct"/>
            <w:vAlign w:val="center"/>
          </w:tcPr>
          <w:p>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both"/>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技术参数详见技术规范书3.1项目技术要求</w:t>
            </w:r>
          </w:p>
        </w:tc>
      </w:tr>
      <w:bookmarkEnd w:id="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trPr>
        <w:tc>
          <w:tcPr>
            <w:tcW w:w="152" w:type="pct"/>
            <w:shd w:val="clear" w:color="auto" w:fill="auto"/>
            <w:vAlign w:val="center"/>
          </w:tcPr>
          <w:p>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4</w:t>
            </w:r>
          </w:p>
        </w:tc>
        <w:tc>
          <w:tcPr>
            <w:tcW w:w="625" w:type="pct"/>
            <w:shd w:val="clear" w:color="auto" w:fill="auto"/>
            <w:vAlign w:val="center"/>
          </w:tcPr>
          <w:p>
            <w:pPr>
              <w:widowControl/>
              <w:jc w:val="center"/>
              <w:textAlignment w:val="center"/>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sz w:val="21"/>
                <w:szCs w:val="21"/>
                <w:highlight w:val="none"/>
                <w:lang w:val="en-US" w:eastAsia="zh-CN"/>
              </w:rPr>
              <w:t>实验室检测辅助工具-数字大气压力计</w:t>
            </w:r>
          </w:p>
        </w:tc>
        <w:tc>
          <w:tcPr>
            <w:tcW w:w="1061" w:type="pct"/>
            <w:vAlign w:val="center"/>
          </w:tcPr>
          <w:p>
            <w:pPr>
              <w:pStyle w:val="13"/>
              <w:keepNext w:val="0"/>
              <w:keepLines w:val="0"/>
              <w:pageBreakBefore w:val="0"/>
              <w:numPr>
                <w:ilvl w:val="0"/>
                <w:numId w:val="0"/>
              </w:numPr>
              <w:kinsoku/>
              <w:wordWrap/>
              <w:overflowPunct/>
              <w:topLinePunct w:val="0"/>
              <w:autoSpaceDE/>
              <w:autoSpaceDN/>
              <w:bidi w:val="0"/>
              <w:adjustRightInd/>
              <w:snapToGrid/>
              <w:spacing w:after="0" w:line="360" w:lineRule="auto"/>
              <w:ind w:leftChars="0"/>
              <w:jc w:val="both"/>
              <w:rPr>
                <w:rFonts w:hint="eastAsia" w:ascii="仿宋" w:hAnsi="仿宋" w:eastAsia="仿宋" w:cs="仿宋"/>
                <w:color w:val="auto"/>
                <w:kern w:val="0"/>
                <w:sz w:val="21"/>
                <w:szCs w:val="21"/>
                <w:lang w:val="en-US" w:eastAsia="zh-CN" w:bidi="ar"/>
              </w:rPr>
            </w:pPr>
            <w:r>
              <w:rPr>
                <w:rFonts w:hint="eastAsia" w:ascii="仿宋" w:hAnsi="仿宋" w:eastAsia="仿宋" w:cs="仿宋"/>
                <w:b w:val="0"/>
                <w:bCs w:val="0"/>
                <w:color w:val="auto"/>
                <w:sz w:val="21"/>
                <w:szCs w:val="21"/>
                <w:highlight w:val="none"/>
                <w:lang w:val="en-US" w:eastAsia="zh-CN"/>
              </w:rPr>
              <w:t>300-1100hpa/±1hpa</w:t>
            </w:r>
          </w:p>
        </w:tc>
        <w:tc>
          <w:tcPr>
            <w:tcW w:w="175" w:type="pct"/>
            <w:vAlign w:val="center"/>
          </w:tcPr>
          <w:p>
            <w:pPr>
              <w:widowControl/>
              <w:jc w:val="center"/>
              <w:textAlignment w:val="center"/>
              <w:rPr>
                <w:rFonts w:hint="default"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4</w:t>
            </w:r>
          </w:p>
        </w:tc>
        <w:tc>
          <w:tcPr>
            <w:tcW w:w="342" w:type="pct"/>
            <w:vAlign w:val="center"/>
          </w:tcPr>
          <w:p>
            <w:pPr>
              <w:widowControl/>
              <w:jc w:val="center"/>
              <w:textAlignment w:val="center"/>
              <w:rPr>
                <w:rFonts w:hint="default"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个</w:t>
            </w:r>
          </w:p>
        </w:tc>
        <w:tc>
          <w:tcPr>
            <w:tcW w:w="438" w:type="pct"/>
            <w:vAlign w:val="center"/>
          </w:tcPr>
          <w:p>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both"/>
              <w:rPr>
                <w:rFonts w:hint="default"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0.09</w:t>
            </w:r>
          </w:p>
        </w:tc>
        <w:tc>
          <w:tcPr>
            <w:tcW w:w="428" w:type="pct"/>
            <w:vAlign w:val="center"/>
          </w:tcPr>
          <w:p>
            <w:pPr>
              <w:keepNext w:val="0"/>
              <w:keepLines w:val="0"/>
              <w:pageBreakBefore w:val="0"/>
              <w:widowControl/>
              <w:suppressLineNumbers w:val="0"/>
              <w:kinsoku/>
              <w:wordWrap/>
              <w:overflowPunct/>
              <w:topLinePunct w:val="0"/>
              <w:bidi w:val="0"/>
              <w:spacing w:line="360" w:lineRule="auto"/>
              <w:jc w:val="center"/>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0.36</w:t>
            </w:r>
          </w:p>
        </w:tc>
        <w:tc>
          <w:tcPr>
            <w:tcW w:w="1774" w:type="pct"/>
            <w:vAlign w:val="center"/>
          </w:tcPr>
          <w:p>
            <w:pPr>
              <w:keepNext w:val="0"/>
              <w:keepLines w:val="0"/>
              <w:pageBreakBefore w:val="0"/>
              <w:numPr>
                <w:ilvl w:val="0"/>
                <w:numId w:val="0"/>
              </w:numPr>
              <w:kinsoku/>
              <w:wordWrap/>
              <w:overflowPunct/>
              <w:topLinePunct w:val="0"/>
              <w:autoSpaceDE/>
              <w:autoSpaceDN/>
              <w:bidi w:val="0"/>
              <w:adjustRightInd/>
              <w:snapToGrid/>
              <w:spacing w:after="0" w:line="360" w:lineRule="auto"/>
              <w:ind w:left="0" w:leftChars="0" w:firstLine="0" w:firstLineChars="0"/>
              <w:jc w:val="both"/>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技术参数详见技术规范书3.1项目技术要求</w:t>
            </w:r>
          </w:p>
        </w:tc>
      </w:tr>
    </w:tbl>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五.管理人员为本项目的负责人。</w:t>
      </w:r>
    </w:p>
    <w:p>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六、其他要求</w:t>
      </w:r>
    </w:p>
    <w:p>
      <w:pPr>
        <w:rPr>
          <w:rFonts w:hint="default" w:ascii="仿宋" w:hAnsi="仿宋" w:eastAsia="仿宋" w:cs="仿宋"/>
          <w:b/>
          <w:bCs/>
          <w:lang w:val="en-US"/>
        </w:rPr>
      </w:pPr>
      <w:r>
        <w:rPr>
          <w:rFonts w:hint="eastAsia" w:ascii="仿宋" w:hAnsi="仿宋" w:eastAsia="仿宋" w:cs="仿宋"/>
          <w:b/>
          <w:bCs/>
          <w:color w:val="auto"/>
          <w:kern w:val="0"/>
          <w:sz w:val="24"/>
          <w:szCs w:val="24"/>
          <w:lang w:val="en-US" w:eastAsia="zh-CN"/>
        </w:rPr>
        <w:t>（1）税率：13%。项目验收完成后，需方在次月10日前通知供方开具增值税专用发票，供方应在次月15日前将发票开具完成并送达需方，需方在收到发票后30日内付款完成。</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bCs/>
          <w:color w:val="auto"/>
          <w:highlight w:val="red"/>
          <w:lang w:val="en-US" w:eastAsia="zh-CN"/>
        </w:rPr>
        <w:t>注：本项目需提供技术参数响应对照表</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79096E"/>
    <w:multiLevelType w:val="singleLevel"/>
    <w:tmpl w:val="8779096E"/>
    <w:lvl w:ilvl="0" w:tentative="0">
      <w:start w:val="1"/>
      <w:numFmt w:val="decimal"/>
      <w:lvlText w:val="(%1)"/>
      <w:lvlJc w:val="left"/>
      <w:pPr>
        <w:ind w:left="425" w:hanging="425"/>
      </w:pPr>
      <w:rPr>
        <w:rFonts w:hint="default"/>
      </w:rPr>
    </w:lvl>
  </w:abstractNum>
  <w:abstractNum w:abstractNumId="1">
    <w:nsid w:val="BAB6A588"/>
    <w:multiLevelType w:val="singleLevel"/>
    <w:tmpl w:val="BAB6A588"/>
    <w:lvl w:ilvl="0" w:tentative="0">
      <w:start w:val="1"/>
      <w:numFmt w:val="decimal"/>
      <w:lvlText w:val="(%1)"/>
      <w:lvlJc w:val="left"/>
      <w:pPr>
        <w:ind w:left="425" w:hanging="425"/>
      </w:pPr>
      <w:rPr>
        <w:rFonts w:hint="default"/>
      </w:rPr>
    </w:lvl>
  </w:abstractNum>
  <w:abstractNum w:abstractNumId="2">
    <w:nsid w:val="E979F479"/>
    <w:multiLevelType w:val="singleLevel"/>
    <w:tmpl w:val="E979F479"/>
    <w:lvl w:ilvl="0" w:tentative="0">
      <w:start w:val="1"/>
      <w:numFmt w:val="decimal"/>
      <w:lvlText w:val="(%1)"/>
      <w:lvlJc w:val="left"/>
      <w:pPr>
        <w:ind w:left="425" w:hanging="425"/>
      </w:pPr>
      <w:rPr>
        <w:rFonts w:hint="default"/>
      </w:rPr>
    </w:lvl>
  </w:abstractNum>
  <w:abstractNum w:abstractNumId="3">
    <w:nsid w:val="1C1E4481"/>
    <w:multiLevelType w:val="singleLevel"/>
    <w:tmpl w:val="1C1E4481"/>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4YTA3NTg2YjE0NmQ2Yjk1YmYyMTU4YjI3NmJlYzUifQ=="/>
  </w:docVars>
  <w:rsids>
    <w:rsidRoot w:val="00000000"/>
    <w:rsid w:val="04B96BA4"/>
    <w:rsid w:val="05177476"/>
    <w:rsid w:val="060F55C0"/>
    <w:rsid w:val="065C0142"/>
    <w:rsid w:val="116E1E3E"/>
    <w:rsid w:val="13B2650A"/>
    <w:rsid w:val="16D90BE3"/>
    <w:rsid w:val="18EA0E99"/>
    <w:rsid w:val="204245D3"/>
    <w:rsid w:val="211C1CCB"/>
    <w:rsid w:val="2A3B3186"/>
    <w:rsid w:val="2C760667"/>
    <w:rsid w:val="2C8E2008"/>
    <w:rsid w:val="2D7B01F5"/>
    <w:rsid w:val="2EEB2B34"/>
    <w:rsid w:val="30560606"/>
    <w:rsid w:val="322559FD"/>
    <w:rsid w:val="34AC04DE"/>
    <w:rsid w:val="361D766F"/>
    <w:rsid w:val="3AB04A2B"/>
    <w:rsid w:val="3AB6680E"/>
    <w:rsid w:val="3BD02B5E"/>
    <w:rsid w:val="40F005A0"/>
    <w:rsid w:val="435068B0"/>
    <w:rsid w:val="447D3628"/>
    <w:rsid w:val="4856464F"/>
    <w:rsid w:val="48C536F1"/>
    <w:rsid w:val="4C366613"/>
    <w:rsid w:val="4DC258F4"/>
    <w:rsid w:val="4E5A3F54"/>
    <w:rsid w:val="517F2AA6"/>
    <w:rsid w:val="59382E61"/>
    <w:rsid w:val="5DF90C74"/>
    <w:rsid w:val="651426F0"/>
    <w:rsid w:val="6553558F"/>
    <w:rsid w:val="664D5120"/>
    <w:rsid w:val="69666D53"/>
    <w:rsid w:val="69C979CF"/>
    <w:rsid w:val="704F4CC5"/>
    <w:rsid w:val="70D53673"/>
    <w:rsid w:val="79925E25"/>
    <w:rsid w:val="7A096743"/>
    <w:rsid w:val="7C027E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both"/>
      <w:outlineLvl w:val="0"/>
    </w:pPr>
    <w:rPr>
      <w:rFonts w:ascii="Times New Roman" w:hAnsi="Times New Roman" w:eastAsia="宋体" w:cs="Times New Roman"/>
      <w:b/>
      <w:kern w:val="44"/>
      <w:sz w:val="32"/>
      <w:szCs w:val="22"/>
    </w:rPr>
  </w:style>
  <w:style w:type="paragraph" w:styleId="3">
    <w:name w:val="heading 2"/>
    <w:basedOn w:val="1"/>
    <w:next w:val="1"/>
    <w:link w:val="16"/>
    <w:semiHidden/>
    <w:unhideWhenUsed/>
    <w:qFormat/>
    <w:uiPriority w:val="0"/>
    <w:pPr>
      <w:keepNext/>
      <w:keepLines/>
      <w:spacing w:beforeLines="0" w:afterLines="0" w:line="360" w:lineRule="auto"/>
      <w:outlineLvl w:val="1"/>
    </w:pPr>
    <w:rPr>
      <w:rFonts w:ascii="Arial" w:hAnsi="Arial" w:eastAsia="宋体" w:cs="Times New Roman"/>
      <w:b/>
      <w:bCs/>
      <w:sz w:val="28"/>
      <w:szCs w:val="32"/>
    </w:rPr>
  </w:style>
  <w:style w:type="paragraph" w:styleId="4">
    <w:name w:val="heading 3"/>
    <w:basedOn w:val="1"/>
    <w:next w:val="1"/>
    <w:semiHidden/>
    <w:unhideWhenUsed/>
    <w:qFormat/>
    <w:uiPriority w:val="0"/>
    <w:pPr>
      <w:keepNext/>
      <w:keepLines/>
      <w:spacing w:beforeLines="0" w:beforeAutospacing="0" w:afterLines="0" w:afterAutospacing="0" w:line="360" w:lineRule="auto"/>
      <w:outlineLvl w:val="2"/>
    </w:pPr>
    <w:rPr>
      <w:rFonts w:ascii="Calibri" w:hAnsi="Calibri" w:eastAsia="宋体" w:cs="Times New Roman"/>
      <w:b/>
      <w:sz w:val="28"/>
      <w:szCs w:val="22"/>
    </w:rPr>
  </w:style>
  <w:style w:type="paragraph" w:styleId="5">
    <w:name w:val="heading 4"/>
    <w:basedOn w:val="1"/>
    <w:next w:val="1"/>
    <w:semiHidden/>
    <w:unhideWhenUsed/>
    <w:qFormat/>
    <w:uiPriority w:val="0"/>
    <w:pPr>
      <w:keepNext/>
      <w:keepLines/>
      <w:spacing w:beforeLines="0" w:beforeAutospacing="0" w:afterLines="0" w:afterAutospacing="0" w:line="360" w:lineRule="auto"/>
      <w:outlineLvl w:val="3"/>
    </w:pPr>
    <w:rPr>
      <w:rFonts w:ascii="Arial" w:hAnsi="Arial" w:eastAsia="黑体" w:cs="Times New Roman"/>
      <w:sz w:val="24"/>
      <w:szCs w:val="22"/>
    </w:rPr>
  </w:style>
  <w:style w:type="paragraph" w:styleId="6">
    <w:name w:val="heading 5"/>
    <w:basedOn w:val="1"/>
    <w:next w:val="1"/>
    <w:semiHidden/>
    <w:unhideWhenUsed/>
    <w:qFormat/>
    <w:uiPriority w:val="0"/>
    <w:pPr>
      <w:keepNext/>
      <w:keepLines/>
      <w:spacing w:beforeLines="0" w:beforeAutospacing="0" w:afterLines="0" w:afterAutospacing="0" w:line="360" w:lineRule="auto"/>
      <w:outlineLvl w:val="4"/>
    </w:pPr>
    <w:rPr>
      <w:rFonts w:ascii="Calibri" w:hAnsi="Calibri" w:eastAsia="宋体" w:cs="Times New Roman"/>
      <w:b/>
      <w:sz w:val="21"/>
      <w:szCs w:val="22"/>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7">
    <w:name w:val="annotation text"/>
    <w:basedOn w:val="1"/>
    <w:qFormat/>
    <w:uiPriority w:val="0"/>
    <w:pPr>
      <w:jc w:val="left"/>
    </w:pPr>
  </w:style>
  <w:style w:type="paragraph" w:styleId="8">
    <w:name w:val="Body Text Indent"/>
    <w:basedOn w:val="1"/>
    <w:next w:val="9"/>
    <w:qFormat/>
    <w:uiPriority w:val="0"/>
    <w:pPr>
      <w:spacing w:after="120"/>
      <w:ind w:left="420"/>
    </w:pPr>
  </w:style>
  <w:style w:type="paragraph" w:customStyle="1" w:styleId="9">
    <w:name w:val="Char"/>
    <w:basedOn w:val="1"/>
    <w:next w:val="1"/>
    <w:qFormat/>
    <w:uiPriority w:val="0"/>
    <w:rPr>
      <w:sz w:val="20"/>
      <w:szCs w:val="20"/>
    </w:rPr>
  </w:style>
  <w:style w:type="paragraph" w:styleId="10">
    <w:name w:val="toc 3"/>
    <w:basedOn w:val="1"/>
    <w:next w:val="1"/>
    <w:qFormat/>
    <w:uiPriority w:val="0"/>
    <w:pPr>
      <w:ind w:left="840" w:leftChars="400"/>
    </w:pPr>
  </w:style>
  <w:style w:type="paragraph" w:styleId="11">
    <w:name w:val="footer"/>
    <w:basedOn w:val="1"/>
    <w:qFormat/>
    <w:uiPriority w:val="0"/>
    <w:pPr>
      <w:tabs>
        <w:tab w:val="center" w:pos="4153"/>
        <w:tab w:val="right" w:pos="8306"/>
      </w:tabs>
      <w:snapToGrid w:val="0"/>
      <w:jc w:val="left"/>
    </w:pPr>
    <w:rPr>
      <w:kern w:val="0"/>
      <w:sz w:val="18"/>
      <w:szCs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Body Text First Indent 2"/>
    <w:basedOn w:val="8"/>
    <w:qFormat/>
    <w:uiPriority w:val="0"/>
    <w:pPr>
      <w:ind w:leftChars="200" w:firstLine="420" w:firstLineChars="200"/>
    </w:pPr>
  </w:style>
  <w:style w:type="character" w:customStyle="1" w:styleId="16">
    <w:name w:val="标题 2 Char"/>
    <w:link w:val="3"/>
    <w:qFormat/>
    <w:uiPriority w:val="0"/>
    <w:rPr>
      <w:rFonts w:ascii="Arial" w:hAnsi="Arial" w:eastAsia="宋体" w:cs="Times New Roman"/>
      <w:b/>
      <w:bCs/>
      <w:sz w:val="28"/>
      <w:szCs w:val="32"/>
    </w:rPr>
  </w:style>
  <w:style w:type="paragraph" w:customStyle="1" w:styleId="17">
    <w:name w:val="GEDI正文样式"/>
    <w:basedOn w:val="1"/>
    <w:qFormat/>
    <w:uiPriority w:val="0"/>
    <w:pPr>
      <w:adjustRightInd w:val="0"/>
      <w:snapToGrid w:val="0"/>
      <w:spacing w:line="480" w:lineRule="atLeast"/>
      <w:ind w:firstLine="480" w:firstLineChars="200"/>
    </w:pPr>
    <w:rPr>
      <w:szCs w:val="24"/>
    </w:rPr>
  </w:style>
  <w:style w:type="character" w:customStyle="1" w:styleId="18">
    <w:name w:val="font11"/>
    <w:basedOn w:val="15"/>
    <w:qFormat/>
    <w:uiPriority w:val="0"/>
    <w:rPr>
      <w:rFonts w:hint="default" w:ascii="Times New Roman" w:hAnsi="Times New Roman" w:cs="Times New Roman"/>
      <w:color w:val="000000"/>
      <w:sz w:val="24"/>
      <w:szCs w:val="24"/>
      <w:u w:val="none"/>
    </w:rPr>
  </w:style>
  <w:style w:type="character" w:customStyle="1" w:styleId="19">
    <w:name w:val="font21"/>
    <w:basedOn w:val="15"/>
    <w:qFormat/>
    <w:uiPriority w:val="0"/>
    <w:rPr>
      <w:rFonts w:hint="eastAsia" w:ascii="宋体" w:hAnsi="宋体" w:eastAsia="宋体" w:cs="宋体"/>
      <w:color w:val="000000"/>
      <w:sz w:val="24"/>
      <w:szCs w:val="24"/>
      <w:u w:val="none"/>
    </w:rPr>
  </w:style>
  <w:style w:type="paragraph" w:customStyle="1" w:styleId="20">
    <w:name w:val="Table Text"/>
    <w:basedOn w:val="1"/>
    <w:semiHidden/>
    <w:qFormat/>
    <w:uiPriority w:val="0"/>
    <w:rPr>
      <w:rFonts w:ascii="宋体" w:hAnsi="宋体" w:eastAsia="宋体" w:cs="宋体"/>
      <w:sz w:val="15"/>
      <w:szCs w:val="15"/>
      <w:lang w:val="en-US" w:eastAsia="en-US" w:bidi="ar-SA"/>
    </w:rPr>
  </w:style>
  <w:style w:type="table" w:customStyle="1" w:styleId="2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1122</Words>
  <Characters>1326</Characters>
  <Lines>0</Lines>
  <Paragraphs>0</Paragraphs>
  <TotalTime>7</TotalTime>
  <ScaleCrop>false</ScaleCrop>
  <LinksUpToDate>false</LinksUpToDate>
  <CharactersWithSpaces>1344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2022-12-03T08:21:00Z</dcterms:created>
  <dc:creator>12544</dc:creator>
  <cp:lastModifiedBy>5E71367FBC8F4009AA8F88887B3430F1</cp:lastModifiedBy>
  <dcterms:modified xsi:type="dcterms:W3CDTF">2024-08-22T01:18:24Z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43CD8CB113344E7795196D66D58CAAED_13</vt:lpwstr>
  </property>
</Properties>
</file>