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overflowPunct w:val="0"/>
        <w:spacing w:line="276" w:lineRule="auto"/>
        <w:jc w:val="center"/>
        <w:rPr>
          <w:rFonts w:asciiTheme="minorEastAsia" w:hAnsiTheme="minorEastAsia" w:cstheme="minorEastAsia"/>
          <w:sz w:val="24"/>
          <w:szCs w:val="24"/>
          <w:lang w:eastAsia="zh-CN"/>
        </w:rPr>
      </w:pPr>
      <w:r>
        <w:rPr>
          <w:rFonts w:hint="eastAsia" w:ascii="仿宋_GB2312" w:hAnsi="仿宋_GB2312" w:eastAsia="仿宋_GB2312" w:cs="仿宋_GB2312"/>
          <w:b/>
          <w:bCs/>
          <w:spacing w:val="20"/>
          <w:sz w:val="44"/>
          <w:szCs w:val="44"/>
          <w:lang w:val="en-US" w:eastAsia="zh-CN"/>
        </w:rPr>
        <w:t>互联网视频培训配套用品零星需求清单</w:t>
      </w:r>
    </w:p>
    <w:p>
      <w:pPr>
        <w:spacing w:line="360" w:lineRule="auto"/>
        <w:rPr>
          <w:rFonts w:asciiTheme="minorEastAsia" w:hAnsiTheme="minorEastAsia" w:cstheme="minorEastAsia"/>
          <w:b/>
          <w:bCs/>
          <w:sz w:val="24"/>
          <w:szCs w:val="24"/>
        </w:rPr>
      </w:pPr>
      <w:r>
        <w:rPr>
          <w:rFonts w:hint="eastAsia" w:asciiTheme="minorEastAsia" w:hAnsiTheme="minorEastAsia" w:cstheme="minorEastAsia"/>
          <w:b/>
          <w:bCs/>
          <w:sz w:val="24"/>
          <w:szCs w:val="24"/>
          <w:lang w:val="en-US" w:eastAsia="zh-CN"/>
        </w:rPr>
        <w:t>需求</w:t>
      </w:r>
      <w:r>
        <w:rPr>
          <w:rFonts w:hint="eastAsia" w:asciiTheme="minorEastAsia" w:hAnsiTheme="minorEastAsia" w:cstheme="minorEastAsia"/>
          <w:b/>
          <w:bCs/>
          <w:sz w:val="24"/>
          <w:szCs w:val="24"/>
        </w:rPr>
        <w:t>如下表：</w:t>
      </w:r>
    </w:p>
    <w:tbl>
      <w:tblPr>
        <w:tblStyle w:val="7"/>
        <w:tblW w:w="8541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51"/>
        <w:gridCol w:w="3015"/>
        <w:gridCol w:w="850"/>
        <w:gridCol w:w="830"/>
        <w:gridCol w:w="1485"/>
        <w:gridCol w:w="1610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3" w:hRule="atLeast"/>
        </w:trPr>
        <w:tc>
          <w:tcPr>
            <w:tcW w:w="7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lang w:val="en-US" w:eastAsia="zh-CN"/>
              </w:rPr>
              <w:t>序号</w:t>
            </w:r>
          </w:p>
        </w:tc>
        <w:tc>
          <w:tcPr>
            <w:tcW w:w="3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lang w:val="en-US" w:eastAsia="zh-CN"/>
              </w:rPr>
              <w:t>采购内容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asciiTheme="minorEastAsia" w:hAnsi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</w:rPr>
              <w:t>单位</w:t>
            </w:r>
          </w:p>
        </w:tc>
        <w:tc>
          <w:tcPr>
            <w:tcW w:w="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asciiTheme="minorEastAsia" w:hAnsi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</w:rPr>
              <w:t>数量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asciiTheme="minorEastAsia" w:hAnsi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lang w:val="en-US" w:eastAsia="zh-CN"/>
              </w:rPr>
              <w:t>限价</w:t>
            </w:r>
            <w:r>
              <w:rPr>
                <w:rFonts w:hint="eastAsia" w:asciiTheme="minorEastAsia" w:hAnsiTheme="minorEastAsia" w:cstheme="minorEastAsia"/>
                <w:sz w:val="24"/>
                <w:szCs w:val="24"/>
              </w:rPr>
              <w:t>单价（元</w:t>
            </w:r>
            <w:r>
              <w:rPr>
                <w:rFonts w:hint="eastAsia" w:asciiTheme="minorEastAsia" w:hAnsiTheme="minorEastAsia" w:cstheme="minorEastAsia"/>
                <w:sz w:val="24"/>
                <w:szCs w:val="24"/>
                <w:lang w:val="en-US" w:eastAsia="zh-CN"/>
              </w:rPr>
              <w:t>/年</w:t>
            </w:r>
            <w:r>
              <w:rPr>
                <w:rFonts w:hint="eastAsia" w:asciiTheme="minorEastAsia" w:hAnsiTheme="minorEastAsia" w:cstheme="minorEastAsia"/>
                <w:sz w:val="24"/>
                <w:szCs w:val="24"/>
              </w:rPr>
              <w:t>）</w:t>
            </w:r>
          </w:p>
        </w:tc>
        <w:tc>
          <w:tcPr>
            <w:tcW w:w="16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asciiTheme="minorEastAsia" w:hAnsi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lang w:val="en-US" w:eastAsia="zh-CN"/>
              </w:rPr>
              <w:t>预估</w:t>
            </w:r>
            <w:r>
              <w:rPr>
                <w:rFonts w:hint="eastAsia" w:asciiTheme="minorEastAsia" w:hAnsiTheme="minorEastAsia" w:cstheme="minorEastAsia"/>
                <w:sz w:val="24"/>
                <w:szCs w:val="24"/>
              </w:rPr>
              <w:t>总价（元</w:t>
            </w:r>
            <w:r>
              <w:rPr>
                <w:rFonts w:hint="eastAsia" w:asciiTheme="minorEastAsia" w:hAnsiTheme="minorEastAsia" w:cstheme="minorEastAsia"/>
                <w:sz w:val="24"/>
                <w:szCs w:val="24"/>
                <w:lang w:val="en-US" w:eastAsia="zh-CN"/>
              </w:rPr>
              <w:t>/年</w:t>
            </w:r>
            <w:r>
              <w:rPr>
                <w:rFonts w:hint="eastAsia" w:asciiTheme="minorEastAsia" w:hAnsiTheme="minorEastAsia" w:cstheme="minorEastAsia"/>
                <w:sz w:val="24"/>
                <w:szCs w:val="24"/>
              </w:rPr>
              <w:t>）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4" w:hRule="atLeast"/>
        </w:trPr>
        <w:tc>
          <w:tcPr>
            <w:tcW w:w="7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asciiTheme="minorEastAsia" w:hAnsi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</w:rPr>
              <w:t>1</w:t>
            </w:r>
          </w:p>
        </w:tc>
        <w:tc>
          <w:tcPr>
            <w:tcW w:w="3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lang w:val="en-US" w:eastAsia="zh-CN"/>
              </w:rPr>
              <w:t>5G流量卡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lang w:val="en-US" w:eastAsia="zh-CN"/>
              </w:rPr>
              <w:t>张</w:t>
            </w:r>
          </w:p>
        </w:tc>
        <w:tc>
          <w:tcPr>
            <w:tcW w:w="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lang w:val="en-US" w:eastAsia="zh-CN"/>
              </w:rPr>
              <w:t>2400</w:t>
            </w:r>
          </w:p>
        </w:tc>
        <w:tc>
          <w:tcPr>
            <w:tcW w:w="16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lang w:val="en-US" w:eastAsia="zh-CN"/>
              </w:rPr>
              <w:t>4800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4" w:hRule="atLeast"/>
        </w:trPr>
        <w:tc>
          <w:tcPr>
            <w:tcW w:w="8541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360" w:lineRule="auto"/>
              <w:jc w:val="left"/>
              <w:rPr>
                <w:rFonts w:asciiTheme="minorEastAsia" w:hAnsi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</w:rPr>
              <w:t>合计含税</w:t>
            </w:r>
            <w:r>
              <w:rPr>
                <w:rFonts w:hint="eastAsia" w:asciiTheme="minorEastAsia" w:hAnsiTheme="minorEastAsia" w:cstheme="minorEastAsia"/>
                <w:sz w:val="24"/>
                <w:szCs w:val="24"/>
                <w:lang w:val="en-US" w:eastAsia="zh-CN"/>
              </w:rPr>
              <w:t>限价</w:t>
            </w:r>
            <w:r>
              <w:rPr>
                <w:rFonts w:hint="eastAsia" w:asciiTheme="minorEastAsia" w:hAnsiTheme="minorEastAsia" w:cstheme="minorEastAsia"/>
                <w:sz w:val="24"/>
                <w:szCs w:val="24"/>
              </w:rPr>
              <w:t>金额：</w:t>
            </w:r>
            <w:r>
              <w:rPr>
                <w:rFonts w:hint="eastAsia" w:asciiTheme="minorEastAsia" w:hAnsiTheme="minorEastAsia" w:cstheme="minorEastAsia"/>
                <w:sz w:val="24"/>
                <w:szCs w:val="24"/>
                <w:lang w:val="en-US" w:eastAsia="zh-CN"/>
              </w:rPr>
              <w:t>4800</w:t>
            </w:r>
            <w:r>
              <w:rPr>
                <w:rFonts w:hint="eastAsia" w:asciiTheme="minorEastAsia" w:hAnsiTheme="minorEastAsia" w:cstheme="minorEastAsia"/>
                <w:sz w:val="24"/>
                <w:szCs w:val="24"/>
              </w:rPr>
              <w:t>元；大写金额：</w:t>
            </w:r>
            <w:r>
              <w:rPr>
                <w:rFonts w:hint="eastAsia" w:asciiTheme="minorEastAsia" w:hAnsiTheme="minorEastAsia" w:cstheme="minorEastAsia"/>
                <w:sz w:val="24"/>
                <w:szCs w:val="24"/>
                <w:lang w:val="en-US" w:eastAsia="zh-CN"/>
              </w:rPr>
              <w:t>肆</w:t>
            </w:r>
            <w:r>
              <w:rPr>
                <w:rFonts w:hint="eastAsia" w:asciiTheme="minorEastAsia" w:hAnsiTheme="minorEastAsia" w:cstheme="minorEastAsia"/>
                <w:sz w:val="24"/>
                <w:szCs w:val="24"/>
              </w:rPr>
              <w:t>仟</w:t>
            </w:r>
            <w:r>
              <w:rPr>
                <w:rFonts w:hint="eastAsia" w:asciiTheme="minorEastAsia" w:hAnsiTheme="minorEastAsia" w:cstheme="minorEastAsia"/>
                <w:sz w:val="24"/>
                <w:szCs w:val="24"/>
                <w:lang w:val="en-US" w:eastAsia="zh-CN"/>
              </w:rPr>
              <w:t>捌佰</w:t>
            </w:r>
            <w:r>
              <w:rPr>
                <w:rFonts w:hint="eastAsia" w:asciiTheme="minorEastAsia" w:hAnsiTheme="minorEastAsia" w:cstheme="minorEastAsia"/>
                <w:sz w:val="24"/>
                <w:szCs w:val="24"/>
              </w:rPr>
              <w:t>元整。</w:t>
            </w:r>
          </w:p>
        </w:tc>
      </w:tr>
    </w:tbl>
    <w:p>
      <w:pPr>
        <w:spacing w:line="360" w:lineRule="auto"/>
        <w:rPr>
          <w:rFonts w:hint="eastAsia" w:asciiTheme="minorEastAsia" w:hAnsiTheme="minorEastAsia" w:cstheme="minorEastAsia"/>
          <w:color w:val="FF0000"/>
          <w:sz w:val="21"/>
          <w:szCs w:val="21"/>
        </w:rPr>
      </w:pPr>
      <w:r>
        <w:rPr>
          <w:rFonts w:hint="eastAsia" w:asciiTheme="minorEastAsia" w:hAnsiTheme="minorEastAsia" w:cstheme="minorEastAsia"/>
          <w:color w:val="FF0000"/>
          <w:sz w:val="21"/>
          <w:szCs w:val="21"/>
        </w:rPr>
        <w:t>注:</w:t>
      </w:r>
      <w:r>
        <w:rPr>
          <w:rFonts w:hint="eastAsia" w:asciiTheme="minorEastAsia" w:hAnsiTheme="minorEastAsia" w:cstheme="minorEastAsia"/>
          <w:color w:val="FF0000"/>
          <w:sz w:val="21"/>
          <w:szCs w:val="21"/>
          <w:lang w:val="en-US" w:eastAsia="zh-CN"/>
        </w:rPr>
        <w:t>1.</w:t>
      </w:r>
      <w:r>
        <w:rPr>
          <w:rFonts w:hint="eastAsia" w:asciiTheme="minorEastAsia" w:hAnsiTheme="minorEastAsia" w:cstheme="minorEastAsia"/>
          <w:color w:val="FF0000"/>
          <w:sz w:val="21"/>
          <w:szCs w:val="21"/>
        </w:rPr>
        <w:t>以上报价含运费及税金；调试正常后，</w:t>
      </w:r>
      <w:r>
        <w:rPr>
          <w:rFonts w:hint="eastAsia" w:asciiTheme="minorEastAsia" w:hAnsiTheme="minorEastAsia" w:cstheme="minorEastAsia"/>
          <w:color w:val="FF0000"/>
          <w:sz w:val="21"/>
          <w:szCs w:val="21"/>
          <w:lang w:val="en-US" w:eastAsia="zh-CN"/>
        </w:rPr>
        <w:t>商品无条件退换</w:t>
      </w:r>
      <w:r>
        <w:rPr>
          <w:rFonts w:hint="eastAsia" w:asciiTheme="minorEastAsia" w:hAnsiTheme="minorEastAsia" w:cstheme="minorEastAsia"/>
          <w:color w:val="FF0000"/>
          <w:sz w:val="21"/>
          <w:szCs w:val="21"/>
        </w:rPr>
        <w:t>3个月，</w:t>
      </w:r>
      <w:r>
        <w:rPr>
          <w:rFonts w:hint="eastAsia" w:asciiTheme="minorEastAsia" w:hAnsiTheme="minorEastAsia" w:cstheme="minorEastAsia"/>
          <w:color w:val="FF0000"/>
          <w:sz w:val="21"/>
          <w:szCs w:val="21"/>
          <w:lang w:val="en-US" w:eastAsia="zh-CN"/>
        </w:rPr>
        <w:t>质保3年，</w:t>
      </w:r>
      <w:r>
        <w:rPr>
          <w:rFonts w:hint="eastAsia" w:asciiTheme="minorEastAsia" w:hAnsiTheme="minorEastAsia" w:cstheme="minorEastAsia"/>
          <w:color w:val="FF0000"/>
          <w:sz w:val="21"/>
          <w:szCs w:val="21"/>
        </w:rPr>
        <w:t>以客户签字的服务报告日期为准。</w:t>
      </w:r>
    </w:p>
    <w:p>
      <w:pPr>
        <w:spacing w:line="360" w:lineRule="auto"/>
        <w:rPr>
          <w:rFonts w:hint="default" w:asciiTheme="minorEastAsia" w:hAnsiTheme="minorEastAsia" w:eastAsiaTheme="minorEastAsia" w:cstheme="minorEastAsia"/>
          <w:color w:val="FF0000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color w:val="FF0000"/>
          <w:sz w:val="21"/>
          <w:szCs w:val="21"/>
          <w:lang w:val="en-US" w:eastAsia="zh-CN"/>
        </w:rPr>
        <w:t>2.供货方须按照采购方要求，在规定时限内完成设备供货，并按采购方要求的时间点上门完成设备安装、标签标识、质保上门更换以及使用过程出现的问题现场排障处置。</w:t>
      </w:r>
    </w:p>
    <w:p>
      <w:pPr>
        <w:spacing w:line="360" w:lineRule="auto"/>
        <w:rPr>
          <w:rFonts w:hint="eastAsia" w:asciiTheme="minorEastAsia" w:hAnsi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1、5G流量卡</w:t>
      </w:r>
    </w:p>
    <w:tbl>
      <w:tblPr>
        <w:tblStyle w:val="8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883"/>
        <w:gridCol w:w="463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883" w:type="dxa"/>
          </w:tcPr>
          <w:p>
            <w:pPr>
              <w:spacing w:line="360" w:lineRule="auto"/>
              <w:rPr>
                <w:rFonts w:hint="default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规格参数要求</w:t>
            </w:r>
          </w:p>
        </w:tc>
        <w:tc>
          <w:tcPr>
            <w:tcW w:w="4635" w:type="dxa"/>
          </w:tcPr>
          <w:p>
            <w:pPr>
              <w:spacing w:line="360" w:lineRule="auto"/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883" w:type="dxa"/>
          </w:tcPr>
          <w:p>
            <w:pPr>
              <w:spacing w:line="360" w:lineRule="auto"/>
              <w:rPr>
                <w:rFonts w:hint="default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月流量</w:t>
            </w:r>
          </w:p>
        </w:tc>
        <w:tc>
          <w:tcPr>
            <w:tcW w:w="4635" w:type="dxa"/>
          </w:tcPr>
          <w:p>
            <w:pPr>
              <w:spacing w:line="360" w:lineRule="auto"/>
              <w:rPr>
                <w:rFonts w:hint="default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≥100G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883" w:type="dxa"/>
          </w:tcPr>
          <w:p>
            <w:pPr>
              <w:spacing w:line="360" w:lineRule="auto"/>
              <w:rPr>
                <w:rFonts w:hint="default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流量类型</w:t>
            </w:r>
          </w:p>
        </w:tc>
        <w:tc>
          <w:tcPr>
            <w:tcW w:w="4635" w:type="dxa"/>
          </w:tcPr>
          <w:p>
            <w:pPr>
              <w:spacing w:line="360" w:lineRule="auto"/>
              <w:rPr>
                <w:rFonts w:hint="default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5G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883" w:type="dxa"/>
          </w:tcPr>
          <w:p>
            <w:pPr>
              <w:spacing w:line="360" w:lineRule="auto"/>
              <w:rPr>
                <w:rFonts w:hint="default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频段</w:t>
            </w:r>
          </w:p>
        </w:tc>
        <w:tc>
          <w:tcPr>
            <w:tcW w:w="4635" w:type="dxa"/>
          </w:tcPr>
          <w:p>
            <w:pPr>
              <w:spacing w:line="360" w:lineRule="auto"/>
              <w:rPr>
                <w:rFonts w:hint="default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支持3400MHz-3500MHz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883" w:type="dxa"/>
          </w:tcPr>
          <w:p>
            <w:pPr>
              <w:spacing w:line="360" w:lineRule="auto"/>
              <w:rPr>
                <w:rFonts w:hint="default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带宽</w:t>
            </w:r>
          </w:p>
        </w:tc>
        <w:tc>
          <w:tcPr>
            <w:tcW w:w="4635" w:type="dxa"/>
          </w:tcPr>
          <w:p>
            <w:pPr>
              <w:spacing w:line="360" w:lineRule="auto"/>
              <w:rPr>
                <w:rFonts w:hint="default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100MHz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883" w:type="dxa"/>
          </w:tcPr>
          <w:p>
            <w:pPr>
              <w:spacing w:line="360" w:lineRule="auto"/>
              <w:rPr>
                <w:rFonts w:hint="default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5G频段号</w:t>
            </w:r>
          </w:p>
        </w:tc>
        <w:tc>
          <w:tcPr>
            <w:tcW w:w="4635" w:type="dxa"/>
          </w:tcPr>
          <w:p>
            <w:pPr>
              <w:spacing w:line="360" w:lineRule="auto"/>
              <w:rPr>
                <w:rFonts w:hint="default" w:asciiTheme="minorEastAsia" w:hAnsiTheme="minorEastAsia" w:cstheme="minorEastAsia"/>
                <w:sz w:val="24"/>
                <w:szCs w:val="24"/>
                <w:vertAlign w:val="superscript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n78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883" w:type="dxa"/>
          </w:tcPr>
          <w:p>
            <w:pPr>
              <w:spacing w:line="360" w:lineRule="auto"/>
              <w:rPr>
                <w:rFonts w:hint="default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入网方式</w:t>
            </w:r>
          </w:p>
        </w:tc>
        <w:tc>
          <w:tcPr>
            <w:tcW w:w="4635" w:type="dxa"/>
          </w:tcPr>
          <w:p>
            <w:pPr>
              <w:spacing w:line="360" w:lineRule="auto"/>
              <w:rPr>
                <w:rFonts w:hint="default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即插即用</w:t>
            </w:r>
            <w:bookmarkStart w:id="0" w:name="_GoBack"/>
            <w:bookmarkEnd w:id="0"/>
          </w:p>
        </w:tc>
      </w:tr>
    </w:tbl>
    <w:p>
      <w:pPr>
        <w:numPr>
          <w:ilvl w:val="0"/>
          <w:numId w:val="0"/>
        </w:numPr>
        <w:spacing w:line="360" w:lineRule="auto"/>
        <w:rPr>
          <w:rFonts w:hint="eastAsia" w:asciiTheme="minorEastAsia" w:hAnsiTheme="minorEastAsia" w:cstheme="minorEastAsia"/>
          <w:sz w:val="24"/>
          <w:szCs w:val="24"/>
          <w:lang w:val="en-US" w:eastAsia="zh-CN"/>
        </w:rPr>
      </w:pPr>
    </w:p>
    <w:sectPr>
      <w:pgSz w:w="11906" w:h="16838"/>
      <w:pgMar w:top="1440" w:right="1800" w:bottom="1440" w:left="1800" w:header="0" w:footer="0" w:gutter="0"/>
      <w:cols w:space="720" w:num="1"/>
      <w:formProt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Gotham Light">
    <w:altName w:val="宋体"/>
    <w:panose1 w:val="00000000000000000000"/>
    <w:charset w:val="86"/>
    <w:family w:val="roman"/>
    <w:pitch w:val="default"/>
    <w:sig w:usb0="00000000" w:usb1="00000000" w:usb2="00000000" w:usb3="00000000" w:csb0="00000000" w:csb1="00000000"/>
  </w:font>
  <w:font w:name="Liberation Sans">
    <w:altName w:val="宋体"/>
    <w:panose1 w:val="00000000000000000000"/>
    <w:charset w:val="86"/>
    <w:family w:val="roman"/>
    <w:pitch w:val="default"/>
    <w:sig w:usb0="00000000" w:usb1="00000000" w:usb2="00000000" w:usb3="00000000" w:csb0="00000000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仿宋_GB2312">
    <w:panose1 w:val="02010609030101010101"/>
    <w:charset w:val="86"/>
    <w:family w:val="roma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1"/>
  <w:bordersDoNotSurroundFooter w:val="1"/>
  <w:documentProtection w:enforcement="0"/>
  <w:defaultTabStop w:val="420"/>
  <w:characterSpacingControl w:val="doNotCompress"/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hkY2VkZDRjY2QzODAxMmI1ZWRhZWQ4N2I2MzQwOWYifQ=="/>
  </w:docVars>
  <w:rsids>
    <w:rsidRoot w:val="00CB79C0"/>
    <w:rsid w:val="000C632D"/>
    <w:rsid w:val="0011391D"/>
    <w:rsid w:val="0021737A"/>
    <w:rsid w:val="002774D5"/>
    <w:rsid w:val="00297F87"/>
    <w:rsid w:val="005F19EE"/>
    <w:rsid w:val="00675E7F"/>
    <w:rsid w:val="00715F05"/>
    <w:rsid w:val="007261BB"/>
    <w:rsid w:val="0072660E"/>
    <w:rsid w:val="008025FC"/>
    <w:rsid w:val="00901D5F"/>
    <w:rsid w:val="009476C5"/>
    <w:rsid w:val="00947B5F"/>
    <w:rsid w:val="009A7F67"/>
    <w:rsid w:val="00A00060"/>
    <w:rsid w:val="00A35B90"/>
    <w:rsid w:val="00B64F5A"/>
    <w:rsid w:val="00B93ED7"/>
    <w:rsid w:val="00BD4396"/>
    <w:rsid w:val="00CB79C0"/>
    <w:rsid w:val="00DB2AB5"/>
    <w:rsid w:val="00E6198F"/>
    <w:rsid w:val="00EC4EB2"/>
    <w:rsid w:val="00F62AED"/>
    <w:rsid w:val="00F72E66"/>
    <w:rsid w:val="00F74C9A"/>
    <w:rsid w:val="00FD3943"/>
    <w:rsid w:val="01DA5013"/>
    <w:rsid w:val="02AA2B4B"/>
    <w:rsid w:val="042B5143"/>
    <w:rsid w:val="0B4F1044"/>
    <w:rsid w:val="0B96575E"/>
    <w:rsid w:val="0BEB4270"/>
    <w:rsid w:val="0CE34A08"/>
    <w:rsid w:val="0F0F7410"/>
    <w:rsid w:val="0F953DB9"/>
    <w:rsid w:val="1303403E"/>
    <w:rsid w:val="13093DBA"/>
    <w:rsid w:val="14BE7C6B"/>
    <w:rsid w:val="1B617826"/>
    <w:rsid w:val="1D6B0493"/>
    <w:rsid w:val="1DC7382C"/>
    <w:rsid w:val="1E5E6966"/>
    <w:rsid w:val="1F0B19A2"/>
    <w:rsid w:val="201F7AFC"/>
    <w:rsid w:val="210012E6"/>
    <w:rsid w:val="24074150"/>
    <w:rsid w:val="261A04F1"/>
    <w:rsid w:val="26511C63"/>
    <w:rsid w:val="28041576"/>
    <w:rsid w:val="288A1B89"/>
    <w:rsid w:val="2A671680"/>
    <w:rsid w:val="2B5954BA"/>
    <w:rsid w:val="2C9604FE"/>
    <w:rsid w:val="2CE35D0C"/>
    <w:rsid w:val="2EF95A50"/>
    <w:rsid w:val="2FE77586"/>
    <w:rsid w:val="30853026"/>
    <w:rsid w:val="309C4B4F"/>
    <w:rsid w:val="35D46B3A"/>
    <w:rsid w:val="37811CA8"/>
    <w:rsid w:val="384004B6"/>
    <w:rsid w:val="38BD569F"/>
    <w:rsid w:val="38BF17E4"/>
    <w:rsid w:val="38CC23E3"/>
    <w:rsid w:val="3A537E25"/>
    <w:rsid w:val="405C1C05"/>
    <w:rsid w:val="41136C20"/>
    <w:rsid w:val="420A1F0F"/>
    <w:rsid w:val="46D64484"/>
    <w:rsid w:val="4863764C"/>
    <w:rsid w:val="48C406F2"/>
    <w:rsid w:val="4BA17322"/>
    <w:rsid w:val="4D694E62"/>
    <w:rsid w:val="4D9A3078"/>
    <w:rsid w:val="519F7BA4"/>
    <w:rsid w:val="527F2719"/>
    <w:rsid w:val="528A0854"/>
    <w:rsid w:val="52B86D8E"/>
    <w:rsid w:val="52C84ED8"/>
    <w:rsid w:val="53D40B56"/>
    <w:rsid w:val="56B76A86"/>
    <w:rsid w:val="56ED13B1"/>
    <w:rsid w:val="579573A8"/>
    <w:rsid w:val="590B3462"/>
    <w:rsid w:val="5ABC1DD3"/>
    <w:rsid w:val="5D777C27"/>
    <w:rsid w:val="5E60690D"/>
    <w:rsid w:val="5F7B1F8C"/>
    <w:rsid w:val="5F9320CE"/>
    <w:rsid w:val="5FBE7D8F"/>
    <w:rsid w:val="605B2018"/>
    <w:rsid w:val="61306A6A"/>
    <w:rsid w:val="64406FC4"/>
    <w:rsid w:val="64CD45D0"/>
    <w:rsid w:val="6669485F"/>
    <w:rsid w:val="66AA5005"/>
    <w:rsid w:val="6C701493"/>
    <w:rsid w:val="6CFE61E5"/>
    <w:rsid w:val="6EDD2AA7"/>
    <w:rsid w:val="706F290D"/>
    <w:rsid w:val="72E60AAC"/>
    <w:rsid w:val="72E66F89"/>
    <w:rsid w:val="73691968"/>
    <w:rsid w:val="73C3551C"/>
    <w:rsid w:val="758B206A"/>
    <w:rsid w:val="76526668"/>
    <w:rsid w:val="76B31878"/>
    <w:rsid w:val="76B81340"/>
    <w:rsid w:val="776E39F1"/>
    <w:rsid w:val="77BD280E"/>
    <w:rsid w:val="77F12845"/>
    <w:rsid w:val="784A1843"/>
    <w:rsid w:val="78D40D94"/>
    <w:rsid w:val="7A4153ED"/>
    <w:rsid w:val="7CF911F9"/>
    <w:rsid w:val="7D367F10"/>
    <w:rsid w:val="7E064983"/>
    <w:rsid w:val="7F2D4191"/>
    <w:rsid w:val="7F654F34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qFormat="1" w:unhideWhenUsed="0" w:uiPriority="0" w:semiHidden="0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cs="Times New Roman" w:asciiTheme="minorHAnsi" w:hAnsiTheme="minorHAnsi" w:eastAsiaTheme="minorEastAsia"/>
      <w:kern w:val="2"/>
      <w:sz w:val="21"/>
      <w:szCs w:val="22"/>
      <w:lang w:val="en-US" w:eastAsia="zh-CN" w:bidi="ar-SA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unhideWhenUsed/>
    <w:qFormat/>
    <w:uiPriority w:val="0"/>
    <w:rPr>
      <w:rFonts w:ascii="Gotham Light" w:hAnsi="Gotham Light" w:eastAsia="Gotham Light" w:cs="Gotham Light"/>
      <w:sz w:val="16"/>
      <w:szCs w:val="16"/>
      <w:lang w:eastAsia="en-US" w:bidi="en-US"/>
    </w:rPr>
  </w:style>
  <w:style w:type="paragraph" w:styleId="3">
    <w:name w:val="Balloon Text"/>
    <w:basedOn w:val="1"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20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9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List"/>
    <w:basedOn w:val="2"/>
    <w:qFormat/>
    <w:uiPriority w:val="0"/>
    <w:rPr>
      <w:rFonts w:cs="Arial"/>
    </w:rPr>
  </w:style>
  <w:style w:type="table" w:styleId="8">
    <w:name w:val="Table Grid"/>
    <w:basedOn w:val="7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0">
    <w:name w:val="正文文本 Char"/>
    <w:basedOn w:val="9"/>
    <w:semiHidden/>
    <w:qFormat/>
    <w:uiPriority w:val="0"/>
    <w:rPr>
      <w:rFonts w:ascii="Gotham Light" w:hAnsi="Gotham Light" w:eastAsia="Gotham Light" w:cs="Gotham Light"/>
      <w:sz w:val="16"/>
      <w:szCs w:val="16"/>
      <w:lang w:eastAsia="en-US" w:bidi="en-US"/>
    </w:rPr>
  </w:style>
  <w:style w:type="character" w:customStyle="1" w:styleId="11">
    <w:name w:val="页眉 Char"/>
    <w:basedOn w:val="9"/>
    <w:semiHidden/>
    <w:qFormat/>
    <w:uiPriority w:val="99"/>
    <w:rPr>
      <w:rFonts w:ascii="Calibri" w:hAnsi="Calibri" w:eastAsia="宋体" w:cs="Times New Roman"/>
      <w:sz w:val="18"/>
      <w:szCs w:val="18"/>
    </w:rPr>
  </w:style>
  <w:style w:type="character" w:customStyle="1" w:styleId="12">
    <w:name w:val="页脚 Char"/>
    <w:basedOn w:val="9"/>
    <w:semiHidden/>
    <w:qFormat/>
    <w:uiPriority w:val="99"/>
    <w:rPr>
      <w:rFonts w:ascii="Calibri" w:hAnsi="Calibri" w:eastAsia="宋体" w:cs="Times New Roman"/>
      <w:sz w:val="18"/>
      <w:szCs w:val="18"/>
    </w:rPr>
  </w:style>
  <w:style w:type="character" w:customStyle="1" w:styleId="13">
    <w:name w:val="批注框文本 Char"/>
    <w:basedOn w:val="9"/>
    <w:semiHidden/>
    <w:qFormat/>
    <w:uiPriority w:val="99"/>
    <w:rPr>
      <w:rFonts w:ascii="Calibri" w:hAnsi="Calibri" w:eastAsia="宋体" w:cs="Times New Roman"/>
      <w:sz w:val="18"/>
      <w:szCs w:val="18"/>
    </w:rPr>
  </w:style>
  <w:style w:type="paragraph" w:customStyle="1" w:styleId="14">
    <w:name w:val="标题样式"/>
    <w:basedOn w:val="1"/>
    <w:next w:val="2"/>
    <w:qFormat/>
    <w:uiPriority w:val="0"/>
    <w:pPr>
      <w:keepNext/>
      <w:spacing w:before="240" w:after="120"/>
    </w:pPr>
    <w:rPr>
      <w:rFonts w:ascii="Liberation Sans" w:hAnsi="Liberation Sans" w:eastAsia="微软雅黑" w:cs="Arial"/>
      <w:sz w:val="28"/>
      <w:szCs w:val="28"/>
    </w:rPr>
  </w:style>
  <w:style w:type="paragraph" w:customStyle="1" w:styleId="15">
    <w:name w:val="Caption"/>
    <w:basedOn w:val="1"/>
    <w:qFormat/>
    <w:uiPriority w:val="0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16">
    <w:name w:val="索引"/>
    <w:basedOn w:val="1"/>
    <w:qFormat/>
    <w:uiPriority w:val="0"/>
    <w:pPr>
      <w:suppressLineNumbers/>
    </w:pPr>
    <w:rPr>
      <w:rFonts w:cs="Arial"/>
    </w:rPr>
  </w:style>
  <w:style w:type="paragraph" w:customStyle="1" w:styleId="17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customStyle="1" w:styleId="18">
    <w:name w:val="Header"/>
    <w:basedOn w:val="1"/>
    <w:unhideWhenUsed/>
    <w:qFormat/>
    <w:uiPriority w:val="99"/>
    <w:pPr>
      <w:pBdr>
        <w:bottom w:val="single" w:color="000000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19">
    <w:name w:val="页眉 Char1"/>
    <w:basedOn w:val="9"/>
    <w:link w:val="5"/>
    <w:semiHidden/>
    <w:qFormat/>
    <w:uiPriority w:val="99"/>
    <w:rPr>
      <w:rFonts w:cs="Times New Roman"/>
      <w:kern w:val="2"/>
      <w:sz w:val="18"/>
      <w:szCs w:val="18"/>
      <w:lang w:bidi="ar-SA"/>
    </w:rPr>
  </w:style>
  <w:style w:type="character" w:customStyle="1" w:styleId="20">
    <w:name w:val="页脚 Char1"/>
    <w:basedOn w:val="9"/>
    <w:link w:val="4"/>
    <w:semiHidden/>
    <w:qFormat/>
    <w:uiPriority w:val="99"/>
    <w:rPr>
      <w:rFonts w:cs="Times New Roman"/>
      <w:kern w:val="2"/>
      <w:sz w:val="18"/>
      <w:szCs w:val="18"/>
      <w:lang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63</Words>
  <Characters>365</Characters>
  <Lines>3</Lines>
  <Paragraphs>1</Paragraphs>
  <TotalTime>12</TotalTime>
  <ScaleCrop>false</ScaleCrop>
  <LinksUpToDate>false</LinksUpToDate>
  <CharactersWithSpaces>427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2024-04-26T01:42:00Z</dcterms:created>
  <dc:creator>许主来</dc:creator>
  <cp:lastModifiedBy>王振达</cp:lastModifiedBy>
  <cp:lastPrinted>2023-10-13T07:53:00Z</cp:lastPrinted>
  <dcterms:modified xsi:type="dcterms:W3CDTF">2024-08-27T05:06:11Z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mpany">
    <vt:lpwstr>Microsoft</vt:lpwstr>
  </property>
  <property fmtid="{D5CDD505-2E9C-101B-9397-08002B2CF9AE}" pid="3" name="DocSecurity">
    <vt:i4>0</vt:i4>
  </property>
  <property fmtid="{D5CDD505-2E9C-101B-9397-08002B2CF9AE}" pid="4" name="KSOProductBuildVer">
    <vt:lpwstr>2052-11.8.2.12085</vt:lpwstr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ICV">
    <vt:lpwstr>23B4AC447C344B1680ECE86CDEFE8DEC</vt:lpwstr>
  </property>
</Properties>
</file>