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b/>
          <w:sz w:val="28"/>
          <w:szCs w:val="28"/>
        </w:rPr>
      </w:pPr>
      <w:r>
        <w:rPr>
          <w:b/>
          <w:sz w:val="28"/>
          <w:szCs w:val="28"/>
        </w:rPr>
        <w:t>配电终端通信异常监测与自重启装置测试加工服务技术要求</w:t>
      </w:r>
    </w:p>
    <w:p>
      <w:pPr>
        <w:jc w:val="center"/>
        <w:rPr>
          <w:b/>
          <w:sz w:val="28"/>
          <w:szCs w:val="28"/>
        </w:rPr>
      </w:pPr>
      <w:r>
        <w:rPr>
          <w:b/>
          <w:sz w:val="28"/>
          <w:szCs w:val="28"/>
        </w:rPr>
        <w:t>承办部门：茂名供电局生产技术部</w:t>
      </w:r>
    </w:p>
    <w:p>
      <w:pPr>
        <w:numPr>
          <w:ilvl w:val="0"/>
          <w:numId w:val="1"/>
        </w:numPr>
        <w:rPr>
          <w:b/>
          <w:bCs/>
          <w:sz w:val="28"/>
          <w:szCs w:val="28"/>
        </w:rPr>
      </w:pPr>
      <w:r>
        <w:rPr>
          <w:b/>
          <w:bCs/>
          <w:sz w:val="28"/>
          <w:szCs w:val="28"/>
        </w:rPr>
        <w:t>总则</w:t>
      </w:r>
      <w:bookmarkStart w:id="0" w:name="_GoBack"/>
      <w:bookmarkEnd w:id="0"/>
    </w:p>
    <w:p>
      <w:pPr>
        <w:spacing w:line="360" w:lineRule="auto"/>
        <w:ind w:firstLine="480" w:firstLineChars="200"/>
        <w:rPr>
          <w:sz w:val="24"/>
          <w:szCs w:val="24"/>
        </w:rPr>
      </w:pPr>
      <w:r>
        <w:rPr>
          <w:rFonts w:hint="eastAsia"/>
          <w:sz w:val="24"/>
          <w:szCs w:val="24"/>
          <w:lang w:val="en-US" w:eastAsia="zh-CN"/>
        </w:rPr>
        <w:t>1.1</w:t>
      </w:r>
      <w:r>
        <w:rPr>
          <w:sz w:val="24"/>
          <w:szCs w:val="24"/>
        </w:rPr>
        <w:t>本文为茂名供电局职工创新项目配电终端通信异常监测与自重启装置（项目编号：030900KZ24060043）的测试加工服务技术要求文件，适用于茂名供电局职工创新项目配电终端通信异常监测与自重启装置测试加工服务。</w:t>
      </w:r>
    </w:p>
    <w:p>
      <w:pPr>
        <w:spacing w:line="360" w:lineRule="auto"/>
        <w:ind w:firstLine="480" w:firstLineChars="200"/>
        <w:rPr>
          <w:sz w:val="24"/>
          <w:szCs w:val="24"/>
        </w:rPr>
      </w:pPr>
      <w:r>
        <w:rPr>
          <w:rFonts w:hint="eastAsia"/>
          <w:sz w:val="24"/>
          <w:szCs w:val="24"/>
          <w:lang w:val="en-US" w:eastAsia="zh-CN"/>
        </w:rPr>
        <w:t>1.2</w:t>
      </w:r>
      <w:r>
        <w:rPr>
          <w:rFonts w:hint="eastAsia"/>
          <w:sz w:val="24"/>
          <w:szCs w:val="24"/>
        </w:rPr>
        <w:t>需填写参数响应表，如有正负偏离或不能响应的，须在参数响应表中列出。</w:t>
      </w:r>
    </w:p>
    <w:p>
      <w:pPr>
        <w:numPr>
          <w:ilvl w:val="0"/>
          <w:numId w:val="2"/>
        </w:numPr>
        <w:rPr>
          <w:b/>
          <w:bCs/>
          <w:sz w:val="28"/>
          <w:szCs w:val="28"/>
        </w:rPr>
      </w:pPr>
      <w:r>
        <w:rPr>
          <w:b/>
          <w:bCs/>
          <w:sz w:val="28"/>
          <w:szCs w:val="28"/>
        </w:rPr>
        <w:t>范围</w:t>
      </w:r>
    </w:p>
    <w:p>
      <w:pPr>
        <w:spacing w:line="360" w:lineRule="auto"/>
        <w:rPr>
          <w:szCs w:val="21"/>
        </w:rPr>
      </w:pPr>
      <w:r>
        <w:rPr>
          <w:sz w:val="24"/>
          <w:szCs w:val="24"/>
        </w:rPr>
        <w:t xml:space="preserve">    2.1本技术要求适用配电终端通信异常监测与自重启装置，对配电终端通信异常监测与自重启装置的使用条件、技术要求、试验方法、检测规则、标志及包装等相关技术要求进行了要求。</w:t>
      </w:r>
    </w:p>
    <w:p>
      <w:pPr>
        <w:spacing w:line="360" w:lineRule="auto"/>
        <w:rPr>
          <w:sz w:val="24"/>
          <w:szCs w:val="24"/>
        </w:rPr>
      </w:pPr>
      <w:r>
        <w:rPr>
          <w:sz w:val="24"/>
          <w:szCs w:val="24"/>
        </w:rPr>
        <w:t xml:space="preserve">    2.2本技术要求适用于额定工作电压DC9~36V配电终端通信异常监测与自重启装置。</w:t>
      </w:r>
    </w:p>
    <w:p>
      <w:pPr>
        <w:numPr>
          <w:ilvl w:val="0"/>
          <w:numId w:val="2"/>
        </w:numPr>
        <w:rPr>
          <w:b/>
          <w:bCs/>
          <w:sz w:val="28"/>
          <w:szCs w:val="28"/>
        </w:rPr>
      </w:pPr>
      <w:r>
        <w:rPr>
          <w:b/>
          <w:bCs/>
          <w:sz w:val="28"/>
          <w:szCs w:val="28"/>
        </w:rPr>
        <w:t>环境条件</w:t>
      </w:r>
    </w:p>
    <w:p>
      <w:pPr>
        <w:spacing w:line="360" w:lineRule="auto"/>
        <w:rPr>
          <w:sz w:val="24"/>
          <w:szCs w:val="24"/>
        </w:rPr>
      </w:pPr>
      <w:r>
        <w:rPr>
          <w:sz w:val="24"/>
          <w:szCs w:val="24"/>
        </w:rPr>
        <w:t>3.1工作在户外的配电终端通信异常监测与自重启装置应满足在如下环境中正常工作</w:t>
      </w:r>
    </w:p>
    <w:p>
      <w:pPr>
        <w:spacing w:line="360" w:lineRule="auto"/>
        <w:ind w:firstLine="480" w:firstLineChars="200"/>
        <w:rPr>
          <w:sz w:val="24"/>
          <w:szCs w:val="24"/>
        </w:rPr>
      </w:pPr>
      <w:r>
        <w:rPr>
          <w:sz w:val="24"/>
          <w:szCs w:val="24"/>
        </w:rPr>
        <w:t>1）环境温度范围：-10℃~+70℃</w:t>
      </w:r>
    </w:p>
    <w:p>
      <w:pPr>
        <w:spacing w:line="360" w:lineRule="auto"/>
        <w:ind w:firstLine="480" w:firstLineChars="200"/>
        <w:rPr>
          <w:sz w:val="24"/>
          <w:szCs w:val="24"/>
        </w:rPr>
      </w:pPr>
      <w:r>
        <w:rPr>
          <w:sz w:val="24"/>
          <w:szCs w:val="24"/>
        </w:rPr>
        <w:t>2）环境温度最大变化率：1℃/min</w:t>
      </w:r>
    </w:p>
    <w:p>
      <w:pPr>
        <w:spacing w:line="360" w:lineRule="auto"/>
        <w:ind w:firstLine="480" w:firstLineChars="200"/>
        <w:rPr>
          <w:sz w:val="24"/>
          <w:szCs w:val="24"/>
          <w:vertAlign w:val="superscript"/>
        </w:rPr>
      </w:pPr>
      <w:r>
        <w:rPr>
          <w:sz w:val="24"/>
          <w:szCs w:val="24"/>
        </w:rPr>
        <w:t>3）湿度：5%~100%</w:t>
      </w:r>
    </w:p>
    <w:p>
      <w:pPr>
        <w:spacing w:line="360" w:lineRule="auto"/>
        <w:ind w:firstLine="480" w:firstLineChars="200"/>
        <w:rPr>
          <w:sz w:val="24"/>
          <w:szCs w:val="24"/>
          <w:vertAlign w:val="superscript"/>
        </w:rPr>
      </w:pPr>
      <w:r>
        <w:rPr>
          <w:sz w:val="24"/>
          <w:szCs w:val="24"/>
        </w:rPr>
        <w:t>4）最大绝对湿度：35g/m</w:t>
      </w:r>
      <w:r>
        <w:rPr>
          <w:sz w:val="24"/>
          <w:szCs w:val="24"/>
          <w:vertAlign w:val="superscript"/>
        </w:rPr>
        <w:t>3</w:t>
      </w:r>
    </w:p>
    <w:p>
      <w:pPr>
        <w:spacing w:line="360" w:lineRule="auto"/>
        <w:ind w:firstLine="480" w:firstLineChars="200"/>
        <w:rPr>
          <w:sz w:val="24"/>
          <w:szCs w:val="24"/>
        </w:rPr>
      </w:pPr>
      <w:r>
        <w:rPr>
          <w:sz w:val="24"/>
          <w:szCs w:val="24"/>
        </w:rPr>
        <w:t>5）大气压力：70~106kPa</w:t>
      </w:r>
    </w:p>
    <w:p>
      <w:pPr>
        <w:spacing w:line="360" w:lineRule="auto"/>
        <w:rPr>
          <w:sz w:val="24"/>
          <w:szCs w:val="24"/>
        </w:rPr>
      </w:pPr>
      <w:r>
        <w:rPr>
          <w:sz w:val="24"/>
          <w:szCs w:val="24"/>
        </w:rPr>
        <w:t>3.2工作在室内的配电终端通信异常监测与自重启装置应满足在如下环境中正常工作</w:t>
      </w:r>
    </w:p>
    <w:p>
      <w:pPr>
        <w:spacing w:line="360" w:lineRule="auto"/>
        <w:ind w:firstLine="480" w:firstLineChars="200"/>
        <w:rPr>
          <w:sz w:val="24"/>
          <w:szCs w:val="24"/>
        </w:rPr>
      </w:pPr>
      <w:r>
        <w:rPr>
          <w:sz w:val="24"/>
          <w:szCs w:val="24"/>
        </w:rPr>
        <w:t>1）环境温度范围：-25℃~+55℃</w:t>
      </w:r>
    </w:p>
    <w:p>
      <w:pPr>
        <w:spacing w:line="360" w:lineRule="auto"/>
        <w:ind w:firstLine="480" w:firstLineChars="200"/>
        <w:rPr>
          <w:sz w:val="24"/>
          <w:szCs w:val="24"/>
        </w:rPr>
      </w:pPr>
      <w:r>
        <w:rPr>
          <w:sz w:val="24"/>
          <w:szCs w:val="24"/>
        </w:rPr>
        <w:t>2）环境温度最大变化率：0.5℃/min</w:t>
      </w:r>
    </w:p>
    <w:p>
      <w:pPr>
        <w:spacing w:line="360" w:lineRule="auto"/>
        <w:ind w:firstLine="480" w:firstLineChars="200"/>
        <w:rPr>
          <w:sz w:val="24"/>
          <w:szCs w:val="24"/>
          <w:vertAlign w:val="superscript"/>
        </w:rPr>
      </w:pPr>
      <w:r>
        <w:rPr>
          <w:sz w:val="24"/>
          <w:szCs w:val="24"/>
        </w:rPr>
        <w:t>3）湿度：5%~100%</w:t>
      </w:r>
    </w:p>
    <w:p>
      <w:pPr>
        <w:spacing w:line="360" w:lineRule="auto"/>
        <w:ind w:firstLine="480" w:firstLineChars="200"/>
        <w:rPr>
          <w:sz w:val="24"/>
          <w:szCs w:val="24"/>
          <w:vertAlign w:val="superscript"/>
        </w:rPr>
      </w:pPr>
      <w:r>
        <w:rPr>
          <w:sz w:val="24"/>
          <w:szCs w:val="24"/>
        </w:rPr>
        <w:t>4）最大绝对湿度：29g/m</w:t>
      </w:r>
      <w:r>
        <w:rPr>
          <w:sz w:val="24"/>
          <w:szCs w:val="24"/>
          <w:vertAlign w:val="superscript"/>
        </w:rPr>
        <w:t>3</w:t>
      </w:r>
    </w:p>
    <w:p>
      <w:pPr>
        <w:spacing w:line="360" w:lineRule="auto"/>
        <w:ind w:firstLine="480" w:firstLineChars="200"/>
        <w:rPr>
          <w:sz w:val="24"/>
          <w:szCs w:val="24"/>
        </w:rPr>
      </w:pPr>
      <w:r>
        <w:rPr>
          <w:sz w:val="24"/>
          <w:szCs w:val="24"/>
        </w:rPr>
        <w:t>5）大气压力：70~106kPa</w:t>
      </w:r>
    </w:p>
    <w:p>
      <w:pPr>
        <w:spacing w:line="360" w:lineRule="auto"/>
        <w:rPr>
          <w:b/>
          <w:bCs/>
          <w:sz w:val="28"/>
          <w:szCs w:val="28"/>
        </w:rPr>
      </w:pPr>
      <w:r>
        <w:rPr>
          <w:rFonts w:hint="eastAsia"/>
          <w:b/>
          <w:bCs/>
          <w:sz w:val="28"/>
          <w:szCs w:val="28"/>
          <w:lang w:val="en-US" w:eastAsia="zh-CN"/>
        </w:rPr>
        <w:t>4</w:t>
      </w:r>
      <w:r>
        <w:rPr>
          <w:b/>
          <w:bCs/>
          <w:sz w:val="28"/>
          <w:szCs w:val="28"/>
        </w:rPr>
        <w:t>.技术要求</w:t>
      </w:r>
    </w:p>
    <w:p>
      <w:pPr>
        <w:spacing w:line="360" w:lineRule="auto"/>
        <w:rPr>
          <w:b/>
          <w:bCs/>
          <w:sz w:val="24"/>
          <w:szCs w:val="24"/>
        </w:rPr>
      </w:pPr>
      <w:r>
        <w:rPr>
          <w:rFonts w:hint="eastAsia"/>
          <w:b/>
          <w:bCs/>
          <w:sz w:val="24"/>
          <w:szCs w:val="24"/>
          <w:lang w:val="en-US" w:eastAsia="zh-CN"/>
        </w:rPr>
        <w:t>4</w:t>
      </w:r>
      <w:r>
        <w:rPr>
          <w:b/>
          <w:bCs/>
          <w:sz w:val="24"/>
          <w:szCs w:val="24"/>
        </w:rPr>
        <w:t>.1基本功能要求</w:t>
      </w:r>
    </w:p>
    <w:p>
      <w:pPr>
        <w:spacing w:line="360" w:lineRule="auto"/>
        <w:rPr>
          <w:b/>
          <w:bCs/>
          <w:sz w:val="24"/>
          <w:szCs w:val="24"/>
        </w:rPr>
      </w:pPr>
      <w:r>
        <w:rPr>
          <w:rFonts w:hint="eastAsia"/>
          <w:b/>
          <w:bCs/>
          <w:sz w:val="24"/>
          <w:szCs w:val="24"/>
          <w:lang w:val="en-US" w:eastAsia="zh-CN"/>
        </w:rPr>
        <w:t>4</w:t>
      </w:r>
      <w:r>
        <w:rPr>
          <w:b/>
          <w:bCs/>
          <w:sz w:val="24"/>
          <w:szCs w:val="24"/>
        </w:rPr>
        <w:t>.1.1 增强版——</w:t>
      </w:r>
      <w:r>
        <w:rPr>
          <w:sz w:val="24"/>
          <w:szCs w:val="24"/>
        </w:rPr>
        <w:t>配电终端通信异常监测与自重启装置</w:t>
      </w:r>
    </w:p>
    <w:p>
      <w:pPr>
        <w:spacing w:line="360" w:lineRule="auto"/>
        <w:ind w:firstLine="480" w:firstLineChars="200"/>
        <w:rPr>
          <w:sz w:val="24"/>
        </w:rPr>
      </w:pPr>
      <w:r>
        <w:rPr>
          <w:sz w:val="24"/>
        </w:rPr>
        <w:t>1）实时监测配电终端通信网络状态，当配电终端异常时，</w:t>
      </w:r>
      <w:r>
        <w:rPr>
          <w:sz w:val="24"/>
          <w:szCs w:val="24"/>
        </w:rPr>
        <w:t>本装置应</w:t>
      </w:r>
      <w:r>
        <w:rPr>
          <w:sz w:val="24"/>
        </w:rPr>
        <w:t>能恢复配电终端通信正常，并向配电自动化主站上报终端异常</w:t>
      </w:r>
      <w:r>
        <w:rPr>
          <w:rFonts w:hint="eastAsia"/>
          <w:sz w:val="24"/>
        </w:rPr>
        <w:t>S</w:t>
      </w:r>
      <w:r>
        <w:rPr>
          <w:sz w:val="24"/>
        </w:rPr>
        <w:t>OE事件；</w:t>
      </w:r>
    </w:p>
    <w:p>
      <w:pPr>
        <w:spacing w:line="360" w:lineRule="auto"/>
        <w:ind w:firstLine="480" w:firstLineChars="200"/>
        <w:rPr>
          <w:sz w:val="24"/>
          <w:szCs w:val="24"/>
        </w:rPr>
      </w:pPr>
      <w:r>
        <w:rPr>
          <w:sz w:val="24"/>
        </w:rPr>
        <w:t>2）配电终端通信异常监测与自重启装置与配电自动化主站信息交互遵循《南方电网配网自动化DL/T634.5101-2002规约实施细则》/《南方电网配网自动化DL/T634.5104-2009规约实施细则》规约；</w:t>
      </w:r>
    </w:p>
    <w:p>
      <w:pPr>
        <w:spacing w:line="360" w:lineRule="auto"/>
        <w:ind w:firstLine="480" w:firstLineChars="200"/>
        <w:rPr>
          <w:sz w:val="24"/>
          <w:szCs w:val="24"/>
        </w:rPr>
      </w:pPr>
      <w:r>
        <w:rPr>
          <w:sz w:val="24"/>
        </w:rPr>
        <w:t>3）</w:t>
      </w:r>
      <w:r>
        <w:rPr>
          <w:sz w:val="24"/>
          <w:szCs w:val="24"/>
        </w:rPr>
        <w:t>配电终端通信异常监测与自重启装置历史异常事件记录不少于100条。</w:t>
      </w:r>
    </w:p>
    <w:p>
      <w:pPr>
        <w:spacing w:line="360" w:lineRule="auto"/>
        <w:ind w:firstLine="480" w:firstLineChars="200"/>
        <w:rPr>
          <w:sz w:val="24"/>
        </w:rPr>
      </w:pPr>
      <w:r>
        <w:rPr>
          <w:sz w:val="24"/>
        </w:rPr>
        <w:t>4）</w:t>
      </w:r>
      <w:r>
        <w:rPr>
          <w:sz w:val="24"/>
          <w:szCs w:val="24"/>
        </w:rPr>
        <w:t>配电终端通信异常监测与自重启装置应具备通信异常诊断功能，应能分析通信异常类别、发生时间；</w:t>
      </w:r>
    </w:p>
    <w:p>
      <w:pPr>
        <w:spacing w:line="360" w:lineRule="auto"/>
        <w:ind w:firstLine="480" w:firstLineChars="200"/>
        <w:rPr>
          <w:sz w:val="24"/>
          <w:szCs w:val="24"/>
        </w:rPr>
      </w:pPr>
      <w:r>
        <w:rPr>
          <w:sz w:val="24"/>
        </w:rPr>
        <w:t>5）</w:t>
      </w:r>
      <w:r>
        <w:rPr>
          <w:sz w:val="24"/>
          <w:szCs w:val="24"/>
        </w:rPr>
        <w:t>配电终端通信异常监测与自重启装置应具备异常指示灯报警功能</w:t>
      </w:r>
      <w:r>
        <w:rPr>
          <w:rFonts w:hint="eastAsia"/>
          <w:sz w:val="24"/>
          <w:szCs w:val="24"/>
        </w:rPr>
        <w:t>。</w:t>
      </w:r>
    </w:p>
    <w:p>
      <w:pPr>
        <w:spacing w:line="360" w:lineRule="auto"/>
        <w:rPr>
          <w:sz w:val="24"/>
          <w:szCs w:val="24"/>
        </w:rPr>
      </w:pPr>
      <w:r>
        <w:rPr>
          <w:rFonts w:hint="eastAsia"/>
          <w:sz w:val="24"/>
          <w:szCs w:val="24"/>
          <w:lang w:val="en-US" w:eastAsia="zh-CN"/>
        </w:rPr>
        <w:t>4</w:t>
      </w:r>
      <w:r>
        <w:rPr>
          <w:sz w:val="24"/>
          <w:szCs w:val="24"/>
        </w:rPr>
        <w:t xml:space="preserve">.1.2 </w:t>
      </w:r>
      <w:r>
        <w:rPr>
          <w:b/>
          <w:bCs/>
          <w:sz w:val="24"/>
          <w:szCs w:val="24"/>
        </w:rPr>
        <w:t>简易版——</w:t>
      </w:r>
      <w:r>
        <w:rPr>
          <w:sz w:val="24"/>
          <w:szCs w:val="24"/>
        </w:rPr>
        <w:t>配电终端通信定时自重启装置</w:t>
      </w:r>
    </w:p>
    <w:p>
      <w:pPr>
        <w:spacing w:line="360" w:lineRule="auto"/>
        <w:ind w:firstLine="480" w:firstLineChars="200"/>
        <w:rPr>
          <w:sz w:val="24"/>
          <w:szCs w:val="24"/>
        </w:rPr>
      </w:pPr>
      <w:r>
        <w:rPr>
          <w:sz w:val="24"/>
          <w:szCs w:val="24"/>
        </w:rPr>
        <w:t>1）配电终端通信定时自重启装置具备定时重启通信模块功能；</w:t>
      </w:r>
    </w:p>
    <w:p>
      <w:pPr>
        <w:spacing w:line="360" w:lineRule="auto"/>
        <w:ind w:firstLine="480" w:firstLineChars="200"/>
        <w:rPr>
          <w:sz w:val="24"/>
          <w:szCs w:val="24"/>
        </w:rPr>
      </w:pPr>
      <w:r>
        <w:rPr>
          <w:sz w:val="24"/>
          <w:szCs w:val="24"/>
        </w:rPr>
        <w:t>2）配电终端通信定时自重启装置定时档位需要可设置4档，分别是：4h/8h/12h/24h可配置；</w:t>
      </w:r>
    </w:p>
    <w:p>
      <w:pPr>
        <w:spacing w:line="360" w:lineRule="auto"/>
        <w:ind w:firstLine="480" w:firstLineChars="200"/>
        <w:rPr>
          <w:sz w:val="24"/>
          <w:szCs w:val="24"/>
        </w:rPr>
      </w:pPr>
      <w:r>
        <w:rPr>
          <w:sz w:val="24"/>
          <w:szCs w:val="24"/>
        </w:rPr>
        <w:t>3）配电终端通信定时自重启装置到达设置的重启周期后掉电时间需要＞10秒，实现完全重启。</w:t>
      </w:r>
    </w:p>
    <w:p>
      <w:pPr>
        <w:spacing w:line="360" w:lineRule="auto"/>
        <w:rPr>
          <w:sz w:val="24"/>
          <w:szCs w:val="24"/>
        </w:rPr>
      </w:pPr>
      <w:r>
        <w:rPr>
          <w:rFonts w:hint="eastAsia"/>
          <w:sz w:val="24"/>
          <w:szCs w:val="24"/>
          <w:lang w:val="en-US" w:eastAsia="zh-CN"/>
        </w:rPr>
        <w:t>4</w:t>
      </w:r>
      <w:r>
        <w:rPr>
          <w:sz w:val="24"/>
          <w:szCs w:val="24"/>
        </w:rPr>
        <w:t>.2参数要求</w:t>
      </w:r>
    </w:p>
    <w:p>
      <w:pPr>
        <w:spacing w:line="360" w:lineRule="auto"/>
        <w:ind w:firstLine="480" w:firstLineChars="200"/>
        <w:rPr>
          <w:sz w:val="24"/>
          <w:szCs w:val="24"/>
        </w:rPr>
      </w:pPr>
      <w:r>
        <w:rPr>
          <w:sz w:val="24"/>
          <w:szCs w:val="24"/>
        </w:rPr>
        <w:t>1）供电电压 DC 9-36V±2V；</w:t>
      </w:r>
    </w:p>
    <w:p>
      <w:pPr>
        <w:spacing w:line="360" w:lineRule="auto"/>
        <w:ind w:firstLine="480" w:firstLineChars="200"/>
        <w:rPr>
          <w:sz w:val="24"/>
          <w:szCs w:val="24"/>
        </w:rPr>
      </w:pPr>
      <w:r>
        <w:rPr>
          <w:sz w:val="24"/>
          <w:szCs w:val="24"/>
        </w:rPr>
        <w:t>2）输出电压 DC 9-36V±2V；</w:t>
      </w:r>
    </w:p>
    <w:p>
      <w:pPr>
        <w:spacing w:line="360" w:lineRule="auto"/>
        <w:ind w:firstLine="480" w:firstLineChars="200"/>
        <w:rPr>
          <w:sz w:val="24"/>
          <w:szCs w:val="24"/>
        </w:rPr>
      </w:pPr>
      <w:r>
        <w:rPr>
          <w:sz w:val="24"/>
          <w:szCs w:val="24"/>
        </w:rPr>
        <w:t>3）输出电流 ≤3A；</w:t>
      </w:r>
    </w:p>
    <w:p>
      <w:pPr>
        <w:spacing w:line="360" w:lineRule="auto"/>
        <w:ind w:firstLine="480" w:firstLineChars="200"/>
        <w:rPr>
          <w:sz w:val="24"/>
          <w:szCs w:val="24"/>
        </w:rPr>
      </w:pPr>
      <w:r>
        <w:rPr>
          <w:sz w:val="24"/>
          <w:szCs w:val="24"/>
        </w:rPr>
        <w:t>4）波特率600bps-115200bps；</w:t>
      </w:r>
    </w:p>
    <w:p>
      <w:pPr>
        <w:spacing w:line="360" w:lineRule="auto"/>
        <w:ind w:firstLine="480" w:firstLineChars="200"/>
        <w:rPr>
          <w:sz w:val="24"/>
          <w:szCs w:val="24"/>
        </w:rPr>
      </w:pPr>
      <w:r>
        <w:rPr>
          <w:sz w:val="24"/>
          <w:szCs w:val="24"/>
        </w:rPr>
        <w:t>5）接口：RS232≥2路RS232接口</w:t>
      </w:r>
      <w:r>
        <w:rPr>
          <w:rFonts w:hint="eastAsia"/>
          <w:sz w:val="24"/>
          <w:szCs w:val="24"/>
        </w:rPr>
        <w:t>；</w:t>
      </w:r>
      <w:r>
        <w:rPr>
          <w:sz w:val="24"/>
          <w:szCs w:val="24"/>
        </w:rPr>
        <w:t>以太网≥2路接口。</w:t>
      </w:r>
    </w:p>
    <w:p>
      <w:pPr>
        <w:spacing w:line="360" w:lineRule="auto"/>
        <w:rPr>
          <w:sz w:val="24"/>
          <w:szCs w:val="24"/>
        </w:rPr>
      </w:pPr>
      <w:r>
        <w:rPr>
          <w:rFonts w:hint="eastAsia"/>
          <w:sz w:val="24"/>
          <w:szCs w:val="24"/>
          <w:lang w:val="en-US" w:eastAsia="zh-CN"/>
        </w:rPr>
        <w:t>4</w:t>
      </w:r>
      <w:r>
        <w:rPr>
          <w:sz w:val="24"/>
          <w:szCs w:val="24"/>
        </w:rPr>
        <w:t xml:space="preserve">.3 </w:t>
      </w:r>
      <w:r>
        <w:rPr>
          <w:rFonts w:hint="eastAsia"/>
          <w:sz w:val="24"/>
          <w:szCs w:val="24"/>
        </w:rPr>
        <w:t>装置配置管理软件</w:t>
      </w:r>
      <w:r>
        <w:rPr>
          <w:sz w:val="24"/>
          <w:szCs w:val="24"/>
        </w:rPr>
        <w:t xml:space="preserve">    </w:t>
      </w:r>
    </w:p>
    <w:p>
      <w:pPr>
        <w:spacing w:line="360" w:lineRule="auto"/>
        <w:ind w:firstLine="480" w:firstLineChars="200"/>
        <w:rPr>
          <w:sz w:val="24"/>
          <w:szCs w:val="24"/>
        </w:rPr>
      </w:pPr>
      <w:r>
        <w:rPr>
          <w:sz w:val="24"/>
          <w:szCs w:val="24"/>
        </w:rPr>
        <w:t>配电终端通信异常监测与自重启装置</w:t>
      </w:r>
      <w:r>
        <w:rPr>
          <w:rFonts w:hint="eastAsia"/>
          <w:sz w:val="24"/>
          <w:szCs w:val="24"/>
        </w:rPr>
        <w:t>应提供装置配套的配置管理软件，管理软件应具备：1）与装置通信功能；2）装置参数配置、参数导入、参数导出；</w:t>
      </w:r>
      <w:r>
        <w:rPr>
          <w:sz w:val="24"/>
          <w:szCs w:val="24"/>
        </w:rPr>
        <w:t>3</w:t>
      </w:r>
      <w:r>
        <w:rPr>
          <w:rFonts w:hint="eastAsia"/>
          <w:sz w:val="24"/>
          <w:szCs w:val="24"/>
        </w:rPr>
        <w:t>）事件记录导出功能；</w:t>
      </w:r>
      <w:r>
        <w:rPr>
          <w:sz w:val="24"/>
          <w:szCs w:val="24"/>
        </w:rPr>
        <w:t>4权限</w:t>
      </w:r>
      <w:r>
        <w:rPr>
          <w:rFonts w:hint="eastAsia"/>
          <w:sz w:val="24"/>
          <w:szCs w:val="24"/>
        </w:rPr>
        <w:t>设置功能</w:t>
      </w:r>
      <w:r>
        <w:rPr>
          <w:sz w:val="24"/>
          <w:szCs w:val="24"/>
        </w:rPr>
        <w:t>。</w:t>
      </w:r>
    </w:p>
    <w:p>
      <w:pPr>
        <w:spacing w:line="360" w:lineRule="auto"/>
        <w:ind w:firstLine="480" w:firstLineChars="200"/>
        <w:rPr>
          <w:sz w:val="24"/>
          <w:szCs w:val="24"/>
        </w:rPr>
      </w:pPr>
    </w:p>
    <w:p>
      <w:pPr>
        <w:spacing w:line="360" w:lineRule="auto"/>
        <w:rPr>
          <w:sz w:val="24"/>
          <w:szCs w:val="24"/>
        </w:rPr>
      </w:pPr>
      <w:r>
        <w:rPr>
          <w:rFonts w:hint="eastAsia"/>
          <w:sz w:val="24"/>
          <w:szCs w:val="24"/>
          <w:lang w:val="en-US" w:eastAsia="zh-CN"/>
        </w:rPr>
        <w:t>4</w:t>
      </w:r>
      <w:r>
        <w:rPr>
          <w:sz w:val="24"/>
          <w:szCs w:val="24"/>
        </w:rPr>
        <w:t>.5电磁兼容要求</w:t>
      </w:r>
    </w:p>
    <w:p>
      <w:pPr>
        <w:pStyle w:val="11"/>
        <w:spacing w:line="360" w:lineRule="auto"/>
        <w:ind w:firstLine="480" w:firstLineChars="200"/>
        <w:rPr>
          <w:rFonts w:eastAsia="宋体"/>
          <w:kern w:val="2"/>
          <w:sz w:val="24"/>
          <w:szCs w:val="24"/>
        </w:rPr>
      </w:pPr>
      <w:r>
        <w:rPr>
          <w:rFonts w:eastAsia="宋体"/>
          <w:kern w:val="2"/>
          <w:sz w:val="24"/>
          <w:szCs w:val="24"/>
        </w:rPr>
        <w:t>1）静电放电抗扰度</w:t>
      </w:r>
    </w:p>
    <w:p>
      <w:pPr>
        <w:pStyle w:val="10"/>
        <w:tabs>
          <w:tab w:val="center" w:pos="4201"/>
          <w:tab w:val="right" w:leader="dot" w:pos="9298"/>
        </w:tabs>
        <w:spacing w:line="360" w:lineRule="auto"/>
        <w:ind w:firstLine="480"/>
        <w:rPr>
          <w:rFonts w:hint="eastAsia" w:ascii="Times New Roman"/>
          <w:kern w:val="2"/>
          <w:sz w:val="24"/>
          <w:szCs w:val="24"/>
        </w:rPr>
      </w:pPr>
      <w:r>
        <w:rPr>
          <w:rFonts w:ascii="Times New Roman"/>
          <w:kern w:val="2"/>
          <w:sz w:val="24"/>
          <w:szCs w:val="24"/>
        </w:rPr>
        <w:t>满足</w:t>
      </w:r>
      <w:r>
        <w:rPr>
          <w:rFonts w:ascii="Times New Roman"/>
          <w:sz w:val="24"/>
          <w:szCs w:val="24"/>
        </w:rPr>
        <w:t xml:space="preserve">GB/T17626.2 </w:t>
      </w:r>
      <w:r>
        <w:rPr>
          <w:rFonts w:ascii="Times New Roman"/>
          <w:kern w:val="2"/>
          <w:sz w:val="24"/>
          <w:szCs w:val="24"/>
        </w:rPr>
        <w:t>规定中的接触放电±8kV、空气放电±15 kV，A级要求。</w:t>
      </w:r>
    </w:p>
    <w:p>
      <w:pPr>
        <w:pStyle w:val="11"/>
        <w:spacing w:line="360" w:lineRule="auto"/>
        <w:ind w:firstLine="480" w:firstLineChars="200"/>
        <w:rPr>
          <w:rFonts w:eastAsia="宋体"/>
          <w:kern w:val="2"/>
          <w:sz w:val="24"/>
          <w:szCs w:val="24"/>
        </w:rPr>
      </w:pPr>
      <w:r>
        <w:rPr>
          <w:rFonts w:eastAsia="宋体"/>
          <w:kern w:val="2"/>
          <w:sz w:val="24"/>
          <w:szCs w:val="24"/>
        </w:rPr>
        <w:t>2）射频电磁场辐射抗扰度</w:t>
      </w:r>
    </w:p>
    <w:p>
      <w:pPr>
        <w:pStyle w:val="10"/>
        <w:tabs>
          <w:tab w:val="center" w:pos="4201"/>
          <w:tab w:val="right" w:leader="dot" w:pos="9298"/>
        </w:tabs>
        <w:spacing w:line="360" w:lineRule="auto"/>
        <w:ind w:firstLine="480"/>
        <w:rPr>
          <w:rFonts w:hint="eastAsia" w:ascii="Times New Roman"/>
          <w:kern w:val="2"/>
          <w:sz w:val="24"/>
          <w:szCs w:val="24"/>
        </w:rPr>
      </w:pPr>
      <w:r>
        <w:rPr>
          <w:rFonts w:ascii="Times New Roman"/>
          <w:kern w:val="2"/>
          <w:sz w:val="24"/>
          <w:szCs w:val="24"/>
        </w:rPr>
        <w:t>满足</w:t>
      </w:r>
      <w:r>
        <w:rPr>
          <w:rFonts w:ascii="Times New Roman"/>
          <w:sz w:val="24"/>
          <w:szCs w:val="24"/>
        </w:rPr>
        <w:t xml:space="preserve">GB/T17626.6 </w:t>
      </w:r>
      <w:r>
        <w:rPr>
          <w:rFonts w:ascii="Times New Roman"/>
          <w:kern w:val="2"/>
          <w:sz w:val="24"/>
          <w:szCs w:val="24"/>
        </w:rPr>
        <w:t>试验场：10V/m，试验频率80MHz-1000MHz，A级要求。</w:t>
      </w:r>
    </w:p>
    <w:p>
      <w:pPr>
        <w:pStyle w:val="11"/>
        <w:spacing w:line="360" w:lineRule="auto"/>
        <w:ind w:firstLine="480" w:firstLineChars="200"/>
        <w:rPr>
          <w:rFonts w:eastAsia="宋体"/>
          <w:kern w:val="2"/>
          <w:sz w:val="24"/>
          <w:szCs w:val="24"/>
        </w:rPr>
      </w:pPr>
      <w:r>
        <w:rPr>
          <w:rFonts w:eastAsia="宋体"/>
          <w:kern w:val="2"/>
          <w:sz w:val="24"/>
          <w:szCs w:val="24"/>
        </w:rPr>
        <w:t>3）电快速瞬变脉冲群抗扰度</w:t>
      </w:r>
    </w:p>
    <w:p>
      <w:pPr>
        <w:pStyle w:val="10"/>
        <w:tabs>
          <w:tab w:val="center" w:pos="4201"/>
          <w:tab w:val="right" w:leader="dot" w:pos="9298"/>
        </w:tabs>
        <w:spacing w:line="360" w:lineRule="auto"/>
        <w:ind w:firstLine="480"/>
        <w:rPr>
          <w:rFonts w:hint="eastAsia" w:ascii="Times New Roman"/>
          <w:kern w:val="2"/>
          <w:sz w:val="24"/>
          <w:szCs w:val="24"/>
        </w:rPr>
      </w:pPr>
      <w:r>
        <w:rPr>
          <w:rFonts w:ascii="Times New Roman"/>
          <w:kern w:val="2"/>
          <w:sz w:val="24"/>
          <w:szCs w:val="24"/>
        </w:rPr>
        <w:t>满足</w:t>
      </w:r>
      <w:r>
        <w:rPr>
          <w:rFonts w:ascii="Times New Roman"/>
          <w:sz w:val="24"/>
          <w:szCs w:val="24"/>
        </w:rPr>
        <w:t xml:space="preserve">GB/T17626.4 </w:t>
      </w:r>
      <w:r>
        <w:rPr>
          <w:rFonts w:ascii="Times New Roman"/>
          <w:kern w:val="2"/>
          <w:sz w:val="24"/>
          <w:szCs w:val="24"/>
        </w:rPr>
        <w:t>试验电压：±4kV、±2kV，重复频率：5kHz、100kHz，A级要求。</w:t>
      </w:r>
    </w:p>
    <w:p>
      <w:pPr>
        <w:pStyle w:val="11"/>
        <w:spacing w:line="360" w:lineRule="auto"/>
        <w:ind w:firstLine="480" w:firstLineChars="200"/>
        <w:rPr>
          <w:rFonts w:eastAsia="宋体"/>
          <w:kern w:val="2"/>
          <w:sz w:val="24"/>
          <w:szCs w:val="24"/>
        </w:rPr>
      </w:pPr>
      <w:r>
        <w:rPr>
          <w:rFonts w:eastAsia="宋体"/>
          <w:kern w:val="2"/>
          <w:sz w:val="24"/>
          <w:szCs w:val="24"/>
        </w:rPr>
        <w:t>4）浪涌（冲击）抗扰度</w:t>
      </w:r>
    </w:p>
    <w:p>
      <w:pPr>
        <w:spacing w:line="360" w:lineRule="auto"/>
        <w:ind w:firstLine="480" w:firstLineChars="200"/>
        <w:rPr>
          <w:sz w:val="24"/>
          <w:szCs w:val="24"/>
        </w:rPr>
        <w:sectPr>
          <w:footerReference r:id="rId3" w:type="default"/>
          <w:pgSz w:w="11906" w:h="16838"/>
          <w:pgMar w:top="1440" w:right="1080" w:bottom="1440" w:left="1080" w:header="851" w:footer="992" w:gutter="0"/>
          <w:pgNumType w:start="1"/>
          <w:cols w:space="720" w:num="1"/>
          <w:docGrid w:type="lines" w:linePitch="312" w:charSpace="0"/>
        </w:sectPr>
      </w:pPr>
      <w:r>
        <w:rPr>
          <w:sz w:val="24"/>
          <w:szCs w:val="24"/>
        </w:rPr>
        <w:t>满足GB/T17626.5 中试验电压：线-线 ±2kV，线-地 ±4kV，A级要求。</w:t>
      </w:r>
    </w:p>
    <w:p>
      <w:pPr>
        <w:spacing w:line="360" w:lineRule="auto"/>
        <w:rPr>
          <w:sz w:val="24"/>
          <w:szCs w:val="24"/>
        </w:rPr>
      </w:pPr>
      <w:r>
        <w:rPr>
          <w:rFonts w:hint="eastAsia"/>
          <w:sz w:val="24"/>
          <w:szCs w:val="24"/>
        </w:rPr>
        <w:t>附件1：</w:t>
      </w:r>
    </w:p>
    <w:p>
      <w:pPr>
        <w:jc w:val="center"/>
        <w:rPr>
          <w:rFonts w:hint="eastAsia" w:ascii="宋体" w:hAnsi="宋体"/>
          <w:b/>
          <w:bCs/>
          <w:sz w:val="28"/>
          <w:szCs w:val="28"/>
        </w:rPr>
      </w:pPr>
      <w:r>
        <w:rPr>
          <w:rFonts w:hint="eastAsia" w:ascii="宋体" w:hAnsi="宋体"/>
          <w:b/>
          <w:bCs/>
          <w:sz w:val="28"/>
          <w:szCs w:val="28"/>
        </w:rPr>
        <w:t>参数响应表</w:t>
      </w:r>
    </w:p>
    <w:tbl>
      <w:tblPr>
        <w:tblStyle w:val="5"/>
        <w:tblW w:w="4998" w:type="pct"/>
        <w:jc w:val="cente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Layout w:type="autofit"/>
        <w:tblCellMar>
          <w:top w:w="0" w:type="dxa"/>
          <w:left w:w="108" w:type="dxa"/>
          <w:bottom w:w="0" w:type="dxa"/>
          <w:right w:w="108" w:type="dxa"/>
        </w:tblCellMar>
      </w:tblPr>
      <w:tblGrid>
        <w:gridCol w:w="723"/>
        <w:gridCol w:w="2765"/>
        <w:gridCol w:w="2494"/>
        <w:gridCol w:w="2534"/>
        <w:gridCol w:w="1442"/>
      </w:tblGrid>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Ex>
        <w:trPr>
          <w:tblHeader/>
          <w:jc w:val="center"/>
        </w:trPr>
        <w:tc>
          <w:tcPr>
            <w:tcW w:w="363" w:type="pct"/>
            <w:shd w:val="clear" w:color="auto" w:fill="auto"/>
            <w:vAlign w:val="center"/>
          </w:tcPr>
          <w:p>
            <w:pPr>
              <w:spacing w:line="360" w:lineRule="auto"/>
              <w:jc w:val="center"/>
              <w:rPr>
                <w:rFonts w:hint="eastAsia" w:ascii="宋体" w:hAnsi="宋体"/>
                <w:b/>
                <w:sz w:val="24"/>
                <w:szCs w:val="24"/>
              </w:rPr>
            </w:pPr>
            <w:r>
              <w:rPr>
                <w:rFonts w:hint="eastAsia" w:ascii="宋体" w:hAnsi="宋体"/>
                <w:b/>
                <w:sz w:val="24"/>
                <w:szCs w:val="24"/>
              </w:rPr>
              <w:t>序号</w:t>
            </w:r>
          </w:p>
        </w:tc>
        <w:tc>
          <w:tcPr>
            <w:tcW w:w="1388" w:type="pct"/>
            <w:shd w:val="clear" w:color="auto" w:fill="auto"/>
            <w:vAlign w:val="center"/>
          </w:tcPr>
          <w:p>
            <w:pPr>
              <w:spacing w:line="360" w:lineRule="auto"/>
              <w:jc w:val="center"/>
              <w:rPr>
                <w:rFonts w:hint="eastAsia" w:ascii="宋体" w:hAnsi="宋体"/>
                <w:b/>
                <w:sz w:val="24"/>
                <w:szCs w:val="24"/>
              </w:rPr>
            </w:pPr>
            <w:r>
              <w:rPr>
                <w:rFonts w:hint="eastAsia" w:ascii="宋体" w:hAnsi="宋体"/>
                <w:b/>
                <w:sz w:val="24"/>
                <w:szCs w:val="24"/>
              </w:rPr>
              <w:t>招标文件响应内容</w:t>
            </w:r>
          </w:p>
        </w:tc>
        <w:tc>
          <w:tcPr>
            <w:tcW w:w="1252" w:type="pct"/>
            <w:shd w:val="clear" w:color="auto" w:fill="auto"/>
            <w:vAlign w:val="center"/>
          </w:tcPr>
          <w:p>
            <w:pPr>
              <w:spacing w:line="360" w:lineRule="auto"/>
              <w:jc w:val="center"/>
              <w:rPr>
                <w:rFonts w:hint="eastAsia" w:ascii="宋体" w:hAnsi="宋体"/>
                <w:b/>
                <w:sz w:val="24"/>
                <w:szCs w:val="24"/>
              </w:rPr>
            </w:pPr>
            <w:r>
              <w:rPr>
                <w:rFonts w:hint="eastAsia" w:ascii="宋体" w:hAnsi="宋体"/>
                <w:b/>
                <w:sz w:val="24"/>
                <w:szCs w:val="24"/>
              </w:rPr>
              <w:t>招标方要求值</w:t>
            </w:r>
          </w:p>
        </w:tc>
        <w:tc>
          <w:tcPr>
            <w:tcW w:w="1272" w:type="pct"/>
            <w:shd w:val="clear" w:color="auto" w:fill="auto"/>
            <w:vAlign w:val="center"/>
          </w:tcPr>
          <w:p>
            <w:pPr>
              <w:spacing w:line="360" w:lineRule="auto"/>
              <w:jc w:val="center"/>
              <w:rPr>
                <w:rFonts w:hint="eastAsia" w:ascii="宋体" w:hAnsi="宋体"/>
                <w:b/>
                <w:sz w:val="24"/>
                <w:szCs w:val="24"/>
              </w:rPr>
            </w:pPr>
            <w:r>
              <w:rPr>
                <w:rFonts w:hint="eastAsia" w:ascii="宋体" w:hAnsi="宋体"/>
                <w:b/>
                <w:sz w:val="24"/>
                <w:szCs w:val="24"/>
              </w:rPr>
              <w:t>投标方响应情况</w:t>
            </w:r>
          </w:p>
        </w:tc>
        <w:tc>
          <w:tcPr>
            <w:tcW w:w="723" w:type="pct"/>
            <w:shd w:val="clear" w:color="auto" w:fill="auto"/>
            <w:vAlign w:val="center"/>
          </w:tcPr>
          <w:p>
            <w:pPr>
              <w:spacing w:line="360" w:lineRule="auto"/>
              <w:jc w:val="center"/>
              <w:rPr>
                <w:rFonts w:hint="eastAsia" w:ascii="宋体" w:hAnsi="宋体"/>
                <w:b/>
                <w:sz w:val="24"/>
                <w:szCs w:val="24"/>
              </w:rPr>
            </w:pPr>
            <w:r>
              <w:rPr>
                <w:rFonts w:hint="eastAsia" w:ascii="宋体" w:hAnsi="宋体"/>
                <w:b/>
                <w:sz w:val="24"/>
                <w:szCs w:val="24"/>
              </w:rPr>
              <w:t>偏离情况</w:t>
            </w: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Ex>
        <w:trPr>
          <w:jc w:val="center"/>
        </w:trPr>
        <w:tc>
          <w:tcPr>
            <w:tcW w:w="363" w:type="pct"/>
            <w:shd w:val="clear" w:color="auto" w:fill="auto"/>
            <w:vAlign w:val="center"/>
          </w:tcPr>
          <w:p>
            <w:pPr>
              <w:autoSpaceDE w:val="0"/>
              <w:autoSpaceDN w:val="0"/>
              <w:adjustRightInd w:val="0"/>
              <w:spacing w:line="360" w:lineRule="auto"/>
              <w:jc w:val="center"/>
              <w:rPr>
                <w:rFonts w:hint="eastAsia" w:ascii="宋体" w:hAnsi="宋体" w:eastAsia="宋体" w:cs="仿宋"/>
                <w:b/>
                <w:color w:val="000000"/>
                <w:kern w:val="0"/>
                <w:sz w:val="24"/>
                <w:szCs w:val="24"/>
                <w:lang w:val="en-US" w:eastAsia="zh-CN"/>
              </w:rPr>
            </w:pPr>
            <w:r>
              <w:rPr>
                <w:rFonts w:hint="eastAsia" w:ascii="宋体" w:hAnsi="宋体" w:cs="仿宋"/>
                <w:b/>
                <w:color w:val="000000"/>
                <w:kern w:val="0"/>
                <w:sz w:val="24"/>
                <w:szCs w:val="24"/>
                <w:lang w:val="en-US" w:eastAsia="zh-CN"/>
              </w:rPr>
              <w:t>1</w:t>
            </w:r>
          </w:p>
        </w:tc>
        <w:tc>
          <w:tcPr>
            <w:tcW w:w="1388" w:type="pct"/>
            <w:shd w:val="clear" w:color="auto" w:fill="auto"/>
            <w:vAlign w:val="center"/>
          </w:tcPr>
          <w:p>
            <w:pPr>
              <w:autoSpaceDE w:val="0"/>
              <w:autoSpaceDN w:val="0"/>
              <w:adjustRightInd w:val="0"/>
              <w:spacing w:line="360" w:lineRule="auto"/>
              <w:jc w:val="left"/>
              <w:rPr>
                <w:rFonts w:hint="eastAsia" w:ascii="宋体" w:hAnsi="宋体" w:cs="仿宋"/>
                <w:bCs/>
                <w:color w:val="000000"/>
                <w:kern w:val="0"/>
                <w:sz w:val="24"/>
                <w:szCs w:val="24"/>
                <w:highlight w:val="none"/>
              </w:rPr>
            </w:pPr>
            <w:r>
              <w:rPr>
                <w:rFonts w:hint="eastAsia"/>
                <w:sz w:val="24"/>
                <w:szCs w:val="24"/>
                <w:highlight w:val="none"/>
              </w:rPr>
              <w:t>环境温度范围</w:t>
            </w:r>
          </w:p>
        </w:tc>
        <w:tc>
          <w:tcPr>
            <w:tcW w:w="1252" w:type="pct"/>
            <w:shd w:val="clear" w:color="auto" w:fill="auto"/>
            <w:vAlign w:val="center"/>
          </w:tcPr>
          <w:p>
            <w:pPr>
              <w:autoSpaceDE w:val="0"/>
              <w:autoSpaceDN w:val="0"/>
              <w:adjustRightInd w:val="0"/>
              <w:spacing w:line="360" w:lineRule="auto"/>
              <w:jc w:val="left"/>
              <w:rPr>
                <w:rFonts w:hint="eastAsia" w:ascii="宋体" w:hAnsi="宋体" w:cs="仿宋"/>
                <w:bCs/>
                <w:color w:val="000000"/>
                <w:kern w:val="0"/>
                <w:sz w:val="24"/>
                <w:szCs w:val="24"/>
                <w:highlight w:val="none"/>
              </w:rPr>
            </w:pPr>
            <w:r>
              <w:rPr>
                <w:rFonts w:hint="eastAsia"/>
                <w:sz w:val="24"/>
                <w:szCs w:val="24"/>
                <w:highlight w:val="none"/>
              </w:rPr>
              <w:t>-10℃~+70℃</w:t>
            </w:r>
          </w:p>
        </w:tc>
        <w:tc>
          <w:tcPr>
            <w:tcW w:w="1272" w:type="pct"/>
            <w:shd w:val="clear" w:color="auto" w:fill="auto"/>
            <w:vAlign w:val="center"/>
          </w:tcPr>
          <w:p>
            <w:pPr>
              <w:autoSpaceDE w:val="0"/>
              <w:autoSpaceDN w:val="0"/>
              <w:adjustRightInd w:val="0"/>
              <w:spacing w:line="360" w:lineRule="auto"/>
              <w:jc w:val="left"/>
              <w:rPr>
                <w:rFonts w:hint="eastAsia" w:ascii="宋体" w:hAnsi="宋体" w:cs="仿宋"/>
                <w:bCs/>
                <w:color w:val="000000"/>
                <w:kern w:val="0"/>
                <w:sz w:val="24"/>
                <w:szCs w:val="24"/>
                <w:highlight w:val="yellow"/>
              </w:rPr>
            </w:pPr>
          </w:p>
        </w:tc>
        <w:tc>
          <w:tcPr>
            <w:tcW w:w="723" w:type="pct"/>
            <w:shd w:val="clear" w:color="auto" w:fill="auto"/>
            <w:vAlign w:val="center"/>
          </w:tcPr>
          <w:p>
            <w:pPr>
              <w:autoSpaceDE w:val="0"/>
              <w:autoSpaceDN w:val="0"/>
              <w:adjustRightInd w:val="0"/>
              <w:spacing w:line="360" w:lineRule="auto"/>
              <w:jc w:val="left"/>
              <w:rPr>
                <w:rFonts w:hint="eastAsia" w:ascii="宋体" w:hAnsi="宋体" w:cs="仿宋"/>
                <w:bCs/>
                <w:color w:val="000000"/>
                <w:kern w:val="0"/>
                <w:sz w:val="24"/>
                <w:szCs w:val="24"/>
                <w:highlight w:val="yellow"/>
              </w:rPr>
            </w:pP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Ex>
        <w:trPr>
          <w:jc w:val="center"/>
        </w:trPr>
        <w:tc>
          <w:tcPr>
            <w:tcW w:w="363" w:type="pct"/>
            <w:shd w:val="clear" w:color="auto" w:fill="auto"/>
            <w:vAlign w:val="center"/>
          </w:tcPr>
          <w:p>
            <w:pPr>
              <w:autoSpaceDE w:val="0"/>
              <w:autoSpaceDN w:val="0"/>
              <w:adjustRightInd w:val="0"/>
              <w:spacing w:line="360" w:lineRule="auto"/>
              <w:jc w:val="center"/>
              <w:rPr>
                <w:rFonts w:hint="eastAsia" w:ascii="宋体" w:hAnsi="宋体" w:cs="仿宋"/>
                <w:b/>
                <w:color w:val="000000"/>
                <w:kern w:val="0"/>
                <w:sz w:val="24"/>
                <w:szCs w:val="24"/>
              </w:rPr>
            </w:pPr>
          </w:p>
        </w:tc>
        <w:tc>
          <w:tcPr>
            <w:tcW w:w="1388" w:type="pct"/>
            <w:shd w:val="clear" w:color="auto" w:fill="auto"/>
            <w:vAlign w:val="center"/>
          </w:tcPr>
          <w:p>
            <w:pPr>
              <w:autoSpaceDE w:val="0"/>
              <w:autoSpaceDN w:val="0"/>
              <w:adjustRightInd w:val="0"/>
              <w:spacing w:line="360" w:lineRule="auto"/>
              <w:jc w:val="left"/>
              <w:rPr>
                <w:rFonts w:hint="eastAsia" w:ascii="宋体" w:hAnsi="宋体" w:cs="仿宋"/>
                <w:bCs/>
                <w:color w:val="000000"/>
                <w:kern w:val="0"/>
                <w:sz w:val="24"/>
                <w:szCs w:val="24"/>
              </w:rPr>
            </w:pPr>
          </w:p>
        </w:tc>
        <w:tc>
          <w:tcPr>
            <w:tcW w:w="1252" w:type="pct"/>
            <w:shd w:val="clear" w:color="auto" w:fill="auto"/>
            <w:vAlign w:val="center"/>
          </w:tcPr>
          <w:p>
            <w:pPr>
              <w:autoSpaceDE w:val="0"/>
              <w:autoSpaceDN w:val="0"/>
              <w:adjustRightInd w:val="0"/>
              <w:spacing w:line="360" w:lineRule="auto"/>
              <w:jc w:val="left"/>
              <w:rPr>
                <w:rFonts w:hint="eastAsia" w:ascii="宋体" w:hAnsi="宋体" w:cs="仿宋"/>
                <w:bCs/>
                <w:color w:val="000000"/>
                <w:kern w:val="0"/>
                <w:sz w:val="24"/>
                <w:szCs w:val="24"/>
              </w:rPr>
            </w:pPr>
          </w:p>
        </w:tc>
        <w:tc>
          <w:tcPr>
            <w:tcW w:w="1272" w:type="pct"/>
            <w:shd w:val="clear" w:color="auto" w:fill="auto"/>
            <w:vAlign w:val="center"/>
          </w:tcPr>
          <w:p>
            <w:pPr>
              <w:autoSpaceDE w:val="0"/>
              <w:autoSpaceDN w:val="0"/>
              <w:adjustRightInd w:val="0"/>
              <w:spacing w:line="360" w:lineRule="auto"/>
              <w:jc w:val="left"/>
              <w:rPr>
                <w:rFonts w:hint="eastAsia" w:ascii="宋体" w:hAnsi="宋体" w:cs="仿宋"/>
                <w:bCs/>
                <w:color w:val="000000"/>
                <w:kern w:val="0"/>
                <w:sz w:val="24"/>
                <w:szCs w:val="24"/>
                <w:highlight w:val="yellow"/>
              </w:rPr>
            </w:pPr>
          </w:p>
        </w:tc>
        <w:tc>
          <w:tcPr>
            <w:tcW w:w="723" w:type="pct"/>
            <w:shd w:val="clear" w:color="auto" w:fill="auto"/>
            <w:vAlign w:val="center"/>
          </w:tcPr>
          <w:p>
            <w:pPr>
              <w:autoSpaceDE w:val="0"/>
              <w:autoSpaceDN w:val="0"/>
              <w:adjustRightInd w:val="0"/>
              <w:spacing w:line="360" w:lineRule="auto"/>
              <w:jc w:val="left"/>
              <w:rPr>
                <w:rFonts w:hint="eastAsia" w:ascii="宋体" w:hAnsi="宋体" w:cs="仿宋"/>
                <w:bCs/>
                <w:color w:val="000000"/>
                <w:kern w:val="0"/>
                <w:sz w:val="24"/>
                <w:szCs w:val="24"/>
                <w:highlight w:val="yellow"/>
              </w:rPr>
            </w:pP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Ex>
        <w:trPr>
          <w:jc w:val="center"/>
        </w:trPr>
        <w:tc>
          <w:tcPr>
            <w:tcW w:w="363" w:type="pct"/>
            <w:shd w:val="clear" w:color="auto" w:fill="auto"/>
            <w:vAlign w:val="center"/>
          </w:tcPr>
          <w:p>
            <w:pPr>
              <w:autoSpaceDE w:val="0"/>
              <w:autoSpaceDN w:val="0"/>
              <w:adjustRightInd w:val="0"/>
              <w:spacing w:line="360" w:lineRule="auto"/>
              <w:jc w:val="center"/>
              <w:rPr>
                <w:rFonts w:hint="eastAsia" w:ascii="宋体" w:hAnsi="宋体" w:cs="仿宋"/>
                <w:b/>
                <w:color w:val="000000"/>
                <w:kern w:val="0"/>
                <w:sz w:val="24"/>
                <w:szCs w:val="24"/>
              </w:rPr>
            </w:pPr>
          </w:p>
        </w:tc>
        <w:tc>
          <w:tcPr>
            <w:tcW w:w="1388" w:type="pct"/>
            <w:shd w:val="clear" w:color="auto" w:fill="auto"/>
            <w:vAlign w:val="center"/>
          </w:tcPr>
          <w:p>
            <w:pPr>
              <w:autoSpaceDE w:val="0"/>
              <w:autoSpaceDN w:val="0"/>
              <w:adjustRightInd w:val="0"/>
              <w:spacing w:line="360" w:lineRule="auto"/>
              <w:jc w:val="left"/>
              <w:rPr>
                <w:rFonts w:hint="eastAsia" w:ascii="宋体" w:hAnsi="宋体" w:cs="仿宋"/>
                <w:bCs/>
                <w:color w:val="000000"/>
                <w:kern w:val="0"/>
                <w:sz w:val="24"/>
                <w:szCs w:val="24"/>
              </w:rPr>
            </w:pPr>
          </w:p>
        </w:tc>
        <w:tc>
          <w:tcPr>
            <w:tcW w:w="1252" w:type="pct"/>
            <w:shd w:val="clear" w:color="auto" w:fill="auto"/>
            <w:vAlign w:val="center"/>
          </w:tcPr>
          <w:p>
            <w:pPr>
              <w:autoSpaceDE w:val="0"/>
              <w:autoSpaceDN w:val="0"/>
              <w:adjustRightInd w:val="0"/>
              <w:spacing w:line="360" w:lineRule="auto"/>
              <w:jc w:val="left"/>
              <w:rPr>
                <w:rFonts w:hint="eastAsia" w:ascii="宋体" w:hAnsi="宋体" w:cs="仿宋"/>
                <w:bCs/>
                <w:color w:val="000000"/>
                <w:kern w:val="0"/>
                <w:sz w:val="24"/>
                <w:szCs w:val="24"/>
              </w:rPr>
            </w:pPr>
          </w:p>
        </w:tc>
        <w:tc>
          <w:tcPr>
            <w:tcW w:w="1272" w:type="pct"/>
            <w:shd w:val="clear" w:color="auto" w:fill="auto"/>
            <w:vAlign w:val="center"/>
          </w:tcPr>
          <w:p>
            <w:pPr>
              <w:autoSpaceDE w:val="0"/>
              <w:autoSpaceDN w:val="0"/>
              <w:adjustRightInd w:val="0"/>
              <w:spacing w:line="360" w:lineRule="auto"/>
              <w:jc w:val="left"/>
              <w:rPr>
                <w:rFonts w:hint="eastAsia" w:ascii="宋体" w:hAnsi="宋体" w:cs="仿宋"/>
                <w:bCs/>
                <w:color w:val="000000"/>
                <w:kern w:val="0"/>
                <w:sz w:val="24"/>
                <w:szCs w:val="24"/>
              </w:rPr>
            </w:pPr>
          </w:p>
        </w:tc>
        <w:tc>
          <w:tcPr>
            <w:tcW w:w="723" w:type="pct"/>
            <w:shd w:val="clear" w:color="auto" w:fill="auto"/>
            <w:vAlign w:val="center"/>
          </w:tcPr>
          <w:p>
            <w:pPr>
              <w:autoSpaceDE w:val="0"/>
              <w:autoSpaceDN w:val="0"/>
              <w:adjustRightInd w:val="0"/>
              <w:spacing w:line="360" w:lineRule="auto"/>
              <w:jc w:val="left"/>
              <w:rPr>
                <w:rFonts w:hint="eastAsia" w:ascii="宋体" w:hAnsi="宋体" w:cs="仿宋"/>
                <w:bCs/>
                <w:color w:val="000000"/>
                <w:kern w:val="0"/>
                <w:sz w:val="24"/>
                <w:szCs w:val="24"/>
              </w:rPr>
            </w:pP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Ex>
        <w:trPr>
          <w:jc w:val="center"/>
        </w:trPr>
        <w:tc>
          <w:tcPr>
            <w:tcW w:w="363" w:type="pct"/>
            <w:shd w:val="clear" w:color="auto" w:fill="auto"/>
            <w:vAlign w:val="center"/>
          </w:tcPr>
          <w:p>
            <w:pPr>
              <w:autoSpaceDE w:val="0"/>
              <w:autoSpaceDN w:val="0"/>
              <w:adjustRightInd w:val="0"/>
              <w:spacing w:line="360" w:lineRule="auto"/>
              <w:jc w:val="center"/>
              <w:rPr>
                <w:rFonts w:hint="eastAsia" w:ascii="宋体" w:hAnsi="宋体" w:cs="仿宋"/>
                <w:b/>
                <w:color w:val="000000"/>
                <w:kern w:val="0"/>
                <w:sz w:val="24"/>
                <w:szCs w:val="24"/>
              </w:rPr>
            </w:pPr>
          </w:p>
        </w:tc>
        <w:tc>
          <w:tcPr>
            <w:tcW w:w="1388" w:type="pct"/>
            <w:shd w:val="clear" w:color="auto" w:fill="auto"/>
            <w:vAlign w:val="center"/>
          </w:tcPr>
          <w:p>
            <w:pPr>
              <w:autoSpaceDE w:val="0"/>
              <w:autoSpaceDN w:val="0"/>
              <w:adjustRightInd w:val="0"/>
              <w:spacing w:line="360" w:lineRule="auto"/>
              <w:jc w:val="left"/>
              <w:rPr>
                <w:rFonts w:hint="eastAsia" w:ascii="宋体" w:hAnsi="宋体" w:cs="仿宋"/>
                <w:bCs/>
                <w:color w:val="000000"/>
                <w:kern w:val="0"/>
                <w:sz w:val="24"/>
                <w:szCs w:val="24"/>
              </w:rPr>
            </w:pPr>
          </w:p>
        </w:tc>
        <w:tc>
          <w:tcPr>
            <w:tcW w:w="1252" w:type="pct"/>
            <w:shd w:val="clear" w:color="auto" w:fill="auto"/>
            <w:vAlign w:val="center"/>
          </w:tcPr>
          <w:p>
            <w:pPr>
              <w:autoSpaceDE w:val="0"/>
              <w:autoSpaceDN w:val="0"/>
              <w:adjustRightInd w:val="0"/>
              <w:spacing w:line="360" w:lineRule="auto"/>
              <w:jc w:val="left"/>
              <w:rPr>
                <w:rFonts w:hint="eastAsia" w:ascii="宋体" w:hAnsi="宋体" w:cs="仿宋"/>
                <w:bCs/>
                <w:color w:val="000000"/>
                <w:kern w:val="0"/>
                <w:sz w:val="24"/>
                <w:szCs w:val="24"/>
              </w:rPr>
            </w:pPr>
          </w:p>
        </w:tc>
        <w:tc>
          <w:tcPr>
            <w:tcW w:w="1272" w:type="pct"/>
            <w:shd w:val="clear" w:color="auto" w:fill="auto"/>
            <w:vAlign w:val="center"/>
          </w:tcPr>
          <w:p>
            <w:pPr>
              <w:autoSpaceDE w:val="0"/>
              <w:autoSpaceDN w:val="0"/>
              <w:adjustRightInd w:val="0"/>
              <w:spacing w:line="360" w:lineRule="auto"/>
              <w:jc w:val="left"/>
              <w:rPr>
                <w:rFonts w:hint="eastAsia" w:ascii="宋体" w:hAnsi="宋体" w:cs="仿宋"/>
                <w:bCs/>
                <w:color w:val="000000"/>
                <w:kern w:val="0"/>
                <w:sz w:val="24"/>
                <w:szCs w:val="24"/>
              </w:rPr>
            </w:pPr>
          </w:p>
        </w:tc>
        <w:tc>
          <w:tcPr>
            <w:tcW w:w="723" w:type="pct"/>
            <w:shd w:val="clear" w:color="auto" w:fill="auto"/>
            <w:vAlign w:val="center"/>
          </w:tcPr>
          <w:p>
            <w:pPr>
              <w:autoSpaceDE w:val="0"/>
              <w:autoSpaceDN w:val="0"/>
              <w:adjustRightInd w:val="0"/>
              <w:spacing w:line="360" w:lineRule="auto"/>
              <w:jc w:val="left"/>
              <w:rPr>
                <w:rFonts w:hint="eastAsia" w:ascii="宋体" w:hAnsi="宋体" w:cs="仿宋"/>
                <w:bCs/>
                <w:color w:val="000000"/>
                <w:kern w:val="0"/>
                <w:sz w:val="24"/>
                <w:szCs w:val="24"/>
              </w:rPr>
            </w:pPr>
          </w:p>
        </w:tc>
      </w:tr>
    </w:tbl>
    <w:p>
      <w:pPr>
        <w:spacing w:line="360" w:lineRule="auto"/>
        <w:rPr>
          <w:rFonts w:hint="eastAsia"/>
          <w:sz w:val="24"/>
          <w:szCs w:val="24"/>
        </w:rPr>
      </w:pPr>
    </w:p>
    <w:p>
      <w:pPr>
        <w:spacing w:line="360" w:lineRule="auto"/>
        <w:ind w:firstLine="480" w:firstLineChars="200"/>
        <w:rPr>
          <w:sz w:val="24"/>
          <w:szCs w:val="24"/>
        </w:rPr>
      </w:pPr>
    </w:p>
    <w:sectPr>
      <w:footerReference r:id="rId4" w:type="default"/>
      <w:pgSz w:w="11906" w:h="16838"/>
      <w:pgMar w:top="1440" w:right="1080" w:bottom="1440" w:left="108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7310" cy="153035"/>
              <wp:effectExtent l="0" t="0" r="0" b="0"/>
              <wp:wrapNone/>
              <wp:docPr id="1" name="文本框 4"/>
              <wp:cNvGraphicFramePr/>
              <a:graphic xmlns:a="http://schemas.openxmlformats.org/drawingml/2006/main">
                <a:graphicData uri="http://schemas.microsoft.com/office/word/2010/wordprocessingShape">
                  <wps:wsp>
                    <wps:cNvSpPr txBox="1">
                      <a:spLocks noChangeArrowheads="1"/>
                    </wps:cNvSpPr>
                    <wps:spPr bwMode="auto">
                      <a:xfrm>
                        <a:off x="0" y="0"/>
                        <a:ext cx="67310" cy="153035"/>
                      </a:xfrm>
                      <a:prstGeom prst="rect">
                        <a:avLst/>
                      </a:prstGeom>
                      <a:noFill/>
                      <a:ln>
                        <a:noFill/>
                      </a:ln>
                      <a:effectLst/>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5</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文本框 4" o:spid="_x0000_s1026" o:spt="202" type="#_x0000_t202" style="position:absolute;left:0pt;margin-top:0pt;height:12.05pt;width:5.3pt;mso-position-horizontal:center;mso-position-horizontal-relative:margin;mso-wrap-style:none;z-index:251659264;mso-width-relative:page;mso-height-relative:page;" filled="f" stroked="f" coordsize="21600,21600" o:gfxdata="UEsDBAoAAAAAAIdO4kAAAAAAAAAAAAAAAAAEAAAAZHJzL1BLAwQUAAAACACHTuJAZ6s1RdAAAAAD&#10;AQAADwAAAGRycy9kb3ducmV2LnhtbE2PwU7DMBBE70j8g7VI3KidCpUqxOmhEhduFITEbRtv4wh7&#10;Hdlumvw9Lhe4rDSa0czbZjd7JyaKaQisoVopEMRdMAP3Gj7eXx62IFJGNugCk4aFEuza25sGaxMu&#10;/EbTIfeilHCqUYPNeaylTJ0lj2kVRuLinUL0mIuMvTQRL6XcO7lWaiM9DlwWLI60t9R9H85ew9P8&#10;GWhMtKev09RFOyxb97pofX9XqWcQmeb8F4YrfkGHtjAdw5lNEk5DeST/3qunNiCOGtaPFci2kf/Z&#10;2x9QSwMEFAAAAAgAh07iQA/cOgsNAgAADwQAAA4AAABkcnMvZTJvRG9jLnhtbK1TS27bMBDdF+gd&#10;CO5r2XGTFoLlII3hokD6AZIegKYoi6jIIYa0JfcA7Q266qb7nsvnyJCS3DTdZNGNMCJn3sx787i4&#10;7EzD9gq9Blvw2WTKmbISSm23Bf98t37xmjMfhC1FA1YV/KA8v1w+f7ZoXa7OoIamVMgIxPq8dQWv&#10;Q3B5lnlZKyP8BJyydFkBGhHoF7dZiaIldNNkZ9PpRdYClg5BKu/pdNVf8gERnwIIVaWlWoHcGWVD&#10;j4qqEYEo+Vo7z5dp2qpSMnysKq8CawpOTEP6UhOKN/GbLRci36JwtZbDCOIpIzziZIS21PQEtRJB&#10;sB3qf6CMlggeqjCRYLKeSFKEWMymj7S5rYVTiQtJ7d1JdP//YOWH/SdkuiQncGaFoYUff3w//vx9&#10;/PWNvYzytM7nlHXrKC90b6CLqZGqdzcgv3hm4boWdquuEKGtlShpvFmszB6U9jg+gmza91BSH7EL&#10;kIC6Ck0EJDUYodNqDqfVqC4wSYcXr+YzupB0MzufT+fnqYHIx1qHPrxVYFgMCo60+IQt9jc+xFlE&#10;PqbEVhbWumnS8hv71wEl9icquWeojkzi8D2N0G26QZkNlAfihNA7i94VBTXgV85aclXBLT0izpp3&#10;llSJBhwDHIPNGAgrqbDggbM+vA69UXcO9bYm3FH3K1JurROtOFg/w6A3+SSxHTwdjfjwP2X9ecfL&#10;e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GerNUXQAAAAAwEAAA8AAAAAAAAAAQAgAAAAIgAAAGRy&#10;cy9kb3ducmV2LnhtbFBLAQIUABQAAAAIAIdO4kAP3DoLDQIAAA8EAAAOAAAAAAAAAAEAIAAAAB8B&#10;AABkcnMvZTJvRG9jLnhtbFBLBQYAAAAABgAGAFkBAACeBQ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5</w:t>
                    </w:r>
                    <w:r>
                      <w:rPr>
                        <w:rFonts w:hint="eastAsia"/>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7310" cy="153035"/>
              <wp:effectExtent l="0" t="0" r="0" b="0"/>
              <wp:wrapNone/>
              <wp:docPr id="2" name="文本框 4"/>
              <wp:cNvGraphicFramePr/>
              <a:graphic xmlns:a="http://schemas.openxmlformats.org/drawingml/2006/main">
                <a:graphicData uri="http://schemas.microsoft.com/office/word/2010/wordprocessingShape">
                  <wps:wsp>
                    <wps:cNvSpPr txBox="1">
                      <a:spLocks noChangeArrowheads="1"/>
                    </wps:cNvSpPr>
                    <wps:spPr bwMode="auto">
                      <a:xfrm>
                        <a:off x="0" y="0"/>
                        <a:ext cx="67310" cy="153035"/>
                      </a:xfrm>
                      <a:prstGeom prst="rect">
                        <a:avLst/>
                      </a:prstGeom>
                      <a:noFill/>
                      <a:ln>
                        <a:noFill/>
                      </a:ln>
                      <a:effectLst/>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5</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文本框 4" o:spid="_x0000_s1026" o:spt="202" type="#_x0000_t202" style="position:absolute;left:0pt;margin-top:0pt;height:12.05pt;width:5.3pt;mso-position-horizontal:center;mso-position-horizontal-relative:margin;mso-wrap-style:none;z-index:251659264;mso-width-relative:page;mso-height-relative:page;" filled="f" stroked="f" coordsize="21600,21600" o:gfxdata="UEsDBAoAAAAAAIdO4kAAAAAAAAAAAAAAAAAEAAAAZHJzL1BLAwQUAAAACACHTuJAZ6s1RdAAAAAD&#10;AQAADwAAAGRycy9kb3ducmV2LnhtbE2PwU7DMBBE70j8g7VI3KidCpUqxOmhEhduFITEbRtv4wh7&#10;Hdlumvw9Lhe4rDSa0czbZjd7JyaKaQisoVopEMRdMAP3Gj7eXx62IFJGNugCk4aFEuza25sGaxMu&#10;/EbTIfeilHCqUYPNeaylTJ0lj2kVRuLinUL0mIuMvTQRL6XcO7lWaiM9DlwWLI60t9R9H85ew9P8&#10;GWhMtKev09RFOyxb97pofX9XqWcQmeb8F4YrfkGHtjAdw5lNEk5DeST/3qunNiCOGtaPFci2kf/Z&#10;2x9QSwMEFAAAAAgAh07iQH/8I00OAgAADwQAAA4AAABkcnMvZTJvRG9jLnhtbK1TzY7TMBC+I/EO&#10;lu80/WEXFDVdLVsVIS0/0sIDuI7TWMQea+w2KQ8Ab8CJC3eeq8/B2EnKslz2wCWa2DPfzPfN5+VV&#10;Zxp2UOg12ILPJlPOlJVQarsr+KePm2cvOfNB2FI0YFXBj8rzq9XTJ8vW5WoONTSlQkYg1uetK3gd&#10;gsuzzMtaGeEn4JSlywrQiEC/uMtKFC2hmyabT6eXWQtYOgSpvKfTdX/JB0R8DCBUlZZqDXJvlA09&#10;KqpGBKLka+08X6Vpq0rJ8L6qvAqsKTgxDelLTSjexm+2Wop8h8LVWg4jiMeM8ICTEdpS0zPUWgTB&#10;9qj/gTJaIniowkSCyXoiSRFiMZs+0OauFk4lLiS1d2fR/f+Dle8OH5DpsuBzzqwwtPDT92+nH79O&#10;P7+y51Ge1vmcsu4c5YXuFXRkmkTVu1uQnz2zcFMLu1PXiNDWSpQ03ixWZvdKexwfQbbtWyipj9gH&#10;SEBdhSZqR2owQqfVHM+rUV1gkg4vXyxmdCHpZnaxmC4uUgORj7UOfXitwLAYFBxp8QlbHG59iLOI&#10;fEyJrSxsdNOk5Tf2rwNK7E9Ucs9QHZnE4Xsaodt2gzJbKI/ECaF3Fr0rCmrAL5y15KqCW3pEnDVv&#10;LKkSDTgGOAbbMRBWUmHBA2d9eBN6o+4d6l1NuKPu16TcRidacbB+hkFv8kliO3g6GvH+f8r6845X&#10;v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nqzVF0AAAAAMBAAAPAAAAAAAAAAEAIAAAACIAAABk&#10;cnMvZG93bnJldi54bWxQSwECFAAUAAAACACHTuJAf/wjTQ4CAAAPBAAADgAAAAAAAAABACAAAAAf&#10;AQAAZHJzL2Uyb0RvYy54bWxQSwUGAAAAAAYABgBZAQAAnwU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5</w:t>
                    </w:r>
                    <w:r>
                      <w:rPr>
                        <w:rFonts w:hint="eastAsia"/>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ABC3FE"/>
    <w:multiLevelType w:val="singleLevel"/>
    <w:tmpl w:val="53ABC3FE"/>
    <w:lvl w:ilvl="0" w:tentative="0">
      <w:start w:val="2"/>
      <w:numFmt w:val="decimal"/>
      <w:suff w:val="nothing"/>
      <w:lvlText w:val="%1."/>
      <w:lvlJc w:val="left"/>
    </w:lvl>
  </w:abstractNum>
  <w:abstractNum w:abstractNumId="1">
    <w:nsid w:val="53ABC9D9"/>
    <w:multiLevelType w:val="singleLevel"/>
    <w:tmpl w:val="53ABC9D9"/>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Q2MjI5ODRhYTdlNTQ1YTFmODFlMGYzYmEyOTE2MGEifQ=="/>
  </w:docVars>
  <w:rsids>
    <w:rsidRoot w:val="00172A27"/>
    <w:rsid w:val="00067504"/>
    <w:rsid w:val="000C05B2"/>
    <w:rsid w:val="000E1872"/>
    <w:rsid w:val="00144268"/>
    <w:rsid w:val="00145E15"/>
    <w:rsid w:val="00172A27"/>
    <w:rsid w:val="001D64A6"/>
    <w:rsid w:val="003D59E3"/>
    <w:rsid w:val="00443A77"/>
    <w:rsid w:val="004D2809"/>
    <w:rsid w:val="00515441"/>
    <w:rsid w:val="0055342D"/>
    <w:rsid w:val="005C0AEE"/>
    <w:rsid w:val="005D5681"/>
    <w:rsid w:val="005E04B1"/>
    <w:rsid w:val="00604657"/>
    <w:rsid w:val="006A5F2B"/>
    <w:rsid w:val="006C5E6F"/>
    <w:rsid w:val="007043F3"/>
    <w:rsid w:val="008B0F84"/>
    <w:rsid w:val="008B7A66"/>
    <w:rsid w:val="008C2298"/>
    <w:rsid w:val="008C2AD2"/>
    <w:rsid w:val="008F372F"/>
    <w:rsid w:val="00903299"/>
    <w:rsid w:val="0095509A"/>
    <w:rsid w:val="00C77272"/>
    <w:rsid w:val="00CA5A92"/>
    <w:rsid w:val="00CA6B40"/>
    <w:rsid w:val="00CB542C"/>
    <w:rsid w:val="00EC47ED"/>
    <w:rsid w:val="00F10C13"/>
    <w:rsid w:val="00F20EBE"/>
    <w:rsid w:val="00F54628"/>
    <w:rsid w:val="00F74CED"/>
    <w:rsid w:val="02316EC1"/>
    <w:rsid w:val="19BB5551"/>
    <w:rsid w:val="1A506392"/>
    <w:rsid w:val="23BF3851"/>
    <w:rsid w:val="25233252"/>
    <w:rsid w:val="2D734562"/>
    <w:rsid w:val="47E01220"/>
    <w:rsid w:val="4A0634BC"/>
    <w:rsid w:val="4B0F13E5"/>
    <w:rsid w:val="4D636E31"/>
    <w:rsid w:val="515E4C34"/>
    <w:rsid w:val="5EFE2EC4"/>
    <w:rsid w:val="633603E0"/>
    <w:rsid w:val="6EF2714B"/>
    <w:rsid w:val="791D6E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4">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table" w:styleId="6">
    <w:name w:val="Table Grid"/>
    <w:basedOn w:val="5"/>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8">
    <w:name w:val="List Paragraph"/>
    <w:basedOn w:val="1"/>
    <w:qFormat/>
    <w:uiPriority w:val="34"/>
    <w:pPr>
      <w:ind w:firstLine="420" w:firstLineChars="200"/>
    </w:pPr>
  </w:style>
  <w:style w:type="paragraph" w:customStyle="1" w:styleId="9">
    <w:name w:val="一级条标题"/>
    <w:next w:val="10"/>
    <w:qFormat/>
    <w:uiPriority w:val="0"/>
    <w:pPr>
      <w:outlineLvl w:val="2"/>
    </w:pPr>
    <w:rPr>
      <w:rFonts w:ascii="Times New Roman" w:hAnsi="Times New Roman" w:eastAsia="黑体" w:cs="Times New Roman"/>
      <w:sz w:val="21"/>
      <w:lang w:val="en-US" w:eastAsia="zh-CN" w:bidi="ar-SA"/>
    </w:rPr>
  </w:style>
  <w:style w:type="paragraph" w:customStyle="1" w:styleId="10">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
    <w:name w:val="二级条标题"/>
    <w:basedOn w:val="9"/>
    <w:next w:val="10"/>
    <w:qFormat/>
    <w:uiPriority w:val="0"/>
    <w:pPr>
      <w:outlineLvl w:val="3"/>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1117</Words>
  <Characters>1406</Characters>
  <Lines>10</Lines>
  <Paragraphs>2</Paragraphs>
  <TotalTime>0</TotalTime>
  <ScaleCrop>false</ScaleCrop>
  <LinksUpToDate>false</LinksUpToDate>
  <CharactersWithSpaces>1433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2014-08-27T03:23:00Z</dcterms:created>
  <dc:creator>Administrator</dc:creator>
  <cp:lastModifiedBy>许建远</cp:lastModifiedBy>
  <cp:lastPrinted>2014-08-16T01:55:00Z</cp:lastPrinted>
  <dcterms:modified xsi:type="dcterms:W3CDTF">2024-08-12T10:44:27Z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33097755B54B46BB926294FA4BF29D70</vt:lpwstr>
  </property>
</Properties>
</file>