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rPr>
          <w:rFonts w:hint="eastAsia" w:ascii="宋体" w:hAnsi="宋体" w:eastAsia="宋体" w:cs="宋体"/>
          <w:b/>
          <w:color w:val="auto"/>
          <w:sz w:val="48"/>
          <w:szCs w:val="48"/>
          <w:lang w:val="en-US" w:eastAsia="zh-CN"/>
        </w:rPr>
      </w:pPr>
      <w:r>
        <w:rPr>
          <w:rFonts w:hint="eastAsia" w:ascii="宋体" w:hAnsi="宋体" w:eastAsia="宋体" w:cs="宋体"/>
          <w:b/>
          <w:color w:val="auto"/>
          <w:sz w:val="48"/>
          <w:szCs w:val="48"/>
          <w:lang w:val="en-US"/>
        </w:rPr>
        <w:drawing>
          <wp:anchor distT="0" distB="0" distL="114300" distR="114300" simplePos="0" relativeHeight="251659264" behindDoc="0" locked="0" layoutInCell="1" allowOverlap="1">
            <wp:simplePos x="0" y="0"/>
            <wp:positionH relativeFrom="column">
              <wp:posOffset>-849630</wp:posOffset>
            </wp:positionH>
            <wp:positionV relativeFrom="paragraph">
              <wp:posOffset>-1081405</wp:posOffset>
            </wp:positionV>
            <wp:extent cx="7668895" cy="2696210"/>
            <wp:effectExtent l="0" t="0" r="12065" b="1270"/>
            <wp:wrapTopAndBottom/>
            <wp:docPr id="6" name="图片 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模板-3"/>
                    <pic:cNvPicPr>
                      <a:picLocks noChangeAspect="1"/>
                    </pic:cNvPicPr>
                  </pic:nvPicPr>
                  <pic:blipFill>
                    <a:blip r:embed="rId5"/>
                    <a:srcRect l="814" t="1485" r="-573"/>
                    <a:stretch>
                      <a:fillRect/>
                    </a:stretch>
                  </pic:blipFill>
                  <pic:spPr>
                    <a:xfrm>
                      <a:off x="0" y="0"/>
                      <a:ext cx="7668895" cy="2696210"/>
                    </a:xfrm>
                    <a:prstGeom prst="rect">
                      <a:avLst/>
                    </a:prstGeom>
                    <a:noFill/>
                    <a:ln>
                      <a:noFill/>
                    </a:ln>
                  </pic:spPr>
                </pic:pic>
              </a:graphicData>
            </a:graphic>
          </wp:anchor>
        </w:drawing>
      </w:r>
    </w:p>
    <w:p>
      <w:pPr>
        <w:topLinePunct/>
        <w:adjustRightInd w:val="0"/>
        <w:spacing w:line="360" w:lineRule="auto"/>
        <w:jc w:val="center"/>
        <w:rPr>
          <w:rFonts w:hint="default" w:ascii="Times New Roman" w:hAnsi="Times New Roman" w:eastAsia="黑体" w:cs="Times New Roman"/>
          <w:b w:val="0"/>
          <w:bCs w:val="0"/>
          <w:color w:val="auto"/>
          <w:sz w:val="48"/>
          <w:szCs w:val="21"/>
          <w:lang w:val="en-US" w:eastAsia="zh-CN"/>
        </w:rPr>
      </w:pPr>
      <w:r>
        <w:rPr>
          <w:rFonts w:hint="eastAsia" w:ascii="Times New Roman" w:hAnsi="Times New Roman" w:eastAsia="黑体" w:cs="Times New Roman"/>
          <w:b w:val="0"/>
          <w:bCs w:val="0"/>
          <w:color w:val="auto"/>
          <w:sz w:val="48"/>
          <w:szCs w:val="21"/>
          <w:lang w:val="en-US" w:eastAsia="zh-CN"/>
        </w:rPr>
        <w:t>云南电网有限责任公司普洱供电局</w:t>
      </w:r>
    </w:p>
    <w:p>
      <w:pPr>
        <w:adjustRightInd w:val="0"/>
        <w:spacing w:line="360" w:lineRule="auto"/>
        <w:jc w:val="center"/>
        <w:rPr>
          <w:rFonts w:hint="eastAsia" w:ascii="Times New Roman" w:hAnsi="Times New Roman" w:eastAsia="黑体" w:cs="Times New Roman"/>
          <w:b w:val="0"/>
          <w:bCs w:val="0"/>
          <w:color w:val="auto"/>
          <w:kern w:val="2"/>
          <w:sz w:val="48"/>
          <w:szCs w:val="21"/>
          <w:lang w:val="en-US" w:eastAsia="zh-CN" w:bidi="ar-SA"/>
        </w:rPr>
      </w:pPr>
      <w:r>
        <w:rPr>
          <w:rFonts w:hint="eastAsia" w:ascii="Times New Roman" w:hAnsi="Times New Roman" w:eastAsia="黑体" w:cs="Times New Roman"/>
          <w:b w:val="0"/>
          <w:bCs w:val="0"/>
          <w:color w:val="auto"/>
          <w:kern w:val="2"/>
          <w:sz w:val="48"/>
          <w:szCs w:val="21"/>
          <w:lang w:val="en-US" w:eastAsia="zh-CN" w:bidi="ar-SA"/>
        </w:rPr>
        <w:t>500kV思茅变网络安全态势感知厂站装置CSA1800B麒麟信安kylin2.3操作系统</w:t>
      </w:r>
    </w:p>
    <w:p>
      <w:pPr>
        <w:adjustRightInd w:val="0"/>
        <w:spacing w:line="360" w:lineRule="auto"/>
        <w:jc w:val="center"/>
        <w:rPr>
          <w:rFonts w:hint="eastAsia" w:ascii="黑体" w:hAnsi="黑体" w:eastAsia="黑体" w:cs="黑体"/>
          <w:b w:val="0"/>
          <w:bCs/>
          <w:color w:val="auto"/>
          <w:sz w:val="48"/>
          <w:szCs w:val="48"/>
          <w:highlight w:val="none"/>
        </w:rPr>
      </w:pPr>
      <w:r>
        <w:rPr>
          <w:rFonts w:hint="eastAsia" w:ascii="Times New Roman" w:hAnsi="Times New Roman" w:eastAsia="黑体" w:cs="Times New Roman"/>
          <w:b w:val="0"/>
          <w:bCs w:val="0"/>
          <w:color w:val="auto"/>
          <w:kern w:val="2"/>
          <w:sz w:val="48"/>
          <w:szCs w:val="21"/>
          <w:lang w:val="en-US" w:eastAsia="zh-CN" w:bidi="ar-SA"/>
        </w:rPr>
        <w:t>技术服务规范书</w:t>
      </w:r>
    </w:p>
    <w:p>
      <w:pPr>
        <w:spacing w:line="360" w:lineRule="auto"/>
        <w:ind w:left="-57" w:right="-57"/>
        <w:jc w:val="center"/>
        <w:rPr>
          <w:rFonts w:hint="eastAsia" w:ascii="宋体" w:hAnsi="宋体" w:eastAsia="宋体" w:cs="宋体"/>
          <w:b/>
          <w:color w:val="auto"/>
          <w:sz w:val="24"/>
          <w:szCs w:val="24"/>
          <w:lang w:val="en-US" w:eastAsia="zh-CN"/>
        </w:rPr>
      </w:pPr>
    </w:p>
    <w:p>
      <w:pPr>
        <w:spacing w:line="360" w:lineRule="auto"/>
        <w:ind w:left="-57" w:right="-57"/>
        <w:jc w:val="center"/>
        <w:rPr>
          <w:rFonts w:hint="eastAsia" w:ascii="宋体" w:hAnsi="宋体" w:eastAsia="宋体" w:cs="宋体"/>
          <w:b/>
          <w:color w:val="auto"/>
          <w:sz w:val="24"/>
          <w:szCs w:val="24"/>
          <w:lang w:val="en-US" w:eastAsia="zh-CN"/>
        </w:rPr>
      </w:pPr>
    </w:p>
    <w:p>
      <w:pPr>
        <w:spacing w:line="360" w:lineRule="auto"/>
        <w:ind w:left="-57" w:right="-57"/>
        <w:jc w:val="center"/>
        <w:rPr>
          <w:rFonts w:hint="eastAsia" w:ascii="宋体" w:hAnsi="宋体" w:eastAsia="宋体" w:cs="宋体"/>
          <w:b/>
          <w:color w:val="auto"/>
          <w:sz w:val="24"/>
          <w:szCs w:val="24"/>
          <w:lang w:val="en-US" w:eastAsia="zh-CN"/>
        </w:rPr>
      </w:pPr>
    </w:p>
    <w:p>
      <w:pPr>
        <w:spacing w:line="360" w:lineRule="auto"/>
        <w:ind w:left="-57" w:right="-57"/>
        <w:jc w:val="center"/>
        <w:rPr>
          <w:rFonts w:hint="eastAsia" w:ascii="宋体" w:hAnsi="宋体" w:eastAsia="宋体" w:cs="宋体"/>
          <w:b/>
          <w:color w:val="auto"/>
          <w:sz w:val="24"/>
          <w:szCs w:val="24"/>
          <w:lang w:val="en-US" w:eastAsia="zh-CN"/>
        </w:rPr>
      </w:pPr>
    </w:p>
    <w:p>
      <w:pPr>
        <w:pStyle w:val="3"/>
        <w:spacing w:line="360" w:lineRule="auto"/>
        <w:jc w:val="center"/>
        <w:rPr>
          <w:rFonts w:hint="eastAsia" w:ascii="宋体" w:hAnsi="宋体" w:eastAsia="宋体" w:cs="宋体"/>
          <w:sz w:val="24"/>
          <w:szCs w:val="24"/>
          <w:lang w:val="en-US" w:eastAsia="zh-CN"/>
        </w:rPr>
      </w:pPr>
    </w:p>
    <w:p>
      <w:pPr>
        <w:spacing w:line="360" w:lineRule="auto"/>
        <w:ind w:left="2940" w:leftChars="0" w:right="-57" w:firstLine="0" w:firstLineChars="0"/>
        <w:jc w:val="both"/>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编号：</w:t>
      </w:r>
    </w:p>
    <w:p>
      <w:pPr>
        <w:pStyle w:val="4"/>
        <w:numPr>
          <w:ilvl w:val="0"/>
          <w:numId w:val="0"/>
        </w:numPr>
        <w:spacing w:line="360" w:lineRule="auto"/>
        <w:jc w:val="center"/>
        <w:outlineLvl w:val="9"/>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adjustRightInd w:val="0"/>
        <w:spacing w:line="360" w:lineRule="auto"/>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云南电网有限责任公司普洱供电局</w:t>
      </w:r>
    </w:p>
    <w:p>
      <w:pPr>
        <w:adjustRightInd w:val="0"/>
        <w:spacing w:line="360" w:lineRule="auto"/>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202</w:t>
      </w:r>
      <w:r>
        <w:rPr>
          <w:rFonts w:hint="eastAsia" w:ascii="宋体" w:hAnsi="宋体" w:cs="宋体"/>
          <w:b/>
          <w:color w:val="auto"/>
          <w:sz w:val="28"/>
          <w:szCs w:val="28"/>
          <w:lang w:val="en-US" w:eastAsia="zh-CN"/>
        </w:rPr>
        <w:t>4</w:t>
      </w:r>
      <w:r>
        <w:rPr>
          <w:rFonts w:hint="eastAsia" w:ascii="宋体" w:hAnsi="宋体" w:eastAsia="宋体" w:cs="宋体"/>
          <w:b/>
          <w:color w:val="auto"/>
          <w:sz w:val="28"/>
          <w:szCs w:val="28"/>
          <w:lang w:val="en-US" w:eastAsia="zh-CN"/>
        </w:rPr>
        <w:t>年</w:t>
      </w:r>
      <w:r>
        <w:rPr>
          <w:rFonts w:hint="eastAsia" w:ascii="宋体" w:hAnsi="宋体" w:cs="宋体"/>
          <w:b/>
          <w:color w:val="auto"/>
          <w:sz w:val="28"/>
          <w:szCs w:val="28"/>
          <w:lang w:val="en-US" w:eastAsia="zh-CN"/>
        </w:rPr>
        <w:t>08</w:t>
      </w:r>
      <w:r>
        <w:rPr>
          <w:rFonts w:hint="eastAsia" w:ascii="宋体" w:hAnsi="宋体" w:eastAsia="宋体" w:cs="宋体"/>
          <w:b/>
          <w:color w:val="auto"/>
          <w:sz w:val="28"/>
          <w:szCs w:val="28"/>
          <w:lang w:val="en-US" w:eastAsia="zh-CN"/>
        </w:rPr>
        <w:t>月</w:t>
      </w:r>
    </w:p>
    <w:p>
      <w:pPr>
        <w:spacing w:line="360" w:lineRule="auto"/>
        <w:jc w:val="center"/>
        <w:rPr>
          <w:rFonts w:hint="eastAsia" w:ascii="宋体" w:hAnsi="宋体" w:eastAsia="宋体" w:cs="宋体"/>
          <w:sz w:val="24"/>
          <w:szCs w:val="24"/>
        </w:rPr>
      </w:pPr>
      <w:r>
        <w:rPr>
          <w:rFonts w:hint="eastAsia" w:ascii="宋体" w:hAnsi="宋体" w:eastAsia="宋体" w:cs="宋体"/>
          <w:b/>
          <w:color w:val="auto"/>
          <w:spacing w:val="20"/>
          <w:w w:val="135"/>
          <w:kern w:val="0"/>
          <w:sz w:val="24"/>
          <w:szCs w:val="24"/>
          <w:lang w:val="en-US" w:eastAsia="zh-CN"/>
        </w:rPr>
        <w:br w:type="page"/>
      </w:r>
    </w:p>
    <w:sdt>
      <w:sdtPr>
        <w:rPr>
          <w:rFonts w:ascii="宋体" w:hAnsi="宋体" w:eastAsia="宋体" w:cs="Times New Roman"/>
          <w:b/>
          <w:bCs/>
          <w:kern w:val="2"/>
          <w:sz w:val="32"/>
          <w:szCs w:val="40"/>
          <w:lang w:val="en-US" w:eastAsia="zh-CN" w:bidi="ar-SA"/>
        </w:rPr>
        <w:id w:val="147475909"/>
        <w15:color w:val="DBDBDB"/>
        <w:docPartObj>
          <w:docPartGallery w:val="Table of Contents"/>
          <w:docPartUnique/>
        </w:docPartObj>
      </w:sdtPr>
      <w:sdtEndPr>
        <w:rPr>
          <w:rFonts w:ascii="宋体" w:hAnsi="宋体" w:eastAsia="宋体" w:cs="Times New Roman"/>
          <w:b/>
          <w:bCs/>
          <w:kern w:val="2"/>
          <w:sz w:val="32"/>
          <w:szCs w:val="40"/>
          <w:lang w:val="en-US" w:eastAsia="zh-CN" w:bidi="ar-SA"/>
        </w:rPr>
      </w:sdtEndPr>
      <w:sdtContent>
        <w:p>
          <w:pPr>
            <w:spacing w:before="0" w:beforeLines="0" w:after="0" w:afterLines="0" w:line="240" w:lineRule="auto"/>
            <w:ind w:left="0" w:leftChars="0" w:right="0" w:rightChars="0" w:firstLine="0" w:firstLineChars="0"/>
            <w:jc w:val="center"/>
            <w:rPr>
              <w:b/>
              <w:bCs/>
              <w:sz w:val="32"/>
              <w:szCs w:val="40"/>
            </w:rPr>
          </w:pPr>
          <w:bookmarkStart w:id="0" w:name="_Toc22934_WPSOffice_Level1"/>
          <w:bookmarkStart w:id="1" w:name="_Toc13536_WPSOffice_Level1"/>
          <w:r>
            <w:rPr>
              <w:rFonts w:ascii="宋体" w:hAnsi="宋体" w:eastAsia="宋体"/>
              <w:b/>
              <w:bCs/>
              <w:sz w:val="32"/>
              <w:szCs w:val="40"/>
            </w:rPr>
            <w:t>目</w:t>
          </w:r>
          <w:r>
            <w:rPr>
              <w:rFonts w:hint="eastAsia" w:ascii="宋体" w:hAnsi="宋体"/>
              <w:b/>
              <w:bCs/>
              <w:sz w:val="32"/>
              <w:szCs w:val="40"/>
              <w:lang w:val="en-US" w:eastAsia="zh-CN"/>
            </w:rPr>
            <w:t xml:space="preserve"> </w:t>
          </w:r>
          <w:r>
            <w:rPr>
              <w:rFonts w:ascii="宋体" w:hAnsi="宋体" w:eastAsia="宋体"/>
              <w:b/>
              <w:bCs/>
              <w:sz w:val="32"/>
              <w:szCs w:val="40"/>
            </w:rPr>
            <w:t>录</w:t>
          </w:r>
        </w:p>
        <w:p>
          <w:pPr>
            <w:pStyle w:val="9"/>
            <w:tabs>
              <w:tab w:val="right" w:leader="dot" w:pos="9746"/>
            </w:tabs>
            <w:rPr>
              <w:sz w:val="28"/>
              <w:szCs w:val="36"/>
            </w:rPr>
          </w:pPr>
          <w:r>
            <w:rPr>
              <w:sz w:val="52"/>
              <w:szCs w:val="72"/>
            </w:rPr>
            <w:fldChar w:fldCharType="begin"/>
          </w:r>
          <w:r>
            <w:rPr>
              <w:sz w:val="52"/>
              <w:szCs w:val="72"/>
            </w:rPr>
            <w:instrText xml:space="preserve">TOC \o "1-2" \h \u </w:instrText>
          </w:r>
          <w:r>
            <w:rPr>
              <w:sz w:val="52"/>
              <w:szCs w:val="72"/>
            </w:rPr>
            <w:fldChar w:fldCharType="separate"/>
          </w:r>
          <w:r>
            <w:rPr>
              <w:sz w:val="28"/>
              <w:szCs w:val="72"/>
            </w:rPr>
            <w:fldChar w:fldCharType="begin"/>
          </w:r>
          <w:r>
            <w:rPr>
              <w:sz w:val="28"/>
              <w:szCs w:val="72"/>
            </w:rPr>
            <w:instrText xml:space="preserve"> HYPERLINK \l _Toc3838 </w:instrText>
          </w:r>
          <w:r>
            <w:rPr>
              <w:sz w:val="28"/>
              <w:szCs w:val="72"/>
            </w:rPr>
            <w:fldChar w:fldCharType="separate"/>
          </w:r>
          <w:r>
            <w:rPr>
              <w:rFonts w:hint="eastAsia" w:ascii="宋体" w:hAnsi="宋体" w:eastAsia="宋体" w:cs="宋体"/>
              <w:bCs/>
              <w:sz w:val="28"/>
              <w:szCs w:val="40"/>
              <w:lang w:val="en-US" w:eastAsia="zh-CN"/>
            </w:rPr>
            <w:t>一、</w:t>
          </w:r>
          <w:r>
            <w:rPr>
              <w:rFonts w:hint="eastAsia" w:ascii="宋体" w:hAnsi="宋体" w:eastAsia="宋体" w:cs="宋体"/>
              <w:bCs/>
              <w:sz w:val="28"/>
              <w:szCs w:val="40"/>
            </w:rPr>
            <w:t>总则</w:t>
          </w:r>
          <w:r>
            <w:rPr>
              <w:sz w:val="28"/>
              <w:szCs w:val="36"/>
            </w:rPr>
            <w:tab/>
          </w:r>
          <w:r>
            <w:rPr>
              <w:sz w:val="28"/>
              <w:szCs w:val="36"/>
            </w:rPr>
            <w:fldChar w:fldCharType="begin"/>
          </w:r>
          <w:r>
            <w:rPr>
              <w:sz w:val="28"/>
              <w:szCs w:val="36"/>
            </w:rPr>
            <w:instrText xml:space="preserve"> PAGEREF _Toc3838 \h </w:instrText>
          </w:r>
          <w:r>
            <w:rPr>
              <w:sz w:val="28"/>
              <w:szCs w:val="36"/>
            </w:rPr>
            <w:fldChar w:fldCharType="separate"/>
          </w:r>
          <w:r>
            <w:rPr>
              <w:sz w:val="28"/>
              <w:szCs w:val="36"/>
            </w:rPr>
            <w:t>3</w:t>
          </w:r>
          <w:r>
            <w:rPr>
              <w:sz w:val="28"/>
              <w:szCs w:val="36"/>
            </w:rPr>
            <w:fldChar w:fldCharType="end"/>
          </w:r>
          <w:r>
            <w:rPr>
              <w:sz w:val="28"/>
              <w:szCs w:val="72"/>
            </w:rPr>
            <w:fldChar w:fldCharType="end"/>
          </w:r>
        </w:p>
        <w:p>
          <w:pPr>
            <w:pStyle w:val="9"/>
            <w:tabs>
              <w:tab w:val="right" w:leader="dot" w:pos="9746"/>
            </w:tabs>
            <w:rPr>
              <w:sz w:val="28"/>
              <w:szCs w:val="36"/>
            </w:rPr>
          </w:pPr>
          <w:r>
            <w:rPr>
              <w:sz w:val="28"/>
              <w:szCs w:val="72"/>
            </w:rPr>
            <w:fldChar w:fldCharType="begin"/>
          </w:r>
          <w:r>
            <w:rPr>
              <w:sz w:val="28"/>
              <w:szCs w:val="72"/>
            </w:rPr>
            <w:instrText xml:space="preserve"> HYPERLINK \l _Toc31435 </w:instrText>
          </w:r>
          <w:r>
            <w:rPr>
              <w:sz w:val="28"/>
              <w:szCs w:val="72"/>
            </w:rPr>
            <w:fldChar w:fldCharType="separate"/>
          </w:r>
          <w:r>
            <w:rPr>
              <w:rFonts w:hint="eastAsia" w:ascii="宋体" w:hAnsi="宋体" w:eastAsia="宋体" w:cs="宋体"/>
              <w:bCs/>
              <w:sz w:val="28"/>
              <w:szCs w:val="40"/>
              <w:highlight w:val="none"/>
              <w:lang w:val="en-US" w:eastAsia="zh-CN"/>
            </w:rPr>
            <w:t>二、项目概况</w:t>
          </w:r>
          <w:r>
            <w:rPr>
              <w:sz w:val="28"/>
              <w:szCs w:val="36"/>
            </w:rPr>
            <w:tab/>
          </w:r>
          <w:r>
            <w:rPr>
              <w:sz w:val="28"/>
              <w:szCs w:val="36"/>
            </w:rPr>
            <w:fldChar w:fldCharType="begin"/>
          </w:r>
          <w:r>
            <w:rPr>
              <w:sz w:val="28"/>
              <w:szCs w:val="36"/>
            </w:rPr>
            <w:instrText xml:space="preserve"> PAGEREF _Toc31435 \h </w:instrText>
          </w:r>
          <w:r>
            <w:rPr>
              <w:sz w:val="28"/>
              <w:szCs w:val="36"/>
            </w:rPr>
            <w:fldChar w:fldCharType="separate"/>
          </w:r>
          <w:r>
            <w:rPr>
              <w:sz w:val="28"/>
              <w:szCs w:val="36"/>
            </w:rPr>
            <w:t>3</w:t>
          </w:r>
          <w:r>
            <w:rPr>
              <w:sz w:val="28"/>
              <w:szCs w:val="36"/>
            </w:rPr>
            <w:fldChar w:fldCharType="end"/>
          </w:r>
          <w:r>
            <w:rPr>
              <w:sz w:val="28"/>
              <w:szCs w:val="72"/>
            </w:rPr>
            <w:fldChar w:fldCharType="end"/>
          </w:r>
        </w:p>
        <w:p>
          <w:pPr>
            <w:pStyle w:val="9"/>
            <w:tabs>
              <w:tab w:val="right" w:leader="dot" w:pos="9746"/>
            </w:tabs>
            <w:rPr>
              <w:sz w:val="28"/>
              <w:szCs w:val="36"/>
            </w:rPr>
          </w:pPr>
          <w:r>
            <w:rPr>
              <w:sz w:val="28"/>
              <w:szCs w:val="72"/>
            </w:rPr>
            <w:fldChar w:fldCharType="begin"/>
          </w:r>
          <w:r>
            <w:rPr>
              <w:sz w:val="28"/>
              <w:szCs w:val="72"/>
            </w:rPr>
            <w:instrText xml:space="preserve"> HYPERLINK \l _Toc10851 </w:instrText>
          </w:r>
          <w:r>
            <w:rPr>
              <w:sz w:val="28"/>
              <w:szCs w:val="72"/>
            </w:rPr>
            <w:fldChar w:fldCharType="separate"/>
          </w:r>
          <w:r>
            <w:rPr>
              <w:rFonts w:hint="eastAsia" w:ascii="宋体" w:hAnsi="宋体" w:eastAsia="宋体" w:cs="宋体"/>
              <w:bCs/>
              <w:sz w:val="28"/>
              <w:szCs w:val="40"/>
              <w:highlight w:val="none"/>
              <w:lang w:val="en-US" w:eastAsia="zh-CN"/>
            </w:rPr>
            <w:t>三、技术要求</w:t>
          </w:r>
          <w:r>
            <w:rPr>
              <w:sz w:val="28"/>
              <w:szCs w:val="36"/>
            </w:rPr>
            <w:tab/>
          </w:r>
          <w:r>
            <w:rPr>
              <w:sz w:val="28"/>
              <w:szCs w:val="36"/>
            </w:rPr>
            <w:fldChar w:fldCharType="begin"/>
          </w:r>
          <w:r>
            <w:rPr>
              <w:sz w:val="28"/>
              <w:szCs w:val="36"/>
            </w:rPr>
            <w:instrText xml:space="preserve"> PAGEREF _Toc10851 \h </w:instrText>
          </w:r>
          <w:r>
            <w:rPr>
              <w:sz w:val="28"/>
              <w:szCs w:val="36"/>
            </w:rPr>
            <w:fldChar w:fldCharType="separate"/>
          </w:r>
          <w:r>
            <w:rPr>
              <w:sz w:val="28"/>
              <w:szCs w:val="36"/>
            </w:rPr>
            <w:t>4</w:t>
          </w:r>
          <w:r>
            <w:rPr>
              <w:sz w:val="28"/>
              <w:szCs w:val="36"/>
            </w:rPr>
            <w:fldChar w:fldCharType="end"/>
          </w:r>
          <w:r>
            <w:rPr>
              <w:sz w:val="28"/>
              <w:szCs w:val="72"/>
            </w:rPr>
            <w:fldChar w:fldCharType="end"/>
          </w:r>
        </w:p>
        <w:p>
          <w:pPr>
            <w:pStyle w:val="9"/>
            <w:tabs>
              <w:tab w:val="right" w:leader="dot" w:pos="9746"/>
            </w:tabs>
            <w:rPr>
              <w:sz w:val="28"/>
              <w:szCs w:val="36"/>
            </w:rPr>
          </w:pPr>
          <w:r>
            <w:rPr>
              <w:sz w:val="28"/>
              <w:szCs w:val="72"/>
            </w:rPr>
            <w:fldChar w:fldCharType="begin"/>
          </w:r>
          <w:r>
            <w:rPr>
              <w:sz w:val="28"/>
              <w:szCs w:val="72"/>
            </w:rPr>
            <w:instrText xml:space="preserve"> HYPERLINK \l _Toc8335 </w:instrText>
          </w:r>
          <w:r>
            <w:rPr>
              <w:sz w:val="28"/>
              <w:szCs w:val="72"/>
            </w:rPr>
            <w:fldChar w:fldCharType="separate"/>
          </w:r>
          <w:r>
            <w:rPr>
              <w:rFonts w:hint="eastAsia" w:ascii="宋体" w:hAnsi="宋体" w:eastAsia="宋体" w:cs="宋体"/>
              <w:bCs/>
              <w:sz w:val="28"/>
              <w:szCs w:val="40"/>
              <w:highlight w:val="none"/>
              <w:lang w:val="en-US" w:eastAsia="zh-CN"/>
            </w:rPr>
            <w:t>四、供应方资质要求</w:t>
          </w:r>
          <w:r>
            <w:rPr>
              <w:sz w:val="28"/>
              <w:szCs w:val="36"/>
            </w:rPr>
            <w:tab/>
          </w:r>
          <w:r>
            <w:rPr>
              <w:sz w:val="28"/>
              <w:szCs w:val="36"/>
            </w:rPr>
            <w:fldChar w:fldCharType="begin"/>
          </w:r>
          <w:r>
            <w:rPr>
              <w:sz w:val="28"/>
              <w:szCs w:val="36"/>
            </w:rPr>
            <w:instrText xml:space="preserve"> PAGEREF _Toc8335 \h </w:instrText>
          </w:r>
          <w:r>
            <w:rPr>
              <w:sz w:val="28"/>
              <w:szCs w:val="36"/>
            </w:rPr>
            <w:fldChar w:fldCharType="separate"/>
          </w:r>
          <w:r>
            <w:rPr>
              <w:sz w:val="28"/>
              <w:szCs w:val="36"/>
            </w:rPr>
            <w:t>4</w:t>
          </w:r>
          <w:r>
            <w:rPr>
              <w:sz w:val="28"/>
              <w:szCs w:val="36"/>
            </w:rPr>
            <w:fldChar w:fldCharType="end"/>
          </w:r>
          <w:r>
            <w:rPr>
              <w:sz w:val="28"/>
              <w:szCs w:val="72"/>
            </w:rPr>
            <w:fldChar w:fldCharType="end"/>
          </w:r>
        </w:p>
        <w:p>
          <w:pPr>
            <w:pStyle w:val="9"/>
            <w:tabs>
              <w:tab w:val="right" w:leader="dot" w:pos="9746"/>
            </w:tabs>
            <w:rPr>
              <w:sz w:val="28"/>
              <w:szCs w:val="36"/>
            </w:rPr>
          </w:pPr>
          <w:r>
            <w:rPr>
              <w:sz w:val="28"/>
              <w:szCs w:val="72"/>
            </w:rPr>
            <w:fldChar w:fldCharType="begin"/>
          </w:r>
          <w:r>
            <w:rPr>
              <w:sz w:val="28"/>
              <w:szCs w:val="72"/>
            </w:rPr>
            <w:instrText xml:space="preserve"> HYPERLINK \l _Toc21858 </w:instrText>
          </w:r>
          <w:r>
            <w:rPr>
              <w:sz w:val="28"/>
              <w:szCs w:val="72"/>
            </w:rPr>
            <w:fldChar w:fldCharType="separate"/>
          </w:r>
          <w:r>
            <w:rPr>
              <w:rFonts w:hint="eastAsia" w:ascii="宋体" w:hAnsi="宋体" w:eastAsia="宋体" w:cs="宋体"/>
              <w:bCs/>
              <w:sz w:val="28"/>
              <w:szCs w:val="40"/>
              <w:highlight w:val="none"/>
              <w:lang w:val="en-US" w:eastAsia="zh-CN"/>
            </w:rPr>
            <w:t>五、供应方报价要求</w:t>
          </w:r>
          <w:r>
            <w:rPr>
              <w:sz w:val="28"/>
              <w:szCs w:val="36"/>
            </w:rPr>
            <w:tab/>
          </w:r>
          <w:r>
            <w:rPr>
              <w:sz w:val="28"/>
              <w:szCs w:val="36"/>
            </w:rPr>
            <w:fldChar w:fldCharType="begin"/>
          </w:r>
          <w:r>
            <w:rPr>
              <w:sz w:val="28"/>
              <w:szCs w:val="36"/>
            </w:rPr>
            <w:instrText xml:space="preserve"> PAGEREF _Toc21858 \h </w:instrText>
          </w:r>
          <w:r>
            <w:rPr>
              <w:sz w:val="28"/>
              <w:szCs w:val="36"/>
            </w:rPr>
            <w:fldChar w:fldCharType="separate"/>
          </w:r>
          <w:r>
            <w:rPr>
              <w:sz w:val="28"/>
              <w:szCs w:val="36"/>
            </w:rPr>
            <w:t>4</w:t>
          </w:r>
          <w:r>
            <w:rPr>
              <w:sz w:val="28"/>
              <w:szCs w:val="36"/>
            </w:rPr>
            <w:fldChar w:fldCharType="end"/>
          </w:r>
          <w:r>
            <w:rPr>
              <w:sz w:val="28"/>
              <w:szCs w:val="72"/>
            </w:rPr>
            <w:fldChar w:fldCharType="end"/>
          </w:r>
        </w:p>
        <w:p>
          <w:pPr>
            <w:pStyle w:val="9"/>
            <w:tabs>
              <w:tab w:val="right" w:leader="dot" w:pos="9746"/>
            </w:tabs>
            <w:rPr>
              <w:sz w:val="28"/>
              <w:szCs w:val="36"/>
            </w:rPr>
          </w:pPr>
          <w:r>
            <w:rPr>
              <w:sz w:val="28"/>
              <w:szCs w:val="72"/>
            </w:rPr>
            <w:fldChar w:fldCharType="begin"/>
          </w:r>
          <w:r>
            <w:rPr>
              <w:sz w:val="28"/>
              <w:szCs w:val="72"/>
            </w:rPr>
            <w:instrText xml:space="preserve"> HYPERLINK \l _Toc15963 </w:instrText>
          </w:r>
          <w:r>
            <w:rPr>
              <w:sz w:val="28"/>
              <w:szCs w:val="72"/>
            </w:rPr>
            <w:fldChar w:fldCharType="separate"/>
          </w:r>
          <w:r>
            <w:rPr>
              <w:rFonts w:hint="eastAsia" w:ascii="宋体" w:hAnsi="宋体" w:eastAsia="宋体" w:cs="宋体"/>
              <w:bCs/>
              <w:sz w:val="28"/>
              <w:szCs w:val="40"/>
              <w:highlight w:val="none"/>
              <w:lang w:val="en-US" w:eastAsia="zh-CN"/>
            </w:rPr>
            <w:t>六、投标技术偏差</w:t>
          </w:r>
          <w:r>
            <w:rPr>
              <w:sz w:val="28"/>
              <w:szCs w:val="36"/>
            </w:rPr>
            <w:tab/>
          </w:r>
          <w:r>
            <w:rPr>
              <w:sz w:val="28"/>
              <w:szCs w:val="36"/>
            </w:rPr>
            <w:fldChar w:fldCharType="begin"/>
          </w:r>
          <w:r>
            <w:rPr>
              <w:sz w:val="28"/>
              <w:szCs w:val="36"/>
            </w:rPr>
            <w:instrText xml:space="preserve"> PAGEREF _Toc15963 \h </w:instrText>
          </w:r>
          <w:r>
            <w:rPr>
              <w:sz w:val="28"/>
              <w:szCs w:val="36"/>
            </w:rPr>
            <w:fldChar w:fldCharType="separate"/>
          </w:r>
          <w:r>
            <w:rPr>
              <w:sz w:val="28"/>
              <w:szCs w:val="36"/>
            </w:rPr>
            <w:t>5</w:t>
          </w:r>
          <w:r>
            <w:rPr>
              <w:sz w:val="28"/>
              <w:szCs w:val="36"/>
            </w:rPr>
            <w:fldChar w:fldCharType="end"/>
          </w:r>
          <w:r>
            <w:rPr>
              <w:sz w:val="28"/>
              <w:szCs w:val="72"/>
            </w:rPr>
            <w:fldChar w:fldCharType="end"/>
          </w:r>
        </w:p>
        <w:p>
          <w:pPr>
            <w:spacing w:line="360" w:lineRule="auto"/>
          </w:pPr>
          <w:r>
            <w:rPr>
              <w:sz w:val="28"/>
              <w:szCs w:val="72"/>
            </w:rPr>
            <w:fldChar w:fldCharType="end"/>
          </w:r>
        </w:p>
      </w:sdtContent>
    </w:sdt>
    <w:p>
      <w:r>
        <w:rPr>
          <w:b/>
        </w:rPr>
        <w:br w:type="page"/>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宋体" w:hAnsi="宋体" w:eastAsia="宋体" w:cs="宋体"/>
          <w:b/>
          <w:bCs/>
          <w:sz w:val="28"/>
          <w:szCs w:val="28"/>
        </w:rPr>
      </w:pPr>
      <w:bookmarkStart w:id="2" w:name="_Toc3838"/>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总则</w:t>
      </w:r>
      <w:bookmarkEnd w:id="0"/>
      <w:bookmarkEnd w:id="1"/>
      <w:bookmarkEnd w:id="2"/>
    </w:p>
    <w:p>
      <w:pPr>
        <w:adjustRightInd w:val="0"/>
        <w:snapToGrid w:val="0"/>
        <w:spacing w:line="360" w:lineRule="auto"/>
        <w:ind w:firstLine="480" w:firstLineChars="200"/>
        <w:jc w:val="both"/>
        <w:rPr>
          <w:rFonts w:hint="eastAsia" w:asciiTheme="minorEastAsia" w:hAnsiTheme="minorEastAsia"/>
          <w:color w:val="000000"/>
          <w:sz w:val="24"/>
          <w:szCs w:val="24"/>
        </w:rPr>
      </w:pPr>
      <w:r>
        <w:rPr>
          <w:rFonts w:hint="eastAsia" w:asciiTheme="minorEastAsia" w:hAnsiTheme="minorEastAsia"/>
          <w:color w:val="000000"/>
          <w:sz w:val="24"/>
          <w:szCs w:val="24"/>
        </w:rPr>
        <w:t>1</w:t>
      </w:r>
      <w:r>
        <w:rPr>
          <w:rFonts w:hint="eastAsia" w:asciiTheme="minorEastAsia" w:hAnsiTheme="minorEastAsia"/>
          <w:color w:val="000000"/>
          <w:sz w:val="24"/>
          <w:szCs w:val="24"/>
          <w:lang w:eastAsia="zh-CN"/>
        </w:rPr>
        <w:t>.</w:t>
      </w:r>
      <w:r>
        <w:rPr>
          <w:rFonts w:hint="eastAsia" w:asciiTheme="minorEastAsia" w:hAnsiTheme="minorEastAsia"/>
          <w:color w:val="000000"/>
          <w:sz w:val="24"/>
          <w:szCs w:val="24"/>
        </w:rPr>
        <w:t>本技术规范书适用</w:t>
      </w:r>
      <w:r>
        <w:rPr>
          <w:rFonts w:hint="eastAsia" w:asciiTheme="minorEastAsia" w:hAnsiTheme="minorEastAsia"/>
          <w:color w:val="000000"/>
          <w:sz w:val="24"/>
          <w:szCs w:val="24"/>
          <w:u w:val="none"/>
        </w:rPr>
        <w:t>于</w:t>
      </w:r>
      <w:r>
        <w:rPr>
          <w:rFonts w:hint="eastAsia" w:asciiTheme="minorEastAsia" w:hAnsiTheme="minorEastAsia"/>
          <w:color w:val="000000"/>
          <w:sz w:val="24"/>
          <w:szCs w:val="24"/>
          <w:u w:val="single"/>
          <w:lang w:val="en-US" w:eastAsia="zh-CN"/>
        </w:rPr>
        <w:t xml:space="preserve"> 500kV思茅变网络安全态势感知厂站装置CSA1800B麒麟信安kylin2.3操作系统技术服务 </w:t>
      </w:r>
      <w:r>
        <w:rPr>
          <w:rFonts w:hint="eastAsia" w:asciiTheme="minorEastAsia" w:hAnsiTheme="minorEastAsia"/>
          <w:color w:val="000000"/>
          <w:sz w:val="24"/>
          <w:szCs w:val="24"/>
        </w:rPr>
        <w:t>，</w:t>
      </w:r>
      <w:r>
        <w:rPr>
          <w:rFonts w:hint="eastAsia" w:asciiTheme="minorEastAsia" w:hAnsiTheme="minorEastAsia"/>
          <w:color w:val="000000"/>
          <w:sz w:val="24"/>
          <w:szCs w:val="24"/>
          <w:lang w:val="en-US" w:eastAsia="zh-CN"/>
        </w:rPr>
        <w:t>技术服务方式为</w:t>
      </w:r>
      <w:r>
        <w:rPr>
          <w:rFonts w:hint="eastAsia" w:asciiTheme="minorEastAsia" w:hAnsiTheme="minorEastAsia"/>
          <w:color w:val="000000"/>
          <w:sz w:val="24"/>
          <w:szCs w:val="24"/>
          <w:u w:val="single"/>
          <w:lang w:val="en-US" w:eastAsia="zh-CN"/>
        </w:rPr>
        <w:t xml:space="preserve"> 到站服务 </w:t>
      </w:r>
      <w:r>
        <w:rPr>
          <w:rFonts w:hint="eastAsia" w:asciiTheme="minorEastAsia" w:hAnsiTheme="minorEastAsia"/>
          <w:color w:val="000000"/>
          <w:sz w:val="24"/>
          <w:szCs w:val="24"/>
        </w:rPr>
        <w:t>，</w:t>
      </w:r>
      <w:r>
        <w:rPr>
          <w:rFonts w:hint="eastAsia" w:asciiTheme="minorEastAsia" w:hAnsiTheme="minorEastAsia"/>
          <w:color w:val="000000"/>
          <w:sz w:val="24"/>
          <w:szCs w:val="24"/>
          <w:lang w:val="en-US" w:eastAsia="zh-CN"/>
        </w:rPr>
        <w:t>服务内容完成后需经变电修试所管控人员根据技术规范验收合格后方能离场</w:t>
      </w:r>
      <w:r>
        <w:rPr>
          <w:rFonts w:hint="eastAsia" w:asciiTheme="minorEastAsia" w:hAnsiTheme="minorEastAsia"/>
          <w:color w:val="000000"/>
          <w:sz w:val="24"/>
          <w:szCs w:val="24"/>
          <w:lang w:eastAsia="zh-CN"/>
        </w:rPr>
        <w:t>，</w:t>
      </w:r>
      <w:r>
        <w:rPr>
          <w:rFonts w:hint="eastAsia" w:asciiTheme="minorEastAsia" w:hAnsiTheme="minorEastAsia"/>
          <w:color w:val="000000"/>
          <w:sz w:val="24"/>
          <w:szCs w:val="24"/>
          <w:lang w:val="en-US" w:eastAsia="zh-CN"/>
        </w:rPr>
        <w:t>具体</w:t>
      </w:r>
      <w:r>
        <w:rPr>
          <w:rFonts w:hint="eastAsia" w:asciiTheme="minorEastAsia" w:hAnsiTheme="minorEastAsia"/>
          <w:color w:val="000000"/>
          <w:sz w:val="24"/>
          <w:szCs w:val="24"/>
        </w:rPr>
        <w:t>技术要求详见后续参数列表。本项目的采购方(采购方)是</w:t>
      </w:r>
      <w:r>
        <w:rPr>
          <w:rFonts w:hint="eastAsia" w:asciiTheme="minorEastAsia" w:hAnsiTheme="minorEastAsia"/>
          <w:color w:val="000000"/>
          <w:sz w:val="24"/>
          <w:szCs w:val="24"/>
          <w:u w:val="single"/>
        </w:rPr>
        <w:t xml:space="preserve"> 普洱供电局 </w:t>
      </w:r>
      <w:r>
        <w:rPr>
          <w:rFonts w:hint="eastAsia" w:asciiTheme="minorEastAsia" w:hAnsiTheme="minorEastAsia"/>
          <w:color w:val="000000"/>
          <w:sz w:val="24"/>
          <w:szCs w:val="24"/>
        </w:rPr>
        <w:t>（以下简称采购方）。</w:t>
      </w:r>
    </w:p>
    <w:p>
      <w:pPr>
        <w:adjustRightInd w:val="0"/>
        <w:snapToGrid w:val="0"/>
        <w:spacing w:line="360" w:lineRule="auto"/>
        <w:ind w:firstLine="480" w:firstLineChars="200"/>
        <w:jc w:val="left"/>
        <w:rPr>
          <w:rFonts w:hint="eastAsia" w:asciiTheme="minorEastAsia" w:hAnsiTheme="minorEastAsia"/>
          <w:color w:val="000000"/>
          <w:sz w:val="24"/>
          <w:szCs w:val="24"/>
        </w:rPr>
      </w:pPr>
      <w:r>
        <w:rPr>
          <w:rFonts w:hint="eastAsia" w:asciiTheme="minorEastAsia" w:hAnsiTheme="minorEastAsia"/>
          <w:color w:val="000000"/>
          <w:sz w:val="24"/>
          <w:szCs w:val="24"/>
        </w:rPr>
        <w:t>2</w:t>
      </w:r>
      <w:r>
        <w:rPr>
          <w:rFonts w:hint="eastAsia" w:asciiTheme="minorEastAsia" w:hAnsiTheme="minorEastAsia"/>
          <w:color w:val="000000"/>
          <w:sz w:val="24"/>
          <w:szCs w:val="24"/>
          <w:lang w:val="en-US" w:eastAsia="zh-CN"/>
        </w:rPr>
        <w:t>.</w:t>
      </w:r>
      <w:r>
        <w:rPr>
          <w:rFonts w:hint="eastAsia" w:asciiTheme="minorEastAsia" w:hAnsiTheme="minorEastAsia"/>
          <w:color w:val="000000"/>
          <w:sz w:val="24"/>
          <w:szCs w:val="24"/>
        </w:rPr>
        <w:t>本技术规范书提出的是最基本的技术要求，并未对所有技术细节作出规定,也未充分引述有关标准和规范的条文，谈判方应满足本技术标书的要求，未涉及部分应不低于现行国家、行业、南方电网公司、云南电网有限责任公司的有关标准及要求。本技术协议文件所使用的标准如遇与供方所执行的标准不一致时，按较高标准执行。</w:t>
      </w:r>
    </w:p>
    <w:p>
      <w:pPr>
        <w:adjustRightInd w:val="0"/>
        <w:snapToGrid w:val="0"/>
        <w:spacing w:line="360" w:lineRule="auto"/>
        <w:ind w:firstLine="480" w:firstLineChars="200"/>
        <w:jc w:val="left"/>
        <w:rPr>
          <w:rFonts w:hint="eastAsia" w:asciiTheme="minorEastAsia" w:hAnsiTheme="minorEastAsia"/>
          <w:color w:val="000000"/>
          <w:sz w:val="24"/>
          <w:szCs w:val="24"/>
        </w:rPr>
      </w:pPr>
      <w:r>
        <w:rPr>
          <w:rFonts w:hint="eastAsia" w:asciiTheme="minorEastAsia" w:hAnsiTheme="minorEastAsia"/>
          <w:color w:val="000000"/>
          <w:sz w:val="24"/>
          <w:szCs w:val="24"/>
        </w:rPr>
        <w:t>3</w:t>
      </w:r>
      <w:r>
        <w:rPr>
          <w:rFonts w:hint="eastAsia" w:asciiTheme="minorEastAsia" w:hAnsiTheme="minorEastAsia"/>
          <w:color w:val="000000"/>
          <w:sz w:val="24"/>
          <w:szCs w:val="24"/>
          <w:lang w:val="en-US" w:eastAsia="zh-CN"/>
        </w:rPr>
        <w:t>.</w:t>
      </w:r>
      <w:r>
        <w:rPr>
          <w:rFonts w:hint="eastAsia" w:asciiTheme="minorEastAsia" w:hAnsiTheme="minorEastAsia"/>
          <w:color w:val="000000"/>
          <w:sz w:val="24"/>
          <w:szCs w:val="24"/>
        </w:rPr>
        <w:t>本技术协议文件经需方与供方双方确认后作为技术服务合同的技术附件，与合同正文具有同等的法律效力。</w:t>
      </w:r>
    </w:p>
    <w:p>
      <w:pPr>
        <w:adjustRightInd w:val="0"/>
        <w:snapToGrid w:val="0"/>
        <w:spacing w:line="360" w:lineRule="auto"/>
        <w:ind w:firstLine="480" w:firstLineChars="200"/>
        <w:jc w:val="left"/>
        <w:rPr>
          <w:rFonts w:hint="eastAsia" w:asciiTheme="minorEastAsia" w:hAnsiTheme="minorEastAsia"/>
          <w:color w:val="000000"/>
          <w:sz w:val="24"/>
          <w:szCs w:val="24"/>
        </w:rPr>
      </w:pPr>
      <w:r>
        <w:rPr>
          <w:rFonts w:hint="eastAsia" w:asciiTheme="minorEastAsia" w:hAnsiTheme="minorEastAsia"/>
          <w:color w:val="000000"/>
          <w:sz w:val="24"/>
          <w:szCs w:val="24"/>
        </w:rPr>
        <w:t>4</w:t>
      </w:r>
      <w:r>
        <w:rPr>
          <w:rFonts w:hint="eastAsia" w:asciiTheme="minorEastAsia" w:hAnsiTheme="minorEastAsia"/>
          <w:color w:val="000000"/>
          <w:sz w:val="24"/>
          <w:szCs w:val="24"/>
          <w:lang w:val="en-US" w:eastAsia="zh-CN"/>
        </w:rPr>
        <w:t>.</w:t>
      </w:r>
      <w:r>
        <w:rPr>
          <w:rFonts w:hint="eastAsia" w:asciiTheme="minorEastAsia" w:hAnsiTheme="minorEastAsia"/>
          <w:color w:val="000000"/>
          <w:sz w:val="24"/>
          <w:szCs w:val="24"/>
        </w:rPr>
        <w:t>本技术规范书未尽事宜，由采购方和中标方在合同谈判时协商确定。</w:t>
      </w:r>
    </w:p>
    <w:p>
      <w:pPr>
        <w:pStyle w:val="11"/>
        <w:adjustRightInd w:val="0"/>
        <w:snapToGrid w:val="0"/>
        <w:spacing w:before="0" w:beforeAutospacing="0" w:after="0" w:afterAutospacing="0" w:line="360" w:lineRule="auto"/>
        <w:ind w:firstLine="480" w:firstLineChars="200"/>
        <w:rPr>
          <w:color w:val="606266"/>
          <w:sz w:val="24"/>
          <w:szCs w:val="24"/>
        </w:rPr>
      </w:pPr>
      <w:r>
        <w:rPr>
          <w:rFonts w:hint="eastAsia"/>
          <w:color w:val="000000"/>
          <w:sz w:val="24"/>
          <w:szCs w:val="24"/>
          <w:lang w:val="en-US" w:eastAsia="zh-CN"/>
        </w:rPr>
        <w:t>5</w:t>
      </w:r>
      <w:r>
        <w:rPr>
          <w:rFonts w:hint="eastAsia"/>
          <w:color w:val="000000"/>
          <w:sz w:val="24"/>
          <w:szCs w:val="24"/>
          <w:lang w:eastAsia="zh-CN"/>
        </w:rPr>
        <w:t>.</w:t>
      </w:r>
      <w:r>
        <w:rPr>
          <w:rFonts w:hint="eastAsia"/>
          <w:color w:val="000000"/>
          <w:sz w:val="24"/>
          <w:szCs w:val="24"/>
        </w:rPr>
        <w:t>本技术规范书要求标准</w:t>
      </w:r>
      <w:r>
        <w:rPr>
          <w:rFonts w:hint="eastAsia"/>
          <w:color w:val="000000"/>
          <w:sz w:val="24"/>
          <w:szCs w:val="24"/>
          <w:lang w:eastAsia="zh-CN"/>
        </w:rPr>
        <w:t>、</w:t>
      </w:r>
      <w:r>
        <w:rPr>
          <w:rFonts w:hint="eastAsia"/>
          <w:color w:val="000000"/>
          <w:sz w:val="24"/>
          <w:szCs w:val="24"/>
        </w:rPr>
        <w:t>技术规范及规定：</w:t>
      </w:r>
    </w:p>
    <w:p>
      <w:pPr>
        <w:keepNext w:val="0"/>
        <w:keepLines w:val="0"/>
        <w:pageBreakBefore w:val="0"/>
        <w:widowControl w:val="0"/>
        <w:kinsoku/>
        <w:wordWrap/>
        <w:overflowPunct/>
        <w:topLinePunct/>
        <w:autoSpaceDE/>
        <w:autoSpaceDN/>
        <w:bidi w:val="0"/>
        <w:adjustRightInd/>
        <w:snapToGrid/>
        <w:spacing w:line="360" w:lineRule="auto"/>
        <w:ind w:left="840" w:leftChars="400" w:firstLine="0" w:firstLineChars="0"/>
        <w:textAlignment w:val="auto"/>
        <w:rPr>
          <w:rFonts w:hint="eastAsia" w:asciiTheme="minorEastAsia" w:hAnsiTheme="minorEastAsia"/>
          <w:color w:val="000000"/>
          <w:sz w:val="24"/>
          <w:szCs w:val="24"/>
        </w:rPr>
      </w:pPr>
      <w:r>
        <w:rPr>
          <w:rFonts w:hint="eastAsia" w:asciiTheme="minorEastAsia" w:hAnsiTheme="minorEastAsia"/>
          <w:color w:val="000000"/>
          <w:sz w:val="24"/>
          <w:szCs w:val="24"/>
        </w:rPr>
        <w:t>《电力监控系统网络安全态势感知系统实用化指标说明》</w:t>
      </w:r>
    </w:p>
    <w:p>
      <w:pPr>
        <w:keepNext w:val="0"/>
        <w:keepLines w:val="0"/>
        <w:pageBreakBefore w:val="0"/>
        <w:widowControl w:val="0"/>
        <w:kinsoku/>
        <w:wordWrap/>
        <w:overflowPunct/>
        <w:topLinePunct/>
        <w:autoSpaceDE/>
        <w:autoSpaceDN/>
        <w:bidi w:val="0"/>
        <w:adjustRightInd/>
        <w:snapToGrid/>
        <w:spacing w:line="360" w:lineRule="auto"/>
        <w:ind w:left="840" w:leftChars="400" w:firstLine="0" w:firstLineChars="0"/>
        <w:textAlignment w:val="auto"/>
        <w:rPr>
          <w:rFonts w:hint="eastAsia" w:asciiTheme="minorEastAsia" w:hAnsiTheme="minorEastAsia"/>
          <w:color w:val="000000"/>
          <w:sz w:val="24"/>
          <w:szCs w:val="24"/>
        </w:rPr>
      </w:pPr>
      <w:r>
        <w:rPr>
          <w:rFonts w:hint="eastAsia" w:asciiTheme="minorEastAsia" w:hAnsiTheme="minorEastAsia"/>
          <w:color w:val="000000"/>
          <w:sz w:val="24"/>
          <w:szCs w:val="24"/>
        </w:rPr>
        <w:t>《普洱电网态势感知调试注册作业指导书》</w:t>
      </w:r>
    </w:p>
    <w:p>
      <w:pPr>
        <w:keepNext w:val="0"/>
        <w:keepLines w:val="0"/>
        <w:pageBreakBefore w:val="0"/>
        <w:widowControl w:val="0"/>
        <w:kinsoku/>
        <w:wordWrap/>
        <w:overflowPunct/>
        <w:topLinePunct/>
        <w:autoSpaceDE/>
        <w:autoSpaceDN/>
        <w:bidi w:val="0"/>
        <w:adjustRightInd/>
        <w:snapToGrid/>
        <w:spacing w:line="360" w:lineRule="auto"/>
        <w:ind w:left="840" w:leftChars="400" w:firstLine="0" w:firstLineChars="0"/>
        <w:textAlignment w:val="auto"/>
        <w:rPr>
          <w:rFonts w:hint="default" w:ascii="宋体" w:hAnsi="宋体" w:cs="宋体"/>
          <w:sz w:val="24"/>
          <w:szCs w:val="24"/>
          <w:lang w:val="en-US" w:eastAsia="zh-CN"/>
        </w:rPr>
      </w:pPr>
      <w:r>
        <w:rPr>
          <w:rFonts w:hint="eastAsia" w:asciiTheme="minorEastAsia" w:hAnsiTheme="minorEastAsia"/>
          <w:color w:val="000000"/>
          <w:sz w:val="24"/>
          <w:szCs w:val="24"/>
        </w:rPr>
        <w:t>《普洱电网变电站态势感知设备维护典型作业指导书》</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宋体" w:hAnsi="宋体" w:eastAsia="宋体" w:cs="宋体"/>
          <w:b/>
          <w:bCs/>
          <w:color w:val="auto"/>
          <w:sz w:val="28"/>
          <w:szCs w:val="28"/>
          <w:highlight w:val="none"/>
          <w:lang w:val="en-US" w:eastAsia="zh-CN"/>
        </w:rPr>
      </w:pPr>
      <w:bookmarkStart w:id="3" w:name="_Toc31435"/>
      <w:r>
        <w:rPr>
          <w:rFonts w:hint="eastAsia" w:ascii="宋体" w:hAnsi="宋体" w:eastAsia="宋体" w:cs="宋体"/>
          <w:b/>
          <w:bCs/>
          <w:color w:val="auto"/>
          <w:sz w:val="28"/>
          <w:szCs w:val="28"/>
          <w:highlight w:val="none"/>
          <w:lang w:val="en-US" w:eastAsia="zh-CN"/>
        </w:rPr>
        <w:t>二、项目概况</w:t>
      </w:r>
      <w:bookmarkEnd w:id="3"/>
    </w:p>
    <w:p>
      <w:pPr>
        <w:pStyle w:val="30"/>
        <w:adjustRightInd w:val="0"/>
        <w:snapToGrid w:val="0"/>
        <w:spacing w:before="0" w:beforeAutospacing="0" w:after="0" w:afterAutospacing="0" w:line="360" w:lineRule="auto"/>
        <w:ind w:firstLine="480" w:firstLineChars="200"/>
        <w:rPr>
          <w:rStyle w:val="31"/>
          <w:rFonts w:hint="eastAsia" w:ascii="宋体" w:hAnsi="宋体" w:eastAsia="宋体" w:cs="宋体"/>
          <w:bCs/>
          <w:color w:val="000000"/>
          <w:sz w:val="24"/>
          <w:szCs w:val="24"/>
        </w:rPr>
      </w:pPr>
      <w:bookmarkStart w:id="4" w:name="_Toc7866_WPSOffice_Level1"/>
      <w:bookmarkStart w:id="5" w:name="_Toc684_WPSOffice_Level1"/>
      <w:r>
        <w:rPr>
          <w:rStyle w:val="31"/>
          <w:rFonts w:hint="eastAsia" w:ascii="宋体" w:hAnsi="宋体" w:eastAsia="宋体" w:cs="宋体"/>
          <w:bCs/>
          <w:color w:val="000000"/>
          <w:sz w:val="24"/>
          <w:szCs w:val="24"/>
        </w:rPr>
        <w:t>1、</w:t>
      </w:r>
      <w:r>
        <w:rPr>
          <w:rStyle w:val="31"/>
          <w:rFonts w:hint="eastAsia" w:ascii="宋体" w:hAnsi="宋体" w:eastAsia="宋体" w:cs="宋体"/>
          <w:b/>
          <w:bCs w:val="0"/>
          <w:color w:val="000000"/>
          <w:sz w:val="24"/>
          <w:szCs w:val="24"/>
        </w:rPr>
        <w:t>项目名称</w:t>
      </w:r>
      <w:r>
        <w:rPr>
          <w:rStyle w:val="31"/>
          <w:rFonts w:hint="eastAsia" w:ascii="宋体" w:hAnsi="宋体" w:eastAsia="宋体" w:cs="宋体"/>
          <w:bCs/>
          <w:color w:val="000000"/>
          <w:sz w:val="24"/>
          <w:szCs w:val="24"/>
        </w:rPr>
        <w:t>：普洱供电局2024年220kV宁洱变等149座变电站自动化设备大修（消缺）</w:t>
      </w:r>
    </w:p>
    <w:p>
      <w:pPr>
        <w:pStyle w:val="30"/>
        <w:adjustRightInd w:val="0"/>
        <w:snapToGrid w:val="0"/>
        <w:spacing w:before="0" w:beforeAutospacing="0" w:after="0" w:afterAutospacing="0" w:line="360" w:lineRule="auto"/>
        <w:ind w:firstLine="480" w:firstLineChars="200"/>
        <w:rPr>
          <w:rFonts w:hint="eastAsia" w:ascii="宋体" w:hAnsi="宋体" w:eastAsia="宋体" w:cs="宋体"/>
          <w:sz w:val="24"/>
          <w:szCs w:val="24"/>
          <w:lang w:val="en-US" w:eastAsia="zh-CN"/>
        </w:rPr>
      </w:pPr>
      <w:r>
        <w:rPr>
          <w:rStyle w:val="31"/>
          <w:rFonts w:hint="eastAsia" w:ascii="宋体" w:hAnsi="宋体" w:eastAsia="宋体" w:cs="宋体"/>
          <w:bCs/>
          <w:color w:val="000000"/>
          <w:sz w:val="24"/>
          <w:szCs w:val="24"/>
        </w:rPr>
        <w:t>2、</w:t>
      </w:r>
      <w:r>
        <w:rPr>
          <w:rStyle w:val="31"/>
          <w:rFonts w:hint="eastAsia" w:cs="宋体"/>
          <w:b/>
          <w:bCs w:val="0"/>
          <w:color w:val="000000"/>
          <w:sz w:val="24"/>
          <w:szCs w:val="24"/>
          <w:lang w:val="en-US" w:eastAsia="zh-CN"/>
        </w:rPr>
        <w:t>服务</w:t>
      </w:r>
      <w:r>
        <w:rPr>
          <w:rStyle w:val="31"/>
          <w:rFonts w:hint="eastAsia" w:ascii="宋体" w:hAnsi="宋体" w:eastAsia="宋体" w:cs="宋体"/>
          <w:b/>
          <w:bCs w:val="0"/>
          <w:color w:val="000000"/>
          <w:sz w:val="24"/>
          <w:szCs w:val="24"/>
        </w:rPr>
        <w:t>地点及服务期限</w:t>
      </w:r>
      <w:r>
        <w:rPr>
          <w:rStyle w:val="31"/>
          <w:rFonts w:hint="eastAsia" w:ascii="宋体" w:hAnsi="宋体" w:eastAsia="宋体" w:cs="宋体"/>
          <w:bCs/>
          <w:color w:val="000000"/>
          <w:sz w:val="24"/>
          <w:szCs w:val="24"/>
        </w:rPr>
        <w:t>：</w:t>
      </w:r>
      <w:r>
        <w:rPr>
          <w:rFonts w:hint="eastAsia" w:cs="宋体"/>
          <w:color w:val="000000"/>
          <w:sz w:val="24"/>
          <w:szCs w:val="24"/>
          <w:lang w:val="en-US" w:eastAsia="zh-CN"/>
        </w:rPr>
        <w:t>500</w:t>
      </w:r>
      <w:r>
        <w:rPr>
          <w:rFonts w:hint="eastAsia" w:ascii="宋体" w:hAnsi="宋体" w:eastAsia="宋体" w:cs="宋体"/>
          <w:color w:val="000000"/>
          <w:sz w:val="24"/>
          <w:szCs w:val="24"/>
          <w:lang w:val="en-US" w:eastAsia="zh-CN"/>
        </w:rPr>
        <w:t>kV</w:t>
      </w:r>
      <w:r>
        <w:rPr>
          <w:rFonts w:hint="eastAsia" w:cs="宋体"/>
          <w:color w:val="000000"/>
          <w:sz w:val="24"/>
          <w:szCs w:val="24"/>
          <w:lang w:val="en-US" w:eastAsia="zh-CN"/>
        </w:rPr>
        <w:t>思茅</w:t>
      </w:r>
      <w:r>
        <w:rPr>
          <w:rFonts w:hint="eastAsia" w:ascii="宋体" w:hAnsi="宋体" w:eastAsia="宋体" w:cs="宋体"/>
          <w:color w:val="000000"/>
          <w:sz w:val="24"/>
          <w:szCs w:val="24"/>
          <w:lang w:val="en-US" w:eastAsia="zh-CN"/>
        </w:rPr>
        <w:t>变</w:t>
      </w:r>
      <w:r>
        <w:rPr>
          <w:rFonts w:hint="eastAsia" w:cs="宋体"/>
          <w:color w:val="000000"/>
          <w:sz w:val="24"/>
          <w:szCs w:val="24"/>
          <w:lang w:val="en-US" w:eastAsia="zh-CN"/>
        </w:rPr>
        <w:t>，供应方</w:t>
      </w:r>
      <w:r>
        <w:rPr>
          <w:rFonts w:hint="eastAsia" w:cs="宋体"/>
          <w:b w:val="0"/>
          <w:bCs w:val="0"/>
          <w:kern w:val="2"/>
          <w:sz w:val="24"/>
          <w:szCs w:val="24"/>
          <w:lang w:val="en-US" w:eastAsia="zh-CN"/>
        </w:rPr>
        <w:t>需在中标后1月内到站服务，具体时间根据现场工作安排</w:t>
      </w:r>
      <w:r>
        <w:rPr>
          <w:rFonts w:hint="eastAsia" w:cs="宋体"/>
          <w:b w:val="0"/>
          <w:bCs w:val="0"/>
          <w:kern w:val="2"/>
          <w:sz w:val="24"/>
          <w:szCs w:val="24"/>
          <w:lang w:eastAsia="zh-CN"/>
        </w:rPr>
        <w:t>。</w:t>
      </w:r>
    </w:p>
    <w:p>
      <w:pPr>
        <w:pStyle w:val="30"/>
        <w:adjustRightInd w:val="0"/>
        <w:snapToGrid w:val="0"/>
        <w:spacing w:before="0" w:beforeAutospacing="0" w:after="0" w:afterAutospacing="0" w:line="360" w:lineRule="auto"/>
        <w:ind w:firstLine="480" w:firstLineChars="200"/>
        <w:jc w:val="both"/>
        <w:rPr>
          <w:rStyle w:val="31"/>
          <w:rFonts w:hint="eastAsia" w:ascii="宋体" w:hAnsi="宋体" w:eastAsia="宋体" w:cs="宋体"/>
          <w:bCs/>
          <w:color w:val="000000"/>
          <w:sz w:val="24"/>
          <w:szCs w:val="24"/>
        </w:rPr>
      </w:pPr>
      <w:r>
        <w:rPr>
          <w:rStyle w:val="31"/>
          <w:rFonts w:hint="eastAsia" w:ascii="宋体" w:hAnsi="宋体" w:eastAsia="宋体" w:cs="宋体"/>
          <w:bCs/>
          <w:color w:val="000000"/>
          <w:sz w:val="24"/>
          <w:szCs w:val="24"/>
        </w:rPr>
        <w:t>3、</w:t>
      </w:r>
      <w:r>
        <w:rPr>
          <w:rStyle w:val="31"/>
          <w:rFonts w:hint="eastAsia" w:ascii="宋体" w:hAnsi="宋体" w:eastAsia="宋体" w:cs="宋体"/>
          <w:b/>
          <w:bCs w:val="0"/>
          <w:color w:val="000000"/>
          <w:sz w:val="24"/>
          <w:szCs w:val="24"/>
        </w:rPr>
        <w:t>服务内容及要求</w:t>
      </w:r>
      <w:r>
        <w:rPr>
          <w:rStyle w:val="31"/>
          <w:rFonts w:hint="eastAsia" w:ascii="宋体" w:hAnsi="宋体" w:eastAsia="宋体" w:cs="宋体"/>
          <w:bCs/>
          <w:color w:val="000000"/>
          <w:sz w:val="24"/>
          <w:szCs w:val="24"/>
        </w:rPr>
        <w:t>：</w:t>
      </w:r>
      <w:r>
        <w:rPr>
          <w:rFonts w:hint="eastAsia" w:ascii="宋体" w:hAnsi="宋体" w:eastAsia="宋体" w:cs="宋体"/>
          <w:color w:val="000000"/>
          <w:sz w:val="24"/>
          <w:szCs w:val="24"/>
          <w:lang w:val="en-US" w:eastAsia="zh-CN"/>
        </w:rPr>
        <w:t>500kV思茅变网络安全态势感知厂站装置CSA1800B麒麟信安kylin2.3操作系统技术服务</w:t>
      </w:r>
      <w:r>
        <w:rPr>
          <w:rFonts w:hint="eastAsia" w:ascii="宋体" w:hAnsi="宋体" w:eastAsia="宋体" w:cs="宋体"/>
          <w:color w:val="000000"/>
          <w:sz w:val="24"/>
          <w:szCs w:val="24"/>
        </w:rPr>
        <w:t>。</w:t>
      </w:r>
      <w:r>
        <w:rPr>
          <w:rFonts w:hint="eastAsia" w:cs="宋体"/>
          <w:color w:val="000000"/>
          <w:sz w:val="24"/>
          <w:szCs w:val="24"/>
          <w:lang w:val="en-US" w:eastAsia="zh-CN"/>
        </w:rPr>
        <w:t>本服务要求应具有</w:t>
      </w:r>
      <w:r>
        <w:rPr>
          <w:rFonts w:hint="eastAsia" w:ascii="宋体" w:hAnsi="宋体" w:eastAsia="宋体" w:cs="宋体"/>
          <w:color w:val="000000"/>
          <w:sz w:val="24"/>
          <w:szCs w:val="24"/>
          <w:lang w:val="en-US" w:eastAsia="zh-CN"/>
        </w:rPr>
        <w:t>网络安全态势感知厂站装置CSA1800B</w:t>
      </w:r>
      <w:r>
        <w:rPr>
          <w:rFonts w:hint="eastAsia" w:cs="宋体"/>
          <w:color w:val="000000"/>
          <w:sz w:val="24"/>
          <w:szCs w:val="24"/>
          <w:lang w:val="en-US" w:eastAsia="zh-CN"/>
        </w:rPr>
        <w:t>授权资质的供应方进行服务，本服务具体内容包括麒麟信安kylin2.3操作系统恢复服务、恢复原厂站数据服务、补充实用化及范式化配置、与主站验证厂站各项指标，具体服务要求</w:t>
      </w:r>
      <w:r>
        <w:rPr>
          <w:rFonts w:hint="eastAsia" w:ascii="宋体" w:hAnsi="宋体" w:eastAsia="宋体" w:cs="宋体"/>
          <w:color w:val="000000"/>
          <w:sz w:val="24"/>
          <w:szCs w:val="24"/>
        </w:rPr>
        <w:t>详见三</w:t>
      </w:r>
      <w:r>
        <w:rPr>
          <w:rFonts w:hint="eastAsia" w:cs="宋体"/>
          <w:color w:val="000000"/>
          <w:sz w:val="24"/>
          <w:szCs w:val="24"/>
          <w:lang w:eastAsia="zh-CN"/>
        </w:rPr>
        <w:t>。</w:t>
      </w:r>
      <w:r>
        <w:rPr>
          <w:rFonts w:hint="eastAsia" w:cs="宋体"/>
          <w:color w:val="000000"/>
          <w:sz w:val="24"/>
          <w:szCs w:val="24"/>
          <w:lang w:val="en-US" w:eastAsia="zh-CN"/>
        </w:rPr>
        <w:t>服务内容完成后需经变电修试所管控人员根据技术规范验收合格后方能离场，并在服务内容完成一周内提供现场服务的试验报告与报账单据</w:t>
      </w:r>
      <w:r>
        <w:rPr>
          <w:rFonts w:hint="eastAsia" w:ascii="宋体" w:hAnsi="宋体" w:eastAsia="宋体" w:cs="宋体"/>
          <w:color w:val="000000"/>
          <w:sz w:val="24"/>
          <w:szCs w:val="24"/>
        </w:rPr>
        <w:t>。</w:t>
      </w:r>
    </w:p>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kern w:val="0"/>
          <w:sz w:val="24"/>
          <w:szCs w:val="24"/>
          <w:lang w:val="en-US" w:eastAsia="zh-CN"/>
        </w:rPr>
        <w:t xml:space="preserve">表1 </w:t>
      </w:r>
      <w:r>
        <w:rPr>
          <w:rFonts w:hint="eastAsia" w:ascii="宋体" w:hAnsi="宋体" w:cs="宋体"/>
          <w:color w:val="000000"/>
          <w:kern w:val="0"/>
          <w:sz w:val="24"/>
          <w:szCs w:val="24"/>
          <w:lang w:val="en-US" w:eastAsia="zh-CN" w:bidi="ar-SA"/>
        </w:rPr>
        <w:t>服务</w:t>
      </w:r>
      <w:r>
        <w:rPr>
          <w:rFonts w:hint="eastAsia" w:ascii="宋体" w:hAnsi="宋体" w:eastAsia="宋体" w:cs="宋体"/>
          <w:color w:val="000000"/>
          <w:kern w:val="0"/>
          <w:sz w:val="24"/>
          <w:szCs w:val="24"/>
          <w:lang w:val="en-US" w:eastAsia="zh-CN" w:bidi="ar-SA"/>
        </w:rPr>
        <w:t>清单</w:t>
      </w:r>
    </w:p>
    <w:tbl>
      <w:tblPr>
        <w:tblStyle w:val="12"/>
        <w:tblW w:w="8615" w:type="dxa"/>
        <w:jc w:val="center"/>
        <w:tblLayout w:type="fixed"/>
        <w:tblCellMar>
          <w:top w:w="0" w:type="dxa"/>
          <w:left w:w="28" w:type="dxa"/>
          <w:bottom w:w="0" w:type="dxa"/>
          <w:right w:w="28" w:type="dxa"/>
        </w:tblCellMar>
      </w:tblPr>
      <w:tblGrid>
        <w:gridCol w:w="630"/>
        <w:gridCol w:w="2948"/>
        <w:gridCol w:w="3421"/>
        <w:gridCol w:w="1616"/>
      </w:tblGrid>
      <w:tr>
        <w:tblPrEx>
          <w:tblCellMar>
            <w:top w:w="0" w:type="dxa"/>
            <w:left w:w="28" w:type="dxa"/>
            <w:bottom w:w="0" w:type="dxa"/>
            <w:right w:w="28" w:type="dxa"/>
          </w:tblCellMar>
        </w:tblPrEx>
        <w:trPr>
          <w:trHeight w:val="725" w:hRule="atLeast"/>
          <w:jc w:val="center"/>
        </w:trPr>
        <w:tc>
          <w:tcPr>
            <w:tcW w:w="630"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ascii="宋体" w:hAnsi="宋体" w:eastAsia="宋体"/>
                <w:sz w:val="21"/>
                <w:szCs w:val="21"/>
              </w:rPr>
            </w:pPr>
            <w:r>
              <w:rPr>
                <w:rFonts w:hint="eastAsia" w:ascii="宋体" w:hAnsi="宋体" w:eastAsia="宋体"/>
                <w:b/>
                <w:sz w:val="21"/>
                <w:szCs w:val="21"/>
              </w:rPr>
              <w:t>序号</w:t>
            </w:r>
          </w:p>
        </w:tc>
        <w:tc>
          <w:tcPr>
            <w:tcW w:w="2948"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ascii="宋体" w:hAnsi="宋体" w:eastAsia="宋体"/>
                <w:sz w:val="21"/>
                <w:szCs w:val="21"/>
              </w:rPr>
            </w:pPr>
            <w:r>
              <w:rPr>
                <w:rFonts w:hint="eastAsia" w:ascii="宋体" w:hAnsi="宋体" w:eastAsia="宋体"/>
                <w:b/>
                <w:sz w:val="21"/>
                <w:szCs w:val="21"/>
              </w:rPr>
              <w:t>标的</w:t>
            </w:r>
          </w:p>
        </w:tc>
        <w:tc>
          <w:tcPr>
            <w:tcW w:w="3421"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ascii="宋体" w:hAnsi="宋体" w:eastAsia="宋体"/>
                <w:b/>
                <w:sz w:val="21"/>
                <w:szCs w:val="21"/>
              </w:rPr>
            </w:pPr>
            <w:r>
              <w:rPr>
                <w:rFonts w:hint="eastAsia" w:ascii="宋体" w:hAnsi="宋体" w:eastAsia="宋体"/>
                <w:b/>
                <w:sz w:val="21"/>
                <w:szCs w:val="21"/>
              </w:rPr>
              <w:t>标的描述</w:t>
            </w:r>
          </w:p>
        </w:tc>
        <w:tc>
          <w:tcPr>
            <w:tcW w:w="1616"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ascii="宋体" w:hAnsi="宋体" w:eastAsia="宋体"/>
                <w:b/>
                <w:sz w:val="21"/>
                <w:szCs w:val="21"/>
              </w:rPr>
            </w:pPr>
            <w:r>
              <w:rPr>
                <w:rFonts w:hint="eastAsia" w:ascii="宋体" w:hAnsi="宋体" w:eastAsia="宋体"/>
                <w:b/>
                <w:sz w:val="21"/>
                <w:szCs w:val="21"/>
              </w:rPr>
              <w:t>工期</w:t>
            </w:r>
          </w:p>
        </w:tc>
      </w:tr>
      <w:tr>
        <w:tblPrEx>
          <w:tblCellMar>
            <w:top w:w="0" w:type="dxa"/>
            <w:left w:w="28" w:type="dxa"/>
            <w:bottom w:w="0" w:type="dxa"/>
            <w:right w:w="28" w:type="dxa"/>
          </w:tblCellMar>
        </w:tblPrEx>
        <w:trPr>
          <w:trHeight w:val="688" w:hRule="atLeast"/>
          <w:jc w:val="center"/>
        </w:trPr>
        <w:tc>
          <w:tcPr>
            <w:tcW w:w="630"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ascii="宋体" w:hAnsi="宋体" w:eastAsia="宋体"/>
                <w:sz w:val="21"/>
                <w:szCs w:val="21"/>
              </w:rPr>
            </w:pPr>
            <w:r>
              <w:rPr>
                <w:rFonts w:hint="eastAsia" w:ascii="宋体" w:hAnsi="宋体" w:eastAsia="宋体"/>
                <w:sz w:val="21"/>
                <w:szCs w:val="21"/>
              </w:rPr>
              <w:t>1</w:t>
            </w:r>
          </w:p>
        </w:tc>
        <w:tc>
          <w:tcPr>
            <w:tcW w:w="2948"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ascii="宋体" w:hAnsi="宋体" w:eastAsia="宋体"/>
                <w:sz w:val="21"/>
                <w:szCs w:val="21"/>
              </w:rPr>
            </w:pPr>
            <w:r>
              <w:rPr>
                <w:rFonts w:hint="eastAsia" w:ascii="宋体" w:hAnsi="宋体" w:eastAsia="宋体"/>
                <w:sz w:val="21"/>
                <w:szCs w:val="21"/>
              </w:rPr>
              <w:t>500kV思茅变网络安全态势感知厂站装置CSA1800B麒麟信安kylin2.3操作系统技术服务</w:t>
            </w:r>
          </w:p>
        </w:tc>
        <w:tc>
          <w:tcPr>
            <w:tcW w:w="3421"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ascii="宋体" w:hAnsi="宋体"/>
                <w:color w:val="auto"/>
                <w:sz w:val="21"/>
                <w:szCs w:val="21"/>
              </w:rPr>
            </w:pPr>
            <w:r>
              <w:rPr>
                <w:rFonts w:hint="eastAsia" w:ascii="宋体" w:hAnsi="宋体"/>
                <w:color w:val="auto"/>
                <w:sz w:val="21"/>
                <w:szCs w:val="21"/>
              </w:rPr>
              <w:t>服务具体内容包括麒麟信安kylin2.3操作系统恢复服务、恢复原厂站数据服务、补充实用化及范式化配置、与主站验</w:t>
            </w:r>
            <w:bookmarkStart w:id="10" w:name="_GoBack"/>
            <w:bookmarkEnd w:id="10"/>
            <w:r>
              <w:rPr>
                <w:rFonts w:hint="eastAsia" w:ascii="宋体" w:hAnsi="宋体"/>
                <w:color w:val="auto"/>
                <w:sz w:val="21"/>
                <w:szCs w:val="21"/>
              </w:rPr>
              <w:t>证厂站各项指标</w:t>
            </w:r>
          </w:p>
        </w:tc>
        <w:tc>
          <w:tcPr>
            <w:tcW w:w="1616" w:type="dxa"/>
            <w:tcBorders>
              <w:top w:val="single" w:color="auto" w:sz="4" w:space="0"/>
              <w:left w:val="single" w:color="auto" w:sz="4" w:space="0"/>
              <w:bottom w:val="single" w:color="auto" w:sz="4" w:space="0"/>
              <w:right w:val="single" w:color="auto" w:sz="4" w:space="0"/>
              <w:tl2br w:val="nil"/>
              <w:tr2bl w:val="nil"/>
            </w:tcBorders>
            <w:shd w:val="clear" w:color="auto" w:fill="auto"/>
            <w:noWrap/>
            <w:vAlign w:val="center"/>
          </w:tcPr>
          <w:p>
            <w:pPr>
              <w:jc w:val="center"/>
              <w:rPr>
                <w:rFonts w:hint="eastAsia" w:ascii="宋体" w:hAnsi="宋体" w:eastAsia="宋体"/>
                <w:sz w:val="21"/>
                <w:szCs w:val="21"/>
                <w:lang w:val="en-US" w:eastAsia="zh-CN"/>
              </w:rPr>
            </w:pPr>
            <w:r>
              <w:rPr>
                <w:rFonts w:hint="eastAsia" w:ascii="宋体" w:hAnsi="宋体" w:eastAsia="宋体"/>
                <w:sz w:val="21"/>
                <w:szCs w:val="21"/>
              </w:rPr>
              <w:t>中标后</w:t>
            </w:r>
            <w:r>
              <w:rPr>
                <w:rFonts w:hint="eastAsia" w:ascii="宋体" w:hAnsi="宋体"/>
                <w:sz w:val="21"/>
                <w:szCs w:val="21"/>
                <w:lang w:val="en-US" w:eastAsia="zh-CN"/>
              </w:rPr>
              <w:t>1月</w:t>
            </w:r>
            <w:r>
              <w:rPr>
                <w:rFonts w:hint="eastAsia" w:ascii="宋体" w:hAnsi="宋体" w:eastAsia="宋体"/>
                <w:sz w:val="21"/>
                <w:szCs w:val="21"/>
              </w:rPr>
              <w:t>以内完成</w:t>
            </w:r>
            <w:r>
              <w:rPr>
                <w:rFonts w:hint="eastAsia" w:ascii="宋体" w:hAnsi="宋体"/>
                <w:sz w:val="21"/>
                <w:szCs w:val="21"/>
                <w:lang w:val="en-US" w:eastAsia="zh-CN"/>
              </w:rPr>
              <w:t>服务</w:t>
            </w:r>
          </w:p>
        </w:tc>
      </w:tr>
      <w:bookmarkEnd w:id="4"/>
      <w:bookmarkEnd w:id="5"/>
    </w:tbl>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宋体" w:hAnsi="宋体" w:eastAsia="宋体" w:cs="宋体"/>
          <w:b/>
          <w:bCs/>
          <w:color w:val="auto"/>
          <w:sz w:val="28"/>
          <w:szCs w:val="28"/>
          <w:highlight w:val="none"/>
          <w:lang w:val="en-US" w:eastAsia="zh-CN"/>
        </w:rPr>
      </w:pPr>
      <w:bookmarkStart w:id="6" w:name="_Toc10851"/>
      <w:r>
        <w:rPr>
          <w:rFonts w:hint="eastAsia" w:ascii="宋体" w:hAnsi="宋体" w:eastAsia="宋体" w:cs="宋体"/>
          <w:b/>
          <w:bCs/>
          <w:color w:val="auto"/>
          <w:sz w:val="28"/>
          <w:szCs w:val="28"/>
          <w:highlight w:val="none"/>
          <w:lang w:val="en-US" w:eastAsia="zh-CN"/>
        </w:rPr>
        <w:t>三、技术要求</w:t>
      </w:r>
      <w:bookmarkEnd w:id="6"/>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技术</w:t>
      </w:r>
      <w:r>
        <w:rPr>
          <w:rFonts w:hint="eastAsia" w:ascii="宋体" w:hAnsi="宋体" w:cs="宋体"/>
          <w:color w:val="auto"/>
          <w:sz w:val="24"/>
          <w:szCs w:val="24"/>
          <w:highlight w:val="none"/>
          <w:lang w:val="en-US" w:eastAsia="zh-CN"/>
        </w:rPr>
        <w:t>规范</w:t>
      </w:r>
      <w:r>
        <w:rPr>
          <w:rFonts w:hint="eastAsia" w:ascii="宋体" w:hAnsi="宋体" w:eastAsia="宋体" w:cs="宋体"/>
          <w:color w:val="auto"/>
          <w:sz w:val="24"/>
          <w:szCs w:val="24"/>
          <w:highlight w:val="none"/>
          <w:lang w:val="en-US" w:eastAsia="zh-CN"/>
        </w:rPr>
        <w:t>要求：</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a.服务对象：500kV思茅变网略态势感知厂站装置为鼎信信息科技有限公司CSA1800B型号，其内部系统为麒麟信安kylin2.3操作系统，其应用程序为广州兆和提供。</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b服务内容：麒麟信安kylin2.3操作系统恢复服务、恢复原厂站数据服务、补充实用化及范式化配置、与主站验证厂站各项指标。</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c.服务要求：解决500kV思茅变Ⅰ-Ⅱ区态势感知采集装置离线缺陷，态势感知采集装置恢复正常，并经</w:t>
      </w:r>
      <w:r>
        <w:rPr>
          <w:rFonts w:hint="eastAsia" w:cs="宋体"/>
          <w:color w:val="000000"/>
          <w:sz w:val="24"/>
          <w:szCs w:val="24"/>
          <w:lang w:val="en-US" w:eastAsia="zh-CN"/>
        </w:rPr>
        <w:t>变电修试所管控人员根据技术规范验收</w:t>
      </w:r>
      <w:r>
        <w:rPr>
          <w:rFonts w:hint="eastAsia" w:ascii="宋体" w:hAnsi="宋体" w:cs="宋体"/>
          <w:color w:val="auto"/>
          <w:sz w:val="24"/>
          <w:szCs w:val="24"/>
          <w:highlight w:val="none"/>
          <w:lang w:val="en-US" w:eastAsia="zh-CN"/>
        </w:rPr>
        <w:t>。</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.服务人员</w:t>
      </w:r>
      <w:r>
        <w:rPr>
          <w:rFonts w:hint="eastAsia" w:ascii="宋体" w:hAnsi="宋体" w:eastAsia="宋体" w:cs="宋体"/>
          <w:color w:val="auto"/>
          <w:sz w:val="24"/>
          <w:szCs w:val="24"/>
          <w:highlight w:val="none"/>
          <w:lang w:val="en-US" w:eastAsia="zh-CN"/>
        </w:rPr>
        <w:t>要求：</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a.服务人员应具有变电站工作经验，能够辨识网络安全风险及知晓自动化“十不准”基本要求。</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b.服务人员能够独立完成技术规范所列内容。</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c.服务人员不得是南网黑名单人员。</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宋体" w:hAnsi="宋体" w:eastAsia="宋体" w:cs="宋体"/>
          <w:b/>
          <w:bCs/>
          <w:color w:val="auto"/>
          <w:sz w:val="28"/>
          <w:szCs w:val="28"/>
          <w:highlight w:val="none"/>
        </w:rPr>
      </w:pPr>
      <w:bookmarkStart w:id="7" w:name="_Toc8335"/>
      <w:r>
        <w:rPr>
          <w:rFonts w:hint="eastAsia" w:ascii="宋体" w:hAnsi="宋体" w:eastAsia="宋体" w:cs="宋体"/>
          <w:b/>
          <w:bCs/>
          <w:color w:val="auto"/>
          <w:sz w:val="28"/>
          <w:szCs w:val="28"/>
          <w:highlight w:val="none"/>
          <w:lang w:val="en-US" w:eastAsia="zh-CN"/>
        </w:rPr>
        <w:t>四、供应方资质要求</w:t>
      </w:r>
      <w:bookmarkEnd w:id="7"/>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注册时间必须在</w:t>
      </w:r>
      <w:r>
        <w:rPr>
          <w:rFonts w:hint="eastAsia" w:ascii="宋体" w:hAnsi="宋体" w:cs="宋体"/>
          <w:color w:val="auto"/>
          <w:sz w:val="24"/>
          <w:szCs w:val="24"/>
          <w:highlight w:val="none"/>
          <w:lang w:val="en-US" w:eastAsia="zh-CN"/>
        </w:rPr>
        <w:t>符合南网招标基本要求</w:t>
      </w:r>
      <w:r>
        <w:rPr>
          <w:rFonts w:hint="eastAsia" w:ascii="宋体" w:hAnsi="宋体" w:eastAsia="宋体" w:cs="宋体"/>
          <w:color w:val="auto"/>
          <w:sz w:val="24"/>
          <w:szCs w:val="24"/>
          <w:highlight w:val="none"/>
          <w:lang w:val="en-US" w:eastAsia="zh-CN"/>
        </w:rPr>
        <w:t>，具有独立的法人资格，企业正常经营，无失信被执行人；</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必须具有ISO9001质量保证体系认证证书，并在有效期内。经营范围必须包括智能仪器仪表制造、电工仪器仪表制造、仪器仪表修理、技术服务。</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宋体" w:hAnsi="宋体" w:eastAsia="宋体" w:cs="宋体"/>
          <w:b/>
          <w:bCs/>
          <w:color w:val="auto"/>
          <w:sz w:val="28"/>
          <w:szCs w:val="28"/>
          <w:highlight w:val="none"/>
          <w:lang w:val="en-US" w:eastAsia="zh-CN"/>
        </w:rPr>
      </w:pPr>
      <w:bookmarkStart w:id="8" w:name="_Toc21858"/>
      <w:r>
        <w:rPr>
          <w:rFonts w:hint="eastAsia" w:ascii="宋体" w:hAnsi="宋体" w:eastAsia="宋体" w:cs="宋体"/>
          <w:b/>
          <w:bCs/>
          <w:color w:val="auto"/>
          <w:sz w:val="28"/>
          <w:szCs w:val="28"/>
          <w:highlight w:val="none"/>
          <w:lang w:val="en-US" w:eastAsia="zh-CN"/>
        </w:rPr>
        <w:t>五、供应方报价要求</w:t>
      </w:r>
      <w:bookmarkEnd w:id="8"/>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项目报价（一次性报价）</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有详细工程量的，应分别对项目总价和各分项进行报价。</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商务部分（</w:t>
      </w:r>
      <w:r>
        <w:rPr>
          <w:rFonts w:hint="eastAsia" w:ascii="宋体" w:hAnsi="宋体" w:cs="宋体"/>
          <w:color w:val="auto"/>
          <w:sz w:val="24"/>
          <w:szCs w:val="24"/>
          <w:highlight w:val="none"/>
          <w:lang w:val="en-US" w:eastAsia="zh-CN"/>
        </w:rPr>
        <w:t>供应方</w:t>
      </w:r>
      <w:r>
        <w:rPr>
          <w:rFonts w:hint="eastAsia" w:ascii="宋体" w:hAnsi="宋体" w:eastAsia="宋体" w:cs="宋体"/>
          <w:color w:val="auto"/>
          <w:sz w:val="24"/>
          <w:szCs w:val="24"/>
          <w:highlight w:val="none"/>
          <w:lang w:val="en-US" w:eastAsia="zh-CN"/>
        </w:rPr>
        <w:t>必须提供）</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有年检标识的企业营业执照副本复印件。</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有能力承接该项目的资质证书复印件。</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法定代表人授权书（签字并加盖公章）、法定代表人身份证复印件、被授权人身份证复印件。</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技术部分</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a.</w:t>
      </w:r>
      <w:r>
        <w:rPr>
          <w:rFonts w:hint="eastAsia" w:ascii="宋体" w:hAnsi="宋体" w:eastAsia="宋体" w:cs="宋体"/>
          <w:color w:val="auto"/>
          <w:sz w:val="24"/>
          <w:szCs w:val="24"/>
          <w:highlight w:val="none"/>
          <w:lang w:val="en-US" w:eastAsia="zh-CN"/>
        </w:rPr>
        <w:t>结合项目技术文件（附件）做出应答、承诺。</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b.必须按国家有关标准和技术标准进行维修和调试设备。</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c.项目责任单位依照维护的设备的工作原理及操作说明以及技术规范书进行验收。</w:t>
      </w:r>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d.对服务系统供应方应实行一年免费服务。如果在此期限内系统再次出现因配置错误、工作失误导致的缺陷问题，供应方应在接到通知后尽快派人员到现场检查处理，并负责免费服务（非供应方人为因素或不可抗拒力造成的缺陷除外）。</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宋体" w:hAnsi="宋体" w:eastAsia="宋体" w:cs="宋体"/>
          <w:b/>
          <w:bCs/>
          <w:color w:val="auto"/>
          <w:sz w:val="28"/>
          <w:szCs w:val="28"/>
          <w:highlight w:val="none"/>
          <w:lang w:val="en-US" w:eastAsia="zh-CN"/>
        </w:rPr>
      </w:pPr>
      <w:bookmarkStart w:id="9" w:name="_Toc15963"/>
      <w:r>
        <w:rPr>
          <w:rFonts w:hint="eastAsia" w:ascii="宋体" w:hAnsi="宋体" w:eastAsia="宋体" w:cs="宋体"/>
          <w:b/>
          <w:bCs/>
          <w:color w:val="auto"/>
          <w:sz w:val="28"/>
          <w:szCs w:val="28"/>
          <w:highlight w:val="none"/>
          <w:lang w:val="en-US" w:eastAsia="zh-CN"/>
        </w:rPr>
        <w:t>六、投标技术偏差</w:t>
      </w:r>
      <w:bookmarkEnd w:id="9"/>
    </w:p>
    <w:p>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供应方</w:t>
      </w:r>
      <w:r>
        <w:rPr>
          <w:rFonts w:hint="default" w:ascii="宋体" w:hAnsi="宋体" w:cs="宋体"/>
          <w:color w:val="auto"/>
          <w:sz w:val="24"/>
          <w:szCs w:val="24"/>
          <w:highlight w:val="none"/>
          <w:lang w:val="en-US" w:eastAsia="zh-CN"/>
        </w:rPr>
        <w:t>提供的</w:t>
      </w:r>
      <w:r>
        <w:rPr>
          <w:rFonts w:hint="eastAsia" w:ascii="宋体" w:hAnsi="宋体" w:cs="宋体"/>
          <w:color w:val="auto"/>
          <w:sz w:val="24"/>
          <w:szCs w:val="24"/>
          <w:highlight w:val="none"/>
          <w:lang w:val="en-US" w:eastAsia="zh-CN"/>
        </w:rPr>
        <w:t>服务</w:t>
      </w:r>
      <w:r>
        <w:rPr>
          <w:rFonts w:hint="default" w:ascii="宋体" w:hAnsi="宋体" w:cs="宋体"/>
          <w:color w:val="auto"/>
          <w:sz w:val="24"/>
          <w:szCs w:val="24"/>
          <w:highlight w:val="none"/>
          <w:lang w:val="en-US" w:eastAsia="zh-CN"/>
        </w:rPr>
        <w:t>技术规范应与本招标文件中规定的要求一致。若有偏差</w:t>
      </w:r>
      <w:r>
        <w:rPr>
          <w:rFonts w:hint="eastAsia" w:ascii="宋体" w:hAnsi="宋体" w:cs="宋体"/>
          <w:color w:val="auto"/>
          <w:sz w:val="24"/>
          <w:szCs w:val="24"/>
          <w:highlight w:val="none"/>
          <w:lang w:val="en-US" w:eastAsia="zh-CN"/>
        </w:rPr>
        <w:t>供应方</w:t>
      </w:r>
      <w:r>
        <w:rPr>
          <w:rFonts w:hint="default" w:ascii="宋体" w:hAnsi="宋体" w:cs="宋体"/>
          <w:color w:val="auto"/>
          <w:sz w:val="24"/>
          <w:szCs w:val="24"/>
          <w:highlight w:val="none"/>
          <w:lang w:val="en-US" w:eastAsia="zh-CN"/>
        </w:rPr>
        <w:t>应如实、认真地填写偏差值</w:t>
      </w:r>
      <w:r>
        <w:rPr>
          <w:rFonts w:hint="eastAsia" w:ascii="宋体" w:hAnsi="宋体" w:cs="宋体"/>
          <w:color w:val="auto"/>
          <w:sz w:val="24"/>
          <w:szCs w:val="24"/>
          <w:highlight w:val="none"/>
          <w:lang w:val="en-US" w:eastAsia="zh-CN"/>
        </w:rPr>
        <w:t>，并告知采购方</w:t>
      </w:r>
      <w:r>
        <w:rPr>
          <w:rFonts w:hint="default" w:ascii="宋体" w:hAnsi="宋体" w:cs="宋体"/>
          <w:color w:val="auto"/>
          <w:sz w:val="24"/>
          <w:szCs w:val="24"/>
          <w:highlight w:val="none"/>
          <w:lang w:val="en-US" w:eastAsia="zh-CN"/>
        </w:rPr>
        <w:t>；若无技术偏差视为完全满足本技术规范的要求</w:t>
      </w:r>
      <w:r>
        <w:rPr>
          <w:rFonts w:hint="eastAsia" w:ascii="宋体" w:hAnsi="宋体" w:cs="宋体"/>
          <w:color w:val="auto"/>
          <w:sz w:val="24"/>
          <w:szCs w:val="24"/>
          <w:highlight w:val="none"/>
          <w:lang w:val="en-US" w:eastAsia="zh-CN"/>
        </w:rPr>
        <w:t>。一旦供应方实际所提供服务与本技术规范要求不一致或未提前告知偏差值，后果由供应方完全负责。</w:t>
      </w:r>
    </w:p>
    <w:sectPr>
      <w:footerReference r:id="rId3" w:type="default"/>
      <w:pgSz w:w="11906" w:h="16838"/>
      <w:pgMar w:top="1440" w:right="1080" w:bottom="1440" w:left="108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lvlText w:val=""/>
      <w:lvlJc w:val="left"/>
      <w:pPr>
        <w:tabs>
          <w:tab w:val="left" w:pos="2040"/>
        </w:tabs>
        <w:ind w:left="2040" w:hanging="360"/>
      </w:pPr>
      <w:rPr>
        <w:rFonts w:hint="default" w:ascii="Wingdings" w:hAnsi="Wingdings"/>
      </w:rPr>
    </w:lvl>
  </w:abstractNum>
  <w:abstractNum w:abstractNumId="1">
    <w:nsid w:val="20E235E1"/>
    <w:multiLevelType w:val="multilevel"/>
    <w:tmpl w:val="20E235E1"/>
    <w:lvl w:ilvl="0" w:tentative="0">
      <w:start w:val="6"/>
      <w:numFmt w:val="decimal"/>
      <w:pStyle w:val="4"/>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773041D5"/>
    <w:multiLevelType w:val="multilevel"/>
    <w:tmpl w:val="773041D5"/>
    <w:lvl w:ilvl="0" w:tentative="0">
      <w:start w:val="2"/>
      <w:numFmt w:val="decimal"/>
      <w:lvlText w:val="%1"/>
      <w:lvlJc w:val="left"/>
      <w:pPr>
        <w:tabs>
          <w:tab w:val="left" w:pos="735"/>
        </w:tabs>
        <w:ind w:left="735" w:hanging="735"/>
      </w:pPr>
      <w:rPr>
        <w:rFonts w:hint="default"/>
      </w:rPr>
    </w:lvl>
    <w:lvl w:ilvl="1" w:tentative="0">
      <w:start w:val="5"/>
      <w:numFmt w:val="decimal"/>
      <w:lvlText w:val="%1.%2"/>
      <w:lvlJc w:val="left"/>
      <w:pPr>
        <w:tabs>
          <w:tab w:val="left" w:pos="735"/>
        </w:tabs>
        <w:ind w:left="735" w:hanging="735"/>
      </w:pPr>
      <w:rPr>
        <w:rFonts w:hint="default"/>
      </w:rPr>
    </w:lvl>
    <w:lvl w:ilvl="2" w:tentative="0">
      <w:start w:val="3"/>
      <w:numFmt w:val="decimal"/>
      <w:lvlText w:val="%1.%2.%3"/>
      <w:lvlJc w:val="left"/>
      <w:pPr>
        <w:tabs>
          <w:tab w:val="left" w:pos="735"/>
        </w:tabs>
        <w:ind w:left="735" w:hanging="735"/>
      </w:pPr>
      <w:rPr>
        <w:rFonts w:hint="default"/>
      </w:rPr>
    </w:lvl>
    <w:lvl w:ilvl="3" w:tentative="0">
      <w:start w:val="1"/>
      <w:numFmt w:val="decimal"/>
      <w:pStyle w:val="22"/>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62E91"/>
    <w:rsid w:val="00437A7D"/>
    <w:rsid w:val="00502390"/>
    <w:rsid w:val="009501F5"/>
    <w:rsid w:val="00F07F6C"/>
    <w:rsid w:val="00F81B6A"/>
    <w:rsid w:val="017D0C70"/>
    <w:rsid w:val="01C104CB"/>
    <w:rsid w:val="01DC15E1"/>
    <w:rsid w:val="034114E5"/>
    <w:rsid w:val="03522823"/>
    <w:rsid w:val="03E12672"/>
    <w:rsid w:val="04346357"/>
    <w:rsid w:val="04A05859"/>
    <w:rsid w:val="04C52485"/>
    <w:rsid w:val="04DF7BF8"/>
    <w:rsid w:val="04EC526C"/>
    <w:rsid w:val="04FF75B3"/>
    <w:rsid w:val="04FF7741"/>
    <w:rsid w:val="05744FC2"/>
    <w:rsid w:val="05944387"/>
    <w:rsid w:val="059565CB"/>
    <w:rsid w:val="06053772"/>
    <w:rsid w:val="065848C1"/>
    <w:rsid w:val="06A87403"/>
    <w:rsid w:val="06C46B76"/>
    <w:rsid w:val="071C1802"/>
    <w:rsid w:val="07383AE8"/>
    <w:rsid w:val="07483D79"/>
    <w:rsid w:val="074D0AB2"/>
    <w:rsid w:val="076A4F6E"/>
    <w:rsid w:val="079C423A"/>
    <w:rsid w:val="07E93A38"/>
    <w:rsid w:val="080F52E7"/>
    <w:rsid w:val="09242DA9"/>
    <w:rsid w:val="093F4E4D"/>
    <w:rsid w:val="09814F06"/>
    <w:rsid w:val="09890D28"/>
    <w:rsid w:val="09B568F1"/>
    <w:rsid w:val="09DE415D"/>
    <w:rsid w:val="0A30792B"/>
    <w:rsid w:val="0A8D4B48"/>
    <w:rsid w:val="0AA12A60"/>
    <w:rsid w:val="0AA84C46"/>
    <w:rsid w:val="0AA96D74"/>
    <w:rsid w:val="0B665B07"/>
    <w:rsid w:val="0CB01004"/>
    <w:rsid w:val="0CBD73EA"/>
    <w:rsid w:val="0DE563BA"/>
    <w:rsid w:val="0E61138C"/>
    <w:rsid w:val="0ED05529"/>
    <w:rsid w:val="0F0A77F8"/>
    <w:rsid w:val="0FFE4CAA"/>
    <w:rsid w:val="100D4A49"/>
    <w:rsid w:val="102128F8"/>
    <w:rsid w:val="11094C1F"/>
    <w:rsid w:val="11162832"/>
    <w:rsid w:val="113F4FB1"/>
    <w:rsid w:val="12223589"/>
    <w:rsid w:val="12700B18"/>
    <w:rsid w:val="12A2280D"/>
    <w:rsid w:val="138F0E62"/>
    <w:rsid w:val="13B25A04"/>
    <w:rsid w:val="14161E65"/>
    <w:rsid w:val="142514F6"/>
    <w:rsid w:val="14A52CE8"/>
    <w:rsid w:val="158079B5"/>
    <w:rsid w:val="158501B8"/>
    <w:rsid w:val="15B6442D"/>
    <w:rsid w:val="16322D82"/>
    <w:rsid w:val="163E15EA"/>
    <w:rsid w:val="165724FA"/>
    <w:rsid w:val="16DC4F7E"/>
    <w:rsid w:val="16EA44B0"/>
    <w:rsid w:val="17013BD0"/>
    <w:rsid w:val="1868615B"/>
    <w:rsid w:val="18703BE6"/>
    <w:rsid w:val="18A65764"/>
    <w:rsid w:val="18CD25DD"/>
    <w:rsid w:val="18DA1F55"/>
    <w:rsid w:val="18E13530"/>
    <w:rsid w:val="192544BD"/>
    <w:rsid w:val="198203D6"/>
    <w:rsid w:val="19965FCE"/>
    <w:rsid w:val="1AAF61A2"/>
    <w:rsid w:val="1AEF3307"/>
    <w:rsid w:val="1B0D7FB0"/>
    <w:rsid w:val="1B1553EF"/>
    <w:rsid w:val="1B493217"/>
    <w:rsid w:val="1C0B7CDA"/>
    <w:rsid w:val="1C371645"/>
    <w:rsid w:val="1C4E6FFE"/>
    <w:rsid w:val="1D131984"/>
    <w:rsid w:val="1D2E490A"/>
    <w:rsid w:val="1DD40180"/>
    <w:rsid w:val="1DF97905"/>
    <w:rsid w:val="1E2A4221"/>
    <w:rsid w:val="1E903BDD"/>
    <w:rsid w:val="201C2F39"/>
    <w:rsid w:val="20D244C8"/>
    <w:rsid w:val="21324E7A"/>
    <w:rsid w:val="21950724"/>
    <w:rsid w:val="219B6636"/>
    <w:rsid w:val="21BA3075"/>
    <w:rsid w:val="21E90B46"/>
    <w:rsid w:val="2214396E"/>
    <w:rsid w:val="2278331B"/>
    <w:rsid w:val="22F25E74"/>
    <w:rsid w:val="239A2DE6"/>
    <w:rsid w:val="23C71F17"/>
    <w:rsid w:val="23F02505"/>
    <w:rsid w:val="242D1ECE"/>
    <w:rsid w:val="245530BC"/>
    <w:rsid w:val="24FB0452"/>
    <w:rsid w:val="2561064B"/>
    <w:rsid w:val="25DF4011"/>
    <w:rsid w:val="261D5DA7"/>
    <w:rsid w:val="265846B8"/>
    <w:rsid w:val="268A7A16"/>
    <w:rsid w:val="26E17672"/>
    <w:rsid w:val="26E32BA9"/>
    <w:rsid w:val="26F219B8"/>
    <w:rsid w:val="26F76841"/>
    <w:rsid w:val="278D4930"/>
    <w:rsid w:val="27D23C69"/>
    <w:rsid w:val="27FF4931"/>
    <w:rsid w:val="28027DD1"/>
    <w:rsid w:val="28086FB0"/>
    <w:rsid w:val="28402849"/>
    <w:rsid w:val="28422F85"/>
    <w:rsid w:val="286727DD"/>
    <w:rsid w:val="28D126C2"/>
    <w:rsid w:val="29E929BA"/>
    <w:rsid w:val="2A387584"/>
    <w:rsid w:val="2A8E5BB0"/>
    <w:rsid w:val="2B1F0C0E"/>
    <w:rsid w:val="2B5031C9"/>
    <w:rsid w:val="2B616632"/>
    <w:rsid w:val="2BAA7F40"/>
    <w:rsid w:val="2BDF043E"/>
    <w:rsid w:val="2C0229BB"/>
    <w:rsid w:val="2C5A012F"/>
    <w:rsid w:val="2CCF473A"/>
    <w:rsid w:val="2D856C34"/>
    <w:rsid w:val="2D9F25D0"/>
    <w:rsid w:val="2DBC3E98"/>
    <w:rsid w:val="2DD81326"/>
    <w:rsid w:val="2E214924"/>
    <w:rsid w:val="2EF31F45"/>
    <w:rsid w:val="2EF666A7"/>
    <w:rsid w:val="302D396C"/>
    <w:rsid w:val="30B01E8E"/>
    <w:rsid w:val="3184774F"/>
    <w:rsid w:val="318C0659"/>
    <w:rsid w:val="319B347D"/>
    <w:rsid w:val="31A90D8C"/>
    <w:rsid w:val="31B32926"/>
    <w:rsid w:val="31C62419"/>
    <w:rsid w:val="320F4833"/>
    <w:rsid w:val="32A05F86"/>
    <w:rsid w:val="32AE79A2"/>
    <w:rsid w:val="32E21E2C"/>
    <w:rsid w:val="33052DBC"/>
    <w:rsid w:val="332E7326"/>
    <w:rsid w:val="33390A29"/>
    <w:rsid w:val="33AB3C7C"/>
    <w:rsid w:val="33B96F56"/>
    <w:rsid w:val="33D27411"/>
    <w:rsid w:val="33EC595A"/>
    <w:rsid w:val="33F434D3"/>
    <w:rsid w:val="344C2809"/>
    <w:rsid w:val="3489772A"/>
    <w:rsid w:val="34B70939"/>
    <w:rsid w:val="351E3336"/>
    <w:rsid w:val="35AB1481"/>
    <w:rsid w:val="35E90825"/>
    <w:rsid w:val="360600F6"/>
    <w:rsid w:val="36897E5F"/>
    <w:rsid w:val="37022F99"/>
    <w:rsid w:val="377472D4"/>
    <w:rsid w:val="377714FB"/>
    <w:rsid w:val="379C26E0"/>
    <w:rsid w:val="37C22284"/>
    <w:rsid w:val="381E5173"/>
    <w:rsid w:val="3839116C"/>
    <w:rsid w:val="38A8211D"/>
    <w:rsid w:val="38AB58B6"/>
    <w:rsid w:val="38B63396"/>
    <w:rsid w:val="390C495D"/>
    <w:rsid w:val="394A3200"/>
    <w:rsid w:val="39753AD5"/>
    <w:rsid w:val="397C37B6"/>
    <w:rsid w:val="398E1290"/>
    <w:rsid w:val="39A552DA"/>
    <w:rsid w:val="39C14372"/>
    <w:rsid w:val="39CD74C0"/>
    <w:rsid w:val="3A027549"/>
    <w:rsid w:val="3A393873"/>
    <w:rsid w:val="3A5A43D8"/>
    <w:rsid w:val="3AC40C6B"/>
    <w:rsid w:val="3B9C38FC"/>
    <w:rsid w:val="3C196913"/>
    <w:rsid w:val="3C1B2B19"/>
    <w:rsid w:val="3C9173B8"/>
    <w:rsid w:val="3D10098B"/>
    <w:rsid w:val="3DAA3C69"/>
    <w:rsid w:val="3DDD0202"/>
    <w:rsid w:val="3E177786"/>
    <w:rsid w:val="3E2D1D63"/>
    <w:rsid w:val="3E473C1B"/>
    <w:rsid w:val="3E761F06"/>
    <w:rsid w:val="3E8C3B74"/>
    <w:rsid w:val="3EA01B43"/>
    <w:rsid w:val="3EBE4F5D"/>
    <w:rsid w:val="3EF55AF4"/>
    <w:rsid w:val="3F2413A7"/>
    <w:rsid w:val="3F2D52F0"/>
    <w:rsid w:val="3F8E7BD4"/>
    <w:rsid w:val="3F932FC6"/>
    <w:rsid w:val="401146DC"/>
    <w:rsid w:val="403F7498"/>
    <w:rsid w:val="40841349"/>
    <w:rsid w:val="408629BE"/>
    <w:rsid w:val="40B34B69"/>
    <w:rsid w:val="40F455F1"/>
    <w:rsid w:val="4114410D"/>
    <w:rsid w:val="41224603"/>
    <w:rsid w:val="413C3C5C"/>
    <w:rsid w:val="41532A4B"/>
    <w:rsid w:val="41770D52"/>
    <w:rsid w:val="419C753D"/>
    <w:rsid w:val="41B54864"/>
    <w:rsid w:val="42545B1D"/>
    <w:rsid w:val="42AB7620"/>
    <w:rsid w:val="42C11EE1"/>
    <w:rsid w:val="42C1553B"/>
    <w:rsid w:val="42F51E9D"/>
    <w:rsid w:val="43746A5E"/>
    <w:rsid w:val="43934245"/>
    <w:rsid w:val="44714CD2"/>
    <w:rsid w:val="447D7806"/>
    <w:rsid w:val="44BB37CE"/>
    <w:rsid w:val="450442C2"/>
    <w:rsid w:val="4537567F"/>
    <w:rsid w:val="456F6EE1"/>
    <w:rsid w:val="45AD1A99"/>
    <w:rsid w:val="45F84726"/>
    <w:rsid w:val="466D08FD"/>
    <w:rsid w:val="46D37F8D"/>
    <w:rsid w:val="47174D94"/>
    <w:rsid w:val="47660C1F"/>
    <w:rsid w:val="47A40D9B"/>
    <w:rsid w:val="47EE78F9"/>
    <w:rsid w:val="488222CC"/>
    <w:rsid w:val="48945FE7"/>
    <w:rsid w:val="496800AB"/>
    <w:rsid w:val="49AF5D89"/>
    <w:rsid w:val="4AA05E6E"/>
    <w:rsid w:val="4ABC45EA"/>
    <w:rsid w:val="4AC30D49"/>
    <w:rsid w:val="4AC828DE"/>
    <w:rsid w:val="4AE32F8E"/>
    <w:rsid w:val="4AF264A4"/>
    <w:rsid w:val="4B4471ED"/>
    <w:rsid w:val="4BFA0445"/>
    <w:rsid w:val="4C010578"/>
    <w:rsid w:val="4C180005"/>
    <w:rsid w:val="4C5C2204"/>
    <w:rsid w:val="4C947BAF"/>
    <w:rsid w:val="4CCE1C4F"/>
    <w:rsid w:val="4D2A5F6B"/>
    <w:rsid w:val="4D420981"/>
    <w:rsid w:val="4D60230D"/>
    <w:rsid w:val="4D63733A"/>
    <w:rsid w:val="4D8F0456"/>
    <w:rsid w:val="4D8F0E0B"/>
    <w:rsid w:val="4E1A149C"/>
    <w:rsid w:val="4E1F6710"/>
    <w:rsid w:val="4E533B10"/>
    <w:rsid w:val="4E611D50"/>
    <w:rsid w:val="4E644FF3"/>
    <w:rsid w:val="4E7A03FC"/>
    <w:rsid w:val="4E813F06"/>
    <w:rsid w:val="4ECD592C"/>
    <w:rsid w:val="4F0E0996"/>
    <w:rsid w:val="4F287BE0"/>
    <w:rsid w:val="4F361C82"/>
    <w:rsid w:val="4F5A0CD3"/>
    <w:rsid w:val="5031678E"/>
    <w:rsid w:val="50AA65A1"/>
    <w:rsid w:val="50AE454B"/>
    <w:rsid w:val="512E64E4"/>
    <w:rsid w:val="51433CEF"/>
    <w:rsid w:val="515B62C3"/>
    <w:rsid w:val="51617B08"/>
    <w:rsid w:val="5201257C"/>
    <w:rsid w:val="527F30DF"/>
    <w:rsid w:val="529238B7"/>
    <w:rsid w:val="52A5084F"/>
    <w:rsid w:val="539E4E4E"/>
    <w:rsid w:val="53DF4B91"/>
    <w:rsid w:val="540D5BAD"/>
    <w:rsid w:val="55621BB5"/>
    <w:rsid w:val="55642EDD"/>
    <w:rsid w:val="55826A2B"/>
    <w:rsid w:val="55C5055A"/>
    <w:rsid w:val="55D5742D"/>
    <w:rsid w:val="560143E9"/>
    <w:rsid w:val="566762F7"/>
    <w:rsid w:val="56B11CC8"/>
    <w:rsid w:val="56E37F83"/>
    <w:rsid w:val="56F859AE"/>
    <w:rsid w:val="576E293E"/>
    <w:rsid w:val="578B0727"/>
    <w:rsid w:val="57C741C1"/>
    <w:rsid w:val="5812591E"/>
    <w:rsid w:val="58C66B3B"/>
    <w:rsid w:val="58CE1706"/>
    <w:rsid w:val="59140BF0"/>
    <w:rsid w:val="5A006E37"/>
    <w:rsid w:val="5A2C7D99"/>
    <w:rsid w:val="5A321679"/>
    <w:rsid w:val="5A832FBA"/>
    <w:rsid w:val="5AF079F0"/>
    <w:rsid w:val="5B8438D8"/>
    <w:rsid w:val="5BC1701B"/>
    <w:rsid w:val="5BD812DD"/>
    <w:rsid w:val="5BE30E90"/>
    <w:rsid w:val="5BFB00CD"/>
    <w:rsid w:val="5BFD43BD"/>
    <w:rsid w:val="5C4A189C"/>
    <w:rsid w:val="5C944BAD"/>
    <w:rsid w:val="5CA246A9"/>
    <w:rsid w:val="5CB72B2C"/>
    <w:rsid w:val="5D101FB3"/>
    <w:rsid w:val="5D38519C"/>
    <w:rsid w:val="5DAF6C75"/>
    <w:rsid w:val="5DB95FCC"/>
    <w:rsid w:val="5EE86105"/>
    <w:rsid w:val="5FD55CCB"/>
    <w:rsid w:val="6056024B"/>
    <w:rsid w:val="605C2D84"/>
    <w:rsid w:val="60AA56C0"/>
    <w:rsid w:val="60FB5C10"/>
    <w:rsid w:val="6120275C"/>
    <w:rsid w:val="61334FFB"/>
    <w:rsid w:val="61AE0FAD"/>
    <w:rsid w:val="61D96D7C"/>
    <w:rsid w:val="624B4D51"/>
    <w:rsid w:val="625D239F"/>
    <w:rsid w:val="63DF6A68"/>
    <w:rsid w:val="63F15269"/>
    <w:rsid w:val="642F6291"/>
    <w:rsid w:val="64497E25"/>
    <w:rsid w:val="648F3388"/>
    <w:rsid w:val="650160ED"/>
    <w:rsid w:val="65E968CD"/>
    <w:rsid w:val="669E71B4"/>
    <w:rsid w:val="66A87342"/>
    <w:rsid w:val="671D79D2"/>
    <w:rsid w:val="677D745D"/>
    <w:rsid w:val="680F699C"/>
    <w:rsid w:val="68292C53"/>
    <w:rsid w:val="6941146A"/>
    <w:rsid w:val="69583B23"/>
    <w:rsid w:val="69745126"/>
    <w:rsid w:val="69763C4B"/>
    <w:rsid w:val="69972689"/>
    <w:rsid w:val="69A96ADE"/>
    <w:rsid w:val="6A057E8F"/>
    <w:rsid w:val="6A155BFD"/>
    <w:rsid w:val="6A7B2CEB"/>
    <w:rsid w:val="6A8B0FA0"/>
    <w:rsid w:val="6B870395"/>
    <w:rsid w:val="6BFE0879"/>
    <w:rsid w:val="6C2F3CB6"/>
    <w:rsid w:val="6D24313C"/>
    <w:rsid w:val="6D9A1C54"/>
    <w:rsid w:val="6E0901B9"/>
    <w:rsid w:val="6E72284A"/>
    <w:rsid w:val="6EB05AC6"/>
    <w:rsid w:val="6EC37BB2"/>
    <w:rsid w:val="6EED657C"/>
    <w:rsid w:val="6F9451BA"/>
    <w:rsid w:val="6FDE3371"/>
    <w:rsid w:val="6FEC4AF0"/>
    <w:rsid w:val="6FF15253"/>
    <w:rsid w:val="7057797E"/>
    <w:rsid w:val="70B451C2"/>
    <w:rsid w:val="70D97BAF"/>
    <w:rsid w:val="71BF65E4"/>
    <w:rsid w:val="7205615D"/>
    <w:rsid w:val="7258772F"/>
    <w:rsid w:val="728237A4"/>
    <w:rsid w:val="72F144C3"/>
    <w:rsid w:val="73056ECD"/>
    <w:rsid w:val="73372F12"/>
    <w:rsid w:val="736B3BF7"/>
    <w:rsid w:val="73964B9A"/>
    <w:rsid w:val="73C318B1"/>
    <w:rsid w:val="73C825F5"/>
    <w:rsid w:val="73F44A04"/>
    <w:rsid w:val="747375FD"/>
    <w:rsid w:val="74FE043D"/>
    <w:rsid w:val="7599604D"/>
    <w:rsid w:val="75C17421"/>
    <w:rsid w:val="764D5D66"/>
    <w:rsid w:val="76830A36"/>
    <w:rsid w:val="76962E0B"/>
    <w:rsid w:val="769E4996"/>
    <w:rsid w:val="76C24018"/>
    <w:rsid w:val="771A3E8A"/>
    <w:rsid w:val="77F44561"/>
    <w:rsid w:val="780B6B95"/>
    <w:rsid w:val="784035EA"/>
    <w:rsid w:val="78676A51"/>
    <w:rsid w:val="78983C1F"/>
    <w:rsid w:val="78B73015"/>
    <w:rsid w:val="78E31B6F"/>
    <w:rsid w:val="78EF7D2F"/>
    <w:rsid w:val="78F266D4"/>
    <w:rsid w:val="78F346DA"/>
    <w:rsid w:val="790915EA"/>
    <w:rsid w:val="79BB20C7"/>
    <w:rsid w:val="79C70258"/>
    <w:rsid w:val="79F77A60"/>
    <w:rsid w:val="7A264945"/>
    <w:rsid w:val="7A2F6B8C"/>
    <w:rsid w:val="7A6D2C75"/>
    <w:rsid w:val="7AF71D3E"/>
    <w:rsid w:val="7B120B29"/>
    <w:rsid w:val="7B26797F"/>
    <w:rsid w:val="7B8356E5"/>
    <w:rsid w:val="7BCF1468"/>
    <w:rsid w:val="7BF06C12"/>
    <w:rsid w:val="7C08514E"/>
    <w:rsid w:val="7C4059A1"/>
    <w:rsid w:val="7C5C0132"/>
    <w:rsid w:val="7CED2565"/>
    <w:rsid w:val="7D391C4C"/>
    <w:rsid w:val="7D7F2AF7"/>
    <w:rsid w:val="7DE24BD3"/>
    <w:rsid w:val="7DF913F9"/>
    <w:rsid w:val="7EC47386"/>
    <w:rsid w:val="7F1F40C0"/>
    <w:rsid w:val="7F3701B5"/>
    <w:rsid w:val="7F390F6B"/>
    <w:rsid w:val="7F9526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opLinePunct/>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440" w:lineRule="exact"/>
      <w:ind w:firstLine="420"/>
    </w:pPr>
    <w:rPr>
      <w:rFonts w:eastAsia="仿宋_GB2312"/>
      <w:sz w:val="24"/>
    </w:rPr>
  </w:style>
  <w:style w:type="paragraph" w:styleId="3">
    <w:name w:val="Body Text"/>
    <w:basedOn w:val="1"/>
    <w:next w:val="4"/>
    <w:semiHidden/>
    <w:qFormat/>
    <w:uiPriority w:val="0"/>
    <w:pPr>
      <w:spacing w:after="120"/>
    </w:pPr>
  </w:style>
  <w:style w:type="paragraph" w:styleId="4">
    <w:name w:val="Title"/>
    <w:basedOn w:val="1"/>
    <w:next w:val="1"/>
    <w:qFormat/>
    <w:uiPriority w:val="0"/>
    <w:pPr>
      <w:widowControl w:val="0"/>
      <w:numPr>
        <w:ilvl w:val="0"/>
        <w:numId w:val="1"/>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5">
    <w:name w:val="Plain Text"/>
    <w:basedOn w:val="1"/>
    <w:semiHidden/>
    <w:qFormat/>
    <w:uiPriority w:val="0"/>
    <w:rPr>
      <w:rFonts w:ascii="宋体" w:hAnsi="Courier New" w:cs="Courier New"/>
      <w:szCs w:val="21"/>
    </w:rPr>
  </w:style>
  <w:style w:type="paragraph" w:styleId="6">
    <w:name w:val="Date"/>
    <w:basedOn w:val="1"/>
    <w:next w:val="1"/>
    <w:semiHidden/>
    <w:qFormat/>
    <w:uiPriority w:val="0"/>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
    <w:name w:val="2z"/>
    <w:basedOn w:val="15"/>
    <w:qFormat/>
    <w:uiPriority w:val="0"/>
    <w:pPr>
      <w:spacing w:line="480" w:lineRule="auto"/>
    </w:pPr>
  </w:style>
  <w:style w:type="paragraph" w:customStyle="1" w:styleId="15">
    <w:name w:val="附录二"/>
    <w:basedOn w:val="5"/>
    <w:semiHidden/>
    <w:qFormat/>
    <w:uiPriority w:val="0"/>
    <w:pPr>
      <w:spacing w:line="312" w:lineRule="exact"/>
    </w:pPr>
    <w:rPr>
      <w:rFonts w:ascii="EU-F1" w:hAnsi="Times New Roman" w:eastAsia="黑体" w:cs="Times New Roman"/>
      <w:kern w:val="21"/>
    </w:rPr>
  </w:style>
  <w:style w:type="paragraph" w:customStyle="1" w:styleId="16">
    <w:name w:val="3z"/>
    <w:basedOn w:val="15"/>
    <w:qFormat/>
    <w:uiPriority w:val="0"/>
    <w:rPr>
      <w:kern w:val="2"/>
    </w:rPr>
  </w:style>
  <w:style w:type="character" w:customStyle="1" w:styleId="17">
    <w:name w:val="F1 Char"/>
    <w:link w:val="18"/>
    <w:qFormat/>
    <w:uiPriority w:val="0"/>
    <w:rPr>
      <w:kern w:val="2"/>
    </w:rPr>
  </w:style>
  <w:style w:type="paragraph" w:customStyle="1" w:styleId="18">
    <w:name w:val="F1"/>
    <w:basedOn w:val="15"/>
    <w:link w:val="17"/>
    <w:qFormat/>
    <w:uiPriority w:val="0"/>
    <w:pPr>
      <w:topLinePunct/>
    </w:pPr>
    <w:rPr>
      <w:kern w:val="2"/>
    </w:rPr>
  </w:style>
  <w:style w:type="character" w:customStyle="1" w:styleId="19">
    <w:name w:val="z Char"/>
    <w:link w:val="20"/>
    <w:qFormat/>
    <w:uiPriority w:val="0"/>
    <w:rPr>
      <w:rFonts w:ascii="EU-F1" w:eastAsia="EU-F1"/>
      <w:bCs/>
      <w:szCs w:val="24"/>
    </w:rPr>
  </w:style>
  <w:style w:type="paragraph" w:customStyle="1" w:styleId="20">
    <w:name w:val="z"/>
    <w:basedOn w:val="1"/>
    <w:link w:val="19"/>
    <w:qFormat/>
    <w:uiPriority w:val="0"/>
    <w:pPr>
      <w:overflowPunct w:val="0"/>
      <w:topLinePunct/>
      <w:spacing w:line="312" w:lineRule="exact"/>
    </w:pPr>
    <w:rPr>
      <w:rFonts w:ascii="EU-F1" w:eastAsia="EU-F1"/>
      <w:bCs/>
      <w:szCs w:val="24"/>
    </w:rPr>
  </w:style>
  <w:style w:type="paragraph" w:customStyle="1" w:styleId="21">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 w:type="paragraph" w:customStyle="1" w:styleId="22">
    <w:name w:val="二级条标题"/>
    <w:basedOn w:val="23"/>
    <w:next w:val="25"/>
    <w:semiHidden/>
    <w:qFormat/>
    <w:uiPriority w:val="0"/>
    <w:pPr>
      <w:widowControl/>
      <w:numPr>
        <w:ilvl w:val="3"/>
        <w:numId w:val="2"/>
      </w:numPr>
      <w:tabs>
        <w:tab w:val="left" w:pos="420"/>
        <w:tab w:val="left" w:pos="525"/>
        <w:tab w:val="left" w:pos="1740"/>
        <w:tab w:val="left" w:pos="2040"/>
      </w:tabs>
      <w:jc w:val="left"/>
      <w:outlineLvl w:val="3"/>
    </w:pPr>
    <w:rPr>
      <w:rFonts w:eastAsia="黑体"/>
      <w:kern w:val="0"/>
    </w:rPr>
  </w:style>
  <w:style w:type="paragraph" w:customStyle="1" w:styleId="23">
    <w:name w:val="一级条标题"/>
    <w:basedOn w:val="24"/>
    <w:next w:val="25"/>
    <w:semiHidden/>
    <w:qFormat/>
    <w:uiPriority w:val="0"/>
    <w:pPr>
      <w:numPr>
        <w:ilvl w:val="2"/>
        <w:numId w:val="0"/>
      </w:numPr>
      <w:tabs>
        <w:tab w:val="left" w:pos="420"/>
        <w:tab w:val="left" w:pos="525"/>
        <w:tab w:val="left" w:pos="1740"/>
        <w:tab w:val="left" w:pos="2040"/>
      </w:tabs>
      <w:outlineLvl w:val="2"/>
    </w:pPr>
    <w:rPr>
      <w:rFonts w:ascii="黑体" w:eastAsia="黑体"/>
      <w:b w:val="0"/>
      <w:lang w:val="en-US" w:eastAsia="zh-CN" w:bidi="ar-SA"/>
    </w:rPr>
  </w:style>
  <w:style w:type="paragraph" w:customStyle="1" w:styleId="24">
    <w:name w:val="章标题"/>
    <w:next w:val="25"/>
    <w:semiHidden/>
    <w:qFormat/>
    <w:uiPriority w:val="0"/>
    <w:pPr>
      <w:numPr>
        <w:ilvl w:val="1"/>
        <w:numId w:val="3"/>
      </w:numPr>
      <w:tabs>
        <w:tab w:val="left" w:pos="420"/>
        <w:tab w:val="left" w:pos="204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25">
    <w:name w:val="段"/>
    <w:semiHidden/>
    <w:qFormat/>
    <w:uiPriority w:val="0"/>
    <w:pPr>
      <w:ind w:firstLine="200" w:firstLineChars="200"/>
      <w:jc w:val="both"/>
    </w:pPr>
    <w:rPr>
      <w:rFonts w:ascii="宋体" w:hAnsi="Times New Roman" w:eastAsia="宋体" w:cs="Times New Roman"/>
      <w:sz w:val="21"/>
      <w:lang w:val="en-US" w:eastAsia="zh-CN" w:bidi="ar-SA"/>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 w:type="paragraph" w:customStyle="1" w:styleId="28">
    <w:name w:val="r"/>
    <w:basedOn w:val="1"/>
    <w:qFormat/>
    <w:uiPriority w:val="0"/>
    <w:pPr>
      <w:widowControl/>
      <w:topLinePunct/>
      <w:snapToGrid w:val="0"/>
      <w:spacing w:before="60" w:after="60"/>
      <w:jc w:val="center"/>
    </w:pPr>
    <w:rPr>
      <w:sz w:val="18"/>
      <w:szCs w:val="18"/>
    </w:rPr>
  </w:style>
  <w:style w:type="character" w:customStyle="1" w:styleId="29">
    <w:name w:val="NormalCharacter"/>
    <w:qFormat/>
    <w:uiPriority w:val="0"/>
  </w:style>
  <w:style w:type="paragraph" w:customStyle="1" w:styleId="30">
    <w:name w:val="x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31">
    <w:name w:val="x11"/>
    <w:basedOn w:val="13"/>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2021-03-15T08:08:00Z</dcterms:created>
  <dc:creator>yndw</dc:creator>
  <cp:lastModifiedBy>LSC</cp:lastModifiedBy>
  <dcterms:modified xsi:type="dcterms:W3CDTF">2024-08-15T06:35:19Z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FDC6BCA74A0442CA9174FDC8684891B1</vt:lpwstr>
  </property>
</Properties>
</file>