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jc w:val="center"/>
        <w:rPr>
          <w:rFonts w:ascii="隶书" w:eastAsia="隶书"/>
          <w:sz w:val="48"/>
          <w:szCs w:val="48"/>
        </w:rPr>
      </w:pPr>
      <w:r>
        <w:rPr>
          <w:rFonts w:hint="eastAsia" w:ascii="黑体" w:hAnsi="黑体" w:eastAsia="黑体" w:cs="黑体"/>
          <w:sz w:val="48"/>
          <w:szCs w:val="48"/>
        </w:rPr>
        <w:t xml:space="preserve">基于北斗的无人机跟踪及防坠失一体装置测试及加工服务 </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2024年03月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tabs>
          <w:tab w:val="right" w:leader="dot" w:pos="8306"/>
        </w:tabs>
        <w:spacing w:line="560" w:lineRule="exact"/>
        <w:rPr>
          <w:rFonts w:ascii="黑体" w:hAnsi="黑体" w:eastAsia="黑体"/>
          <w:sz w:val="24"/>
        </w:rPr>
      </w:pPr>
      <w:r>
        <w:rPr>
          <w:rFonts w:hint="eastAsia" w:ascii="黑体" w:hAnsi="黑体" w:eastAsia="黑体" w:cs="黑体"/>
          <w:sz w:val="24"/>
        </w:rPr>
        <w:fldChar w:fldCharType="begin"/>
      </w:r>
      <w:r>
        <w:rPr>
          <w:rFonts w:hint="eastAsia" w:ascii="黑体" w:hAnsi="黑体" w:eastAsia="黑体" w:cs="黑体"/>
          <w:sz w:val="24"/>
        </w:rPr>
        <w:instrText xml:space="preserve">TOC \o "1-2" \h \u </w:instrText>
      </w:r>
      <w:r>
        <w:rPr>
          <w:rFonts w:hint="eastAsia" w:ascii="黑体" w:hAnsi="黑体" w:eastAsia="黑体" w:cs="黑体"/>
          <w:sz w:val="24"/>
        </w:rPr>
        <w:fldChar w:fldCharType="separate"/>
      </w:r>
      <w:r>
        <w:fldChar w:fldCharType="begin"/>
      </w:r>
      <w:r>
        <w:instrText xml:space="preserve"> HYPERLINK \l "_Toc13824" </w:instrText>
      </w:r>
      <w:r>
        <w:fldChar w:fldCharType="separate"/>
      </w:r>
      <w:r>
        <w:rPr>
          <w:rFonts w:hint="eastAsia" w:ascii="黑体" w:hAnsi="黑体" w:eastAsia="黑体"/>
          <w:b/>
          <w:sz w:val="24"/>
        </w:rPr>
        <w:t>总 则</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_Toc13824 \h </w:instrText>
      </w:r>
      <w:r>
        <w:rPr>
          <w:rFonts w:ascii="黑体" w:hAnsi="黑体" w:eastAsia="黑体"/>
          <w:sz w:val="24"/>
        </w:rPr>
        <w:fldChar w:fldCharType="separate"/>
      </w:r>
      <w:r>
        <w:rPr>
          <w:rFonts w:ascii="黑体" w:hAnsi="黑体" w:eastAsia="黑体"/>
          <w:sz w:val="24"/>
        </w:rPr>
        <w:t>2</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"_Toc4772" </w:instrText>
      </w:r>
      <w:r>
        <w:fldChar w:fldCharType="separate"/>
      </w:r>
      <w:r>
        <w:rPr>
          <w:rFonts w:ascii="黑体" w:hAnsi="黑体" w:eastAsia="黑体" w:cs="黑体"/>
          <w:sz w:val="24"/>
        </w:rPr>
        <w:t>1</w:t>
      </w:r>
      <w:r>
        <w:rPr>
          <w:rFonts w:hint="eastAsia" w:ascii="黑体" w:hAnsi="黑体" w:eastAsia="黑体" w:cs="黑体"/>
          <w:sz w:val="24"/>
        </w:rPr>
        <w:t xml:space="preserve">  服务内容及目的</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_Toc4772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"_Toc2001" </w:instrText>
      </w:r>
      <w:r>
        <w:fldChar w:fldCharType="separate"/>
      </w:r>
      <w:r>
        <w:rPr>
          <w:rFonts w:ascii="黑体" w:hAnsi="黑体" w:eastAsia="黑体" w:cs="黑体"/>
          <w:sz w:val="24"/>
        </w:rPr>
        <w:t>2</w:t>
      </w:r>
      <w:r>
        <w:rPr>
          <w:rFonts w:hint="eastAsia" w:ascii="黑体" w:hAnsi="黑体" w:eastAsia="黑体" w:cs="黑体"/>
          <w:sz w:val="24"/>
        </w:rPr>
        <w:t xml:space="preserve">  主要技术指标要求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_Toc2001 \h </w:instrText>
      </w:r>
      <w:r>
        <w:rPr>
          <w:rFonts w:ascii="黑体" w:hAnsi="黑体" w:eastAsia="黑体"/>
          <w:sz w:val="24"/>
        </w:rPr>
        <w:fldChar w:fldCharType="separate"/>
      </w:r>
      <w:r>
        <w:rPr>
          <w:rFonts w:ascii="黑体" w:hAnsi="黑体" w:eastAsia="黑体"/>
          <w:sz w:val="24"/>
        </w:rPr>
        <w:t>3</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"_Toc30385" </w:instrText>
      </w:r>
      <w:r>
        <w:fldChar w:fldCharType="separate"/>
      </w:r>
      <w:r>
        <w:rPr>
          <w:rFonts w:ascii="黑体" w:hAnsi="黑体" w:eastAsia="黑体" w:cs="黑体"/>
          <w:sz w:val="24"/>
        </w:rPr>
        <w:t>3</w:t>
      </w:r>
      <w:r>
        <w:rPr>
          <w:rFonts w:hint="eastAsia" w:ascii="黑体" w:hAnsi="黑体" w:eastAsia="黑体" w:cs="黑体"/>
          <w:sz w:val="24"/>
        </w:rPr>
        <w:t xml:space="preserve">  成果交付与验收</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_Toc30385 \h </w:instrText>
      </w:r>
      <w:r>
        <w:rPr>
          <w:rFonts w:ascii="黑体" w:hAnsi="黑体" w:eastAsia="黑体"/>
          <w:sz w:val="24"/>
        </w:rPr>
        <w:fldChar w:fldCharType="separate"/>
      </w:r>
      <w:r>
        <w:rPr>
          <w:rFonts w:ascii="黑体" w:hAnsi="黑体" w:eastAsia="黑体"/>
          <w:sz w:val="24"/>
        </w:rPr>
        <w:t>4</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pacing w:line="560" w:lineRule="exact"/>
        <w:rPr>
          <w:rFonts w:ascii="黑体" w:hAnsi="黑体" w:eastAsia="黑体"/>
          <w:sz w:val="24"/>
        </w:rPr>
      </w:pPr>
      <w:r>
        <w:fldChar w:fldCharType="begin"/>
      </w:r>
      <w:r>
        <w:instrText xml:space="preserve"> HYPERLINK \l "_Toc24706" </w:instrText>
      </w:r>
      <w:r>
        <w:fldChar w:fldCharType="separate"/>
      </w:r>
      <w:r>
        <w:rPr>
          <w:rFonts w:ascii="黑体" w:hAnsi="黑体" w:eastAsia="黑体" w:cs="黑体"/>
          <w:sz w:val="24"/>
        </w:rPr>
        <w:t>4</w:t>
      </w:r>
      <w:r>
        <w:rPr>
          <w:rFonts w:hint="eastAsia" w:ascii="黑体" w:hAnsi="黑体" w:eastAsia="黑体" w:cs="黑体"/>
          <w:sz w:val="24"/>
        </w:rPr>
        <w:t xml:space="preserve">  资格要求</w:t>
      </w:r>
      <w:r>
        <w:rPr>
          <w:rFonts w:ascii="黑体" w:hAnsi="黑体" w:eastAsia="黑体"/>
          <w:sz w:val="24"/>
        </w:rPr>
        <w:tab/>
      </w:r>
      <w:r>
        <w:rPr>
          <w:rFonts w:ascii="黑体" w:hAnsi="黑体" w:eastAsia="黑体"/>
          <w:sz w:val="24"/>
        </w:rPr>
        <w:fldChar w:fldCharType="begin"/>
      </w:r>
      <w:r>
        <w:rPr>
          <w:rFonts w:ascii="黑体" w:hAnsi="黑体" w:eastAsia="黑体"/>
          <w:sz w:val="24"/>
        </w:rPr>
        <w:instrText xml:space="preserve"> PAGEREF _Toc24706 \h </w:instrText>
      </w:r>
      <w:r>
        <w:rPr>
          <w:rFonts w:ascii="黑体" w:hAnsi="黑体" w:eastAsia="黑体"/>
          <w:sz w:val="24"/>
        </w:rPr>
        <w:fldChar w:fldCharType="separate"/>
      </w:r>
      <w:r>
        <w:rPr>
          <w:rFonts w:ascii="黑体" w:hAnsi="黑体" w:eastAsia="黑体"/>
          <w:sz w:val="24"/>
        </w:rPr>
        <w:t>5</w:t>
      </w:r>
      <w:r>
        <w:rPr>
          <w:rFonts w:ascii="黑体" w:hAnsi="黑体" w:eastAsia="黑体"/>
          <w:sz w:val="24"/>
        </w:rPr>
        <w:fldChar w:fldCharType="end"/>
      </w:r>
      <w:r>
        <w:rPr>
          <w:rFonts w:ascii="黑体" w:hAnsi="黑体" w:eastAsia="黑体"/>
          <w:sz w:val="24"/>
        </w:rPr>
        <w:fldChar w:fldCharType="end"/>
      </w:r>
    </w:p>
    <w:p>
      <w:pPr>
        <w:pStyle w:val="12"/>
        <w:tabs>
          <w:tab w:val="right" w:leader="dot" w:pos="8306"/>
        </w:tabs>
        <w:snapToGrid w:val="0"/>
        <w:spacing w:line="560" w:lineRule="exact"/>
        <w:rPr>
          <w:rFonts w:ascii="黑体" w:hAnsi="黑体" w:eastAsia="黑体" w:cs="黑体"/>
          <w:b/>
          <w:sz w:val="24"/>
        </w:rPr>
      </w:pPr>
      <w:r>
        <w:rPr>
          <w:rFonts w:hint="eastAsia" w:ascii="黑体" w:hAnsi="黑体" w:eastAsia="黑体" w:cs="黑体"/>
          <w:sz w:val="24"/>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17586"/>
      <w:bookmarkStart w:id="4" w:name="_Toc266713645"/>
      <w:bookmarkStart w:id="5" w:name="_Toc13824"/>
      <w:bookmarkStart w:id="6" w:name="_Toc161832193"/>
      <w:bookmarkStart w:id="7" w:name="_Toc32374"/>
      <w:bookmarkStart w:id="8" w:name="_Toc19589"/>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161832194"/>
      <w:bookmarkStart w:id="10" w:name="_Toc4772"/>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spacing w:line="360" w:lineRule="auto"/>
        <w:ind w:firstLine="480" w:firstLineChars="200"/>
        <w:rPr>
          <w:rFonts w:ascii="黑体" w:hAnsi="黑体" w:eastAsia="黑体" w:cs="黑体"/>
          <w:bCs/>
          <w:sz w:val="24"/>
        </w:rPr>
      </w:pPr>
      <w:r>
        <w:rPr>
          <w:rFonts w:hint="eastAsia" w:ascii="宋体" w:hAnsi="宋体"/>
          <w:sz w:val="24"/>
        </w:rPr>
        <w:t>无人机作为输电线路智能化转型重要工具载体发挥越来越多作用，目前线路日常巡视上无人机作业频次已经远远超过人工作业频次，并且大型无人机及激光雷达等多功能负载已经越来越多，超视距飞行已成常态。但是大型飞机搭载较贵重负载依靠长续航优势在超视距飞行中，一旦发生炸机将造成较大财产损失，并且对地面设备及人员有较大威胁，急需研制一种具备定位及防坠失功能的无人机安全装置。</w:t>
      </w:r>
      <w:r>
        <w:rPr>
          <w:rFonts w:hint="eastAsia"/>
          <w:sz w:val="24"/>
        </w:rPr>
        <w:t>本项目拟加工基于北斗的无人机跟踪及防坠失一体装置开展相关测试。通过</w:t>
      </w:r>
      <w:r>
        <w:rPr>
          <w:rFonts w:hint="eastAsia" w:ascii="宋体" w:hAnsi="宋体"/>
          <w:sz w:val="24"/>
        </w:rPr>
        <w:t>设计适用于中型无人机的降落装置，确保无人机在失控失速状态下受到保护缓慢下坠，减少对地面及无人机本体冲击损坏。其次是基于北斗定位及短报文传送功能设计无人机定位追踪模块，实现对无人机定位实时跟踪，提升无人机找寻效率</w:t>
      </w:r>
      <w:r>
        <w:rPr>
          <w:rFonts w:hint="eastAsia"/>
          <w:sz w:val="24"/>
        </w:rPr>
        <w:t>。服务方需要提供满足主要技术指标要求的</w:t>
      </w:r>
      <w:r>
        <w:rPr>
          <w:rFonts w:hint="eastAsia"/>
          <w:sz w:val="24"/>
          <w:lang w:val="en-US" w:eastAsia="zh-CN"/>
        </w:rPr>
        <w:t>相关物资设备并提供相关加工测试服务，</w:t>
      </w:r>
      <w:r>
        <w:rPr>
          <w:rFonts w:hint="eastAsia"/>
          <w:sz w:val="24"/>
        </w:rPr>
        <w:t>以及在项目进行中为达成既定目标提出的其他需求。</w:t>
      </w:r>
    </w:p>
    <w:p>
      <w:pPr>
        <w:pStyle w:val="23"/>
        <w:spacing w:before="312"/>
        <w:outlineLvl w:val="0"/>
        <w:rPr>
          <w:rFonts w:asciiTheme="minorEastAsia" w:hAnsiTheme="minorEastAsia" w:eastAsiaTheme="minorEastAsia" w:cstheme="minorEastAsia"/>
          <w:bCs/>
          <w:color w:val="C00000"/>
        </w:rPr>
      </w:pPr>
      <w:bookmarkStart w:id="11" w:name="_Toc2001"/>
      <w:bookmarkStart w:id="12" w:name="_Toc161832195"/>
      <w:r>
        <w:rPr>
          <w:rFonts w:ascii="黑体" w:hAnsi="黑体" w:eastAsia="黑体" w:cs="黑体"/>
          <w:sz w:val="28"/>
          <w:szCs w:val="28"/>
        </w:rPr>
        <w:t>2</w:t>
      </w:r>
      <w:r>
        <w:rPr>
          <w:rFonts w:hint="eastAsia" w:ascii="黑体" w:hAnsi="黑体" w:eastAsia="黑体" w:cs="黑体"/>
          <w:sz w:val="28"/>
          <w:szCs w:val="28"/>
        </w:rPr>
        <w:t xml:space="preserve">  主要技术指标要求</w:t>
      </w:r>
      <w:bookmarkEnd w:id="11"/>
      <w:bookmarkEnd w:id="12"/>
    </w:p>
    <w:p>
      <w:pPr>
        <w:pStyle w:val="6"/>
        <w:rPr>
          <w:rFonts w:asciiTheme="minorEastAsia" w:hAnsiTheme="minorEastAsia" w:eastAsiaTheme="minorEastAsia" w:cstheme="minorEastAsia"/>
          <w:color w:val="000000"/>
          <w:sz w:val="24"/>
        </w:rPr>
      </w:pPr>
      <w:r>
        <w:rPr>
          <w:rFonts w:hint="eastAsia" w:ascii="宋体" w:hAnsi="宋体"/>
          <w:sz w:val="24"/>
          <w:lang w:val="en-US" w:eastAsia="zh-CN"/>
        </w:rPr>
        <w:t xml:space="preserve">2.1 </w:t>
      </w:r>
      <w:r>
        <w:rPr>
          <w:rFonts w:hint="eastAsia" w:ascii="宋体" w:hAnsi="宋体"/>
          <w:sz w:val="24"/>
        </w:rPr>
        <w:t>基于北斗的无人机跟踪及防坠失一体装置</w:t>
      </w:r>
      <w:r>
        <w:rPr>
          <w:rFonts w:hint="eastAsia" w:ascii="宋体" w:hAnsi="宋体"/>
          <w:sz w:val="24"/>
          <w:lang w:val="en-US" w:eastAsia="zh-CN"/>
        </w:rPr>
        <w:t>加工测试所需性能</w:t>
      </w:r>
      <w:r>
        <w:rPr>
          <w:rFonts w:hint="eastAsia" w:asciiTheme="minorEastAsia" w:hAnsiTheme="minorEastAsia" w:eastAsiaTheme="minorEastAsia" w:cstheme="minorEastAsia"/>
          <w:color w:val="000000"/>
          <w:sz w:val="24"/>
        </w:rPr>
        <w:t>：</w:t>
      </w:r>
    </w:p>
    <w:p>
      <w:pPr>
        <w:pStyle w:val="6"/>
        <w:numPr>
          <w:ilvl w:val="0"/>
          <w:numId w:val="3"/>
        </w:numPr>
        <w:rPr>
          <w:sz w:val="24"/>
        </w:rPr>
      </w:pPr>
      <w:r>
        <w:rPr>
          <w:rFonts w:hint="eastAsia" w:ascii="宋体" w:hAnsi="宋体"/>
          <w:sz w:val="24"/>
          <w:lang w:val="en-US" w:eastAsia="zh-CN"/>
        </w:rPr>
        <w:t>可回收型小型降落伞及配套伞绳，不少于10kg冲击负重；可收纳浮球完全充气体积大于0.3立方米</w:t>
      </w:r>
      <w:r>
        <w:rPr>
          <w:rFonts w:hint="eastAsia"/>
          <w:sz w:val="24"/>
        </w:rPr>
        <w:t>。</w:t>
      </w:r>
    </w:p>
    <w:p>
      <w:pPr>
        <w:pStyle w:val="6"/>
        <w:numPr>
          <w:ilvl w:val="0"/>
          <w:numId w:val="3"/>
        </w:numPr>
        <w:rPr>
          <w:sz w:val="24"/>
        </w:rPr>
      </w:pPr>
      <w:r>
        <w:rPr>
          <w:rFonts w:hint="eastAsia" w:ascii="宋体" w:hAnsi="宋体"/>
          <w:sz w:val="24"/>
          <w:lang w:val="en-US" w:eastAsia="zh-CN"/>
        </w:rPr>
        <w:t>单片机可编程控制主板串口不少于2路，控制灵敏度大于10%。</w:t>
      </w:r>
    </w:p>
    <w:p>
      <w:pPr>
        <w:pStyle w:val="6"/>
        <w:numPr>
          <w:ilvl w:val="0"/>
          <w:numId w:val="3"/>
        </w:numPr>
        <w:rPr>
          <w:rFonts w:hint="eastAsia"/>
          <w:lang w:val="en-US" w:eastAsia="zh-CN"/>
        </w:rPr>
      </w:pPr>
      <w:r>
        <w:rPr>
          <w:rFonts w:hint="eastAsia" w:ascii="宋体" w:hAnsi="宋体"/>
          <w:sz w:val="24"/>
          <w:lang w:val="en-US" w:eastAsia="zh-CN"/>
        </w:rPr>
        <w:t>北斗定位定位精度不大于分米级，增益大于20db</w:t>
      </w:r>
      <w:r>
        <w:rPr>
          <w:rFonts w:hint="eastAsia"/>
          <w:sz w:val="24"/>
          <w:lang w:eastAsia="zh-CN"/>
        </w:rPr>
        <w:t>。</w:t>
      </w:r>
    </w:p>
    <w:p>
      <w:pPr>
        <w:pStyle w:val="6"/>
        <w:numPr>
          <w:ilvl w:val="0"/>
          <w:numId w:val="3"/>
        </w:numPr>
        <w:rPr>
          <w:sz w:val="24"/>
        </w:rPr>
      </w:pPr>
      <w:r>
        <w:rPr>
          <w:rFonts w:hint="eastAsia" w:ascii="宋体" w:hAnsi="宋体"/>
          <w:sz w:val="24"/>
          <w:lang w:val="en-US" w:eastAsia="zh-CN"/>
        </w:rPr>
        <w:t>按照设计图纸加工适用于M300等中型飞机的结构部件。开展功能组件性能测试，开展失重测试及入水测试，设备动作响应速度小于2s</w:t>
      </w:r>
      <w:r>
        <w:rPr>
          <w:rFonts w:hint="eastAsia"/>
          <w:sz w:val="24"/>
        </w:rPr>
        <w:t>。</w:t>
      </w:r>
    </w:p>
    <w:p>
      <w:pPr>
        <w:pStyle w:val="6"/>
        <w:numPr>
          <w:ilvl w:val="0"/>
          <w:numId w:val="3"/>
        </w:numPr>
        <w:rPr>
          <w:sz w:val="24"/>
        </w:rPr>
      </w:pPr>
      <w:r>
        <w:rPr>
          <w:rFonts w:hint="eastAsia" w:ascii="宋体" w:hAnsi="宋体"/>
          <w:sz w:val="24"/>
          <w:lang w:val="en-US" w:eastAsia="zh-CN"/>
        </w:rPr>
        <w:t>按照图纸完成结构配件3D打印加工，打印精度不大于3mm。</w:t>
      </w:r>
      <w:bookmarkStart w:id="13" w:name="_Toc266713650"/>
    </w:p>
    <w:p>
      <w:pPr>
        <w:pStyle w:val="6"/>
        <w:numPr>
          <w:ilvl w:val="0"/>
          <w:numId w:val="3"/>
        </w:numPr>
        <w:rPr>
          <w:sz w:val="24"/>
        </w:rPr>
      </w:pPr>
      <w:r>
        <w:rPr>
          <w:rFonts w:hint="eastAsia" w:ascii="宋体" w:hAnsi="宋体"/>
          <w:sz w:val="24"/>
          <w:lang w:val="en-US" w:eastAsia="zh-CN"/>
        </w:rPr>
        <w:t>加工测试相关技术要求、配套材料及其他线缆配件</w:t>
      </w:r>
      <w:r>
        <w:rPr>
          <w:rFonts w:hint="eastAsia"/>
          <w:sz w:val="24"/>
        </w:rPr>
        <w:t>按照项目实施要求开展相应调整。</w:t>
      </w:r>
    </w:p>
    <w:p/>
    <w:p>
      <w:pPr>
        <w:pStyle w:val="23"/>
        <w:spacing w:before="312"/>
        <w:outlineLvl w:val="0"/>
        <w:rPr>
          <w:rFonts w:ascii="黑体" w:hAnsi="黑体" w:eastAsia="黑体" w:cs="黑体"/>
          <w:sz w:val="28"/>
          <w:szCs w:val="28"/>
        </w:rPr>
      </w:pPr>
      <w:bookmarkStart w:id="14" w:name="_Toc161832196"/>
      <w:bookmarkStart w:id="15" w:name="_Toc30385"/>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hint="eastAsia" w:ascii="黑体" w:hAnsi="黑体" w:eastAsia="黑体" w:cs="黑体"/>
          <w:bCs/>
          <w:sz w:val="24"/>
        </w:rPr>
      </w:pPr>
      <w:bookmarkStart w:id="16" w:name="_Toc161832197"/>
      <w:r>
        <w:rPr>
          <w:rFonts w:hint="eastAsia" w:asciiTheme="minorEastAsia" w:hAnsiTheme="minorEastAsia" w:eastAsiaTheme="minorEastAsia" w:cstheme="minorEastAsia"/>
          <w:color w:val="000000"/>
          <w:sz w:val="24"/>
        </w:rPr>
        <w:t>本服务甲方享有所制作装置及测试加工过程数据的所有权。未经甲方许可，乙方不得使用或向第三方透露测试加工过程的全部数据及所制作装置的本体和相关信息。乙方需于2024年</w:t>
      </w:r>
      <w:r>
        <w:rPr>
          <w:rFonts w:hint="eastAsia" w:asciiTheme="minorEastAsia" w:hAnsiTheme="minorEastAsia" w:eastAsiaTheme="minorEastAsia" w:cstheme="minorEastAsia"/>
          <w:color w:val="000000"/>
          <w:sz w:val="24"/>
          <w:lang w:val="en-US" w:eastAsia="zh-CN"/>
        </w:rPr>
        <w:t>10</w:t>
      </w:r>
      <w:r>
        <w:rPr>
          <w:rFonts w:hint="eastAsia" w:asciiTheme="minorEastAsia" w:hAnsiTheme="minorEastAsia" w:eastAsiaTheme="minorEastAsia" w:cstheme="minorEastAsia"/>
          <w:color w:val="000000"/>
          <w:sz w:val="24"/>
        </w:rPr>
        <w:t>月30日前交付符合技术指标要求的</w:t>
      </w:r>
      <w:r>
        <w:rPr>
          <w:rFonts w:hint="eastAsia" w:ascii="宋体" w:hAnsi="宋体"/>
          <w:sz w:val="24"/>
        </w:rPr>
        <w:t>基于北斗的无人机跟踪及防坠失一体装置</w:t>
      </w:r>
      <w:r>
        <w:rPr>
          <w:rFonts w:hint="eastAsia" w:asciiTheme="minorEastAsia" w:hAnsiTheme="minorEastAsia" w:eastAsiaTheme="minorEastAsia" w:cstheme="minorEastAsia"/>
          <w:color w:val="000000"/>
          <w:sz w:val="24"/>
        </w:rPr>
        <w:t>测试数据及</w:t>
      </w:r>
      <w:r>
        <w:rPr>
          <w:rFonts w:hint="eastAsia" w:asciiTheme="minorEastAsia" w:hAnsiTheme="minorEastAsia" w:eastAsiaTheme="minorEastAsia" w:cstheme="minorEastAsia"/>
          <w:color w:val="000000"/>
          <w:sz w:val="24"/>
          <w:lang w:val="en-US" w:eastAsia="zh-CN"/>
        </w:rPr>
        <w:t>设备</w:t>
      </w:r>
      <w:r>
        <w:rPr>
          <w:rFonts w:hint="eastAsia" w:asciiTheme="minorEastAsia" w:hAnsiTheme="minorEastAsia" w:eastAsiaTheme="minorEastAsia" w:cstheme="minorEastAsia"/>
          <w:color w:val="000000"/>
          <w:sz w:val="24"/>
        </w:rPr>
        <w:t>装置一套，并通过甲方验收。</w:t>
      </w:r>
      <w:bookmarkStart w:id="19" w:name="_GoBack"/>
      <w:bookmarkEnd w:id="19"/>
    </w:p>
    <w:bookmarkEnd w:id="16"/>
    <w:p>
      <w:pPr>
        <w:pStyle w:val="23"/>
        <w:spacing w:before="312"/>
        <w:outlineLvl w:val="0"/>
        <w:rPr>
          <w:rFonts w:ascii="黑体" w:hAnsi="黑体" w:eastAsia="黑体" w:cs="黑体"/>
          <w:sz w:val="28"/>
          <w:szCs w:val="28"/>
        </w:rPr>
      </w:pPr>
      <w:bookmarkStart w:id="17" w:name="_Toc161832200"/>
      <w:bookmarkStart w:id="18" w:name="_Toc24706"/>
      <w:r>
        <w:rPr>
          <w:rFonts w:ascii="黑体" w:hAnsi="黑体" w:eastAsia="黑体" w:cs="黑体"/>
          <w:sz w:val="28"/>
          <w:szCs w:val="28"/>
        </w:rPr>
        <w:t>4</w:t>
      </w:r>
      <w:r>
        <w:rPr>
          <w:rFonts w:hint="eastAsia" w:ascii="黑体" w:hAnsi="黑体" w:eastAsia="黑体" w:cs="黑体"/>
          <w:sz w:val="28"/>
          <w:szCs w:val="28"/>
        </w:rPr>
        <w:t xml:space="preserve">  </w:t>
      </w:r>
      <w:r>
        <w:rPr>
          <w:rFonts w:hint="eastAsia" w:ascii="黑体" w:hAnsi="黑体" w:eastAsia="黑体" w:cs="黑体"/>
          <w:sz w:val="28"/>
          <w:szCs w:val="28"/>
          <w:lang w:eastAsia="zh-CN"/>
        </w:rPr>
        <w:t>服务</w:t>
      </w:r>
      <w:r>
        <w:rPr>
          <w:rFonts w:hint="eastAsia" w:ascii="黑体" w:hAnsi="黑体" w:eastAsia="黑体" w:cs="黑体"/>
          <w:sz w:val="28"/>
          <w:szCs w:val="28"/>
        </w:rPr>
        <w:t>资格要求</w:t>
      </w:r>
      <w:bookmarkEnd w:id="17"/>
      <w:bookmarkEnd w:id="18"/>
    </w:p>
    <w:tbl>
      <w:tblPr>
        <w:tblStyle w:val="14"/>
        <w:tblW w:w="9465" w:type="dxa"/>
        <w:tblInd w:w="93" w:type="dxa"/>
        <w:tblLayout w:type="autofit"/>
        <w:tblCellMar>
          <w:top w:w="0" w:type="dxa"/>
          <w:left w:w="108" w:type="dxa"/>
          <w:bottom w:w="0" w:type="dxa"/>
          <w:right w:w="108" w:type="dxa"/>
        </w:tblCellMar>
      </w:tblPr>
      <w:tblGrid>
        <w:gridCol w:w="648"/>
        <w:gridCol w:w="8817"/>
      </w:tblGrid>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1</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中华人民共和国境内注册合法运作的企业法人或具有企业法人授权的其他组织，具有独立承担民事责任的能力、独立承担招标项目的能力和独立履行合同的能力。</w:t>
            </w:r>
          </w:p>
        </w:tc>
      </w:tr>
      <w:tr>
        <w:tblPrEx>
          <w:tblCellMar>
            <w:top w:w="0" w:type="dxa"/>
            <w:left w:w="108" w:type="dxa"/>
            <w:bottom w:w="0" w:type="dxa"/>
            <w:right w:w="108" w:type="dxa"/>
          </w:tblCellMar>
        </w:tblPrEx>
        <w:trPr>
          <w:trHeight w:val="99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2</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能提供营业执照或企业法人营业执照</w:t>
            </w:r>
            <w:r>
              <w:rPr>
                <w:rFonts w:hint="eastAsia" w:ascii="微软雅黑" w:hAnsi="微软雅黑" w:eastAsia="微软雅黑" w:cs="微软雅黑"/>
                <w:color w:val="000000"/>
                <w:kern w:val="0"/>
                <w:sz w:val="20"/>
                <w:szCs w:val="20"/>
                <w:lang w:val="en-US" w:eastAsia="zh-CN" w:bidi="ar"/>
              </w:rPr>
              <w:t>等资质材料</w:t>
            </w:r>
            <w:r>
              <w:rPr>
                <w:rFonts w:hint="eastAsia" w:ascii="微软雅黑" w:hAnsi="微软雅黑" w:eastAsia="微软雅黑" w:cs="微软雅黑"/>
                <w:color w:val="000000"/>
                <w:kern w:val="0"/>
                <w:sz w:val="20"/>
                <w:szCs w:val="20"/>
                <w:lang w:bidi="ar"/>
              </w:rPr>
              <w:t>，并按年度在规定的期限内，通过市场主体信用信息公示系统向工商机关报送年度报告。要求提供信用信息公示系统的报价人年度报告信息截图并加盖公章、报价专用章或电子签章。</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3</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具有良好的商业信誉（银行资信证明或重合同守信用证书）和健全的财务会计制度，提供</w:t>
            </w:r>
            <w:r>
              <w:rPr>
                <w:rStyle w:val="27"/>
                <w:rFonts w:hint="default"/>
                <w:lang w:bidi="ar"/>
              </w:rPr>
              <w:t>（2022年-2023年）</w:t>
            </w:r>
            <w:r>
              <w:rPr>
                <w:rStyle w:val="26"/>
                <w:rFonts w:hint="default"/>
                <w:lang w:bidi="ar"/>
              </w:rPr>
              <w:t>工商和税务部门过审的公示报告（新成立公司按公司成立时间提供</w:t>
            </w:r>
            <w:r>
              <w:rPr>
                <w:rStyle w:val="26"/>
                <w:rFonts w:hint="eastAsia" w:eastAsia="微软雅黑"/>
                <w:lang w:eastAsia="zh-CN" w:bidi="ar"/>
              </w:rPr>
              <w:t>，</w:t>
            </w:r>
            <w:r>
              <w:rPr>
                <w:rStyle w:val="26"/>
                <w:rFonts w:hint="eastAsia" w:eastAsia="微软雅黑"/>
                <w:lang w:val="en-US" w:eastAsia="zh-CN" w:bidi="ar"/>
              </w:rPr>
              <w:t>无需进行公示报告需提供相关证明文件</w:t>
            </w:r>
            <w:r>
              <w:rPr>
                <w:rStyle w:val="26"/>
                <w:rFonts w:hint="default"/>
                <w:lang w:bidi="ar"/>
              </w:rPr>
              <w:t>）。</w:t>
            </w:r>
          </w:p>
        </w:tc>
      </w:tr>
      <w:tr>
        <w:tblPrEx>
          <w:tblCellMar>
            <w:top w:w="0" w:type="dxa"/>
            <w:left w:w="108" w:type="dxa"/>
            <w:bottom w:w="0" w:type="dxa"/>
            <w:right w:w="108" w:type="dxa"/>
          </w:tblCellMar>
        </w:tblPrEx>
        <w:trPr>
          <w:trHeight w:val="66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4</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不属于南方电网公司及其下属分省、子公司通报处罚且处罚期未满的，或由南方电网公司及其下属分省、子公司取消报价资格的且未解冻的。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5</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不属于南方电网公司及其下属分省、子公司物资部门取消其报价资格的且在取消资格期限内的。</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6</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报价承诺交付物没有出现缺漏项或供货范围与技术文件要求存在重大偏差。</w:t>
            </w:r>
          </w:p>
        </w:tc>
      </w:tr>
      <w:tr>
        <w:tblPrEx>
          <w:tblCellMar>
            <w:top w:w="0" w:type="dxa"/>
            <w:left w:w="108" w:type="dxa"/>
            <w:bottom w:w="0" w:type="dxa"/>
            <w:right w:w="108" w:type="dxa"/>
          </w:tblCellMar>
        </w:tblPrEx>
        <w:trPr>
          <w:trHeight w:val="561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7</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Style w:val="26"/>
                <w:rFonts w:hint="default"/>
                <w:lang w:bidi="ar"/>
              </w:rPr>
              <w:t>投标人不得存在以下情形：</w:t>
            </w:r>
            <w:r>
              <w:rPr>
                <w:rStyle w:val="26"/>
                <w:rFonts w:hint="default"/>
                <w:lang w:bidi="ar"/>
              </w:rPr>
              <w:br w:type="textWrapping"/>
            </w:r>
            <w:r>
              <w:rPr>
                <w:rStyle w:val="26"/>
                <w:rFonts w:hint="default"/>
                <w:lang w:bidi="ar"/>
              </w:rPr>
              <w:t>为招标人不具有独立法人资格的附属机构（单位）；</w:t>
            </w:r>
            <w:r>
              <w:rPr>
                <w:rStyle w:val="26"/>
                <w:rFonts w:hint="default"/>
                <w:lang w:bidi="ar"/>
              </w:rPr>
              <w:br w:type="textWrapping"/>
            </w:r>
            <w:r>
              <w:rPr>
                <w:rStyle w:val="26"/>
                <w:rFonts w:hint="default"/>
                <w:lang w:bidi="ar"/>
              </w:rPr>
              <w:t>为本标段提供招标代理服务的；</w:t>
            </w:r>
            <w:r>
              <w:rPr>
                <w:rStyle w:val="26"/>
                <w:rFonts w:hint="default"/>
                <w:lang w:bidi="ar"/>
              </w:rPr>
              <w:br w:type="textWrapping"/>
            </w:r>
            <w:r>
              <w:rPr>
                <w:rStyle w:val="26"/>
                <w:rFonts w:hint="default"/>
                <w:lang w:bidi="ar"/>
              </w:rPr>
              <w:t>与本标段招标代理机构同为一个法定代表人的；</w:t>
            </w:r>
            <w:r>
              <w:rPr>
                <w:rStyle w:val="26"/>
                <w:rFonts w:hint="default"/>
                <w:lang w:bidi="ar"/>
              </w:rPr>
              <w:br w:type="textWrapping"/>
            </w:r>
            <w:r>
              <w:rPr>
                <w:rStyle w:val="26"/>
                <w:rFonts w:hint="default"/>
                <w:lang w:bidi="ar"/>
              </w:rPr>
              <w:t>与本标段的招标代理机构相互控股或参股的；</w:t>
            </w:r>
            <w:r>
              <w:rPr>
                <w:rStyle w:val="26"/>
                <w:rFonts w:hint="default"/>
                <w:lang w:bidi="ar"/>
              </w:rPr>
              <w:br w:type="textWrapping"/>
            </w:r>
            <w:r>
              <w:rPr>
                <w:rStyle w:val="26"/>
                <w:rFonts w:hint="default"/>
                <w:lang w:bidi="ar"/>
              </w:rPr>
              <w:t>与本标段的招标代理机构有员工相互任职或工作的；</w:t>
            </w:r>
            <w:r>
              <w:rPr>
                <w:rStyle w:val="26"/>
                <w:rFonts w:hint="default"/>
                <w:lang w:bidi="ar"/>
              </w:rPr>
              <w:br w:type="textWrapping"/>
            </w:r>
            <w:r>
              <w:rPr>
                <w:rStyle w:val="26"/>
                <w:rFonts w:hint="default"/>
                <w:lang w:bidi="ar"/>
              </w:rPr>
              <w:t>被依法暂停或者取消投标资格；</w:t>
            </w:r>
            <w:r>
              <w:rPr>
                <w:rStyle w:val="26"/>
                <w:rFonts w:hint="default"/>
                <w:lang w:bidi="ar"/>
              </w:rPr>
              <w:br w:type="textWrapping"/>
            </w:r>
            <w:r>
              <w:rPr>
                <w:rStyle w:val="26"/>
                <w:rFonts w:hint="default"/>
                <w:lang w:bidi="ar"/>
              </w:rPr>
              <w:t>财产被接管或冻结的；</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8"/>
                <w:rFonts w:hint="default"/>
                <w:lang w:bidi="ar"/>
              </w:rPr>
              <w:t>，</w:t>
            </w:r>
            <w:r>
              <w:rPr>
                <w:rStyle w:val="26"/>
                <w:rFonts w:hint="default"/>
                <w:lang w:bidi="ar"/>
              </w:rPr>
              <w:t>三年内有骗取中标或严重违约等问题的；</w:t>
            </w:r>
            <w:r>
              <w:rPr>
                <w:rStyle w:val="26"/>
                <w:rFonts w:hint="default"/>
                <w:lang w:bidi="ar"/>
              </w:rPr>
              <w:br w:type="textWrapping"/>
            </w:r>
            <w:r>
              <w:rPr>
                <w:rStyle w:val="26"/>
                <w:rFonts w:hint="default"/>
                <w:lang w:bidi="ar"/>
              </w:rPr>
              <w:t>在服务所在地政府或中国南方电网有限责任公司处于限制报价期内的；</w:t>
            </w:r>
            <w:r>
              <w:rPr>
                <w:rStyle w:val="26"/>
                <w:rFonts w:hint="default"/>
                <w:lang w:bidi="ar"/>
              </w:rPr>
              <w:br w:type="textWrapping"/>
            </w:r>
            <w:r>
              <w:rPr>
                <w:rStyle w:val="26"/>
                <w:rFonts w:hint="default"/>
                <w:lang w:bidi="ar"/>
              </w:rPr>
              <w:t>被责令停产停业、暂扣或者吊销许可证、暂扣或者吊销执照；</w:t>
            </w:r>
            <w:r>
              <w:rPr>
                <w:rStyle w:val="26"/>
                <w:rFonts w:hint="default"/>
                <w:lang w:bidi="ar"/>
              </w:rPr>
              <w:br w:type="textWrapping"/>
            </w:r>
            <w:r>
              <w:rPr>
                <w:rStyle w:val="26"/>
                <w:rFonts w:hint="default"/>
                <w:lang w:bidi="ar"/>
              </w:rPr>
              <w:t>进入清算程序，或被宣告破产，或其他丧失履约能力的情形；</w:t>
            </w:r>
            <w:r>
              <w:rPr>
                <w:rStyle w:val="26"/>
                <w:rFonts w:hint="default"/>
                <w:lang w:bidi="ar"/>
              </w:rPr>
              <w:br w:type="textWrapping"/>
            </w:r>
            <w:r>
              <w:rPr>
                <w:rStyle w:val="26"/>
                <w:rFonts w:hint="default"/>
                <w:lang w:bidi="ar"/>
              </w:rPr>
              <w:t>被工商行政管理机关在全国企业信用信息公示系统中列入严重违法失信企业名单；</w:t>
            </w:r>
            <w:r>
              <w:rPr>
                <w:rStyle w:val="26"/>
                <w:rFonts w:hint="default"/>
                <w:lang w:bidi="ar"/>
              </w:rPr>
              <w:br w:type="textWrapping"/>
            </w:r>
            <w:r>
              <w:rPr>
                <w:rStyle w:val="26"/>
                <w:rFonts w:hint="default"/>
                <w:lang w:bidi="ar"/>
              </w:rPr>
              <w:t>被最高人民法院在“信用中国”网站（www.creditchina.gov.cn）或各级信用信息共享平台中列入失信被执行人名单；</w:t>
            </w:r>
            <w:r>
              <w:rPr>
                <w:rStyle w:val="26"/>
                <w:rFonts w:hint="default"/>
                <w:lang w:bidi="ar"/>
              </w:rPr>
              <w:br w:type="textWrapping"/>
            </w:r>
            <w:r>
              <w:rPr>
                <w:rStyle w:val="26"/>
                <w:rFonts w:hint="default"/>
                <w:lang w:bidi="ar"/>
              </w:rPr>
              <w:t>在</w:t>
            </w:r>
            <w:r>
              <w:rPr>
                <w:rStyle w:val="27"/>
                <w:rFonts w:hint="default"/>
                <w:lang w:bidi="ar"/>
              </w:rPr>
              <w:t>报价截止日算起</w:t>
            </w:r>
            <w:r>
              <w:rPr>
                <w:rStyle w:val="26"/>
                <w:rFonts w:hint="default"/>
                <w:lang w:bidi="ar"/>
              </w:rPr>
              <w:t>，三年内报价人或其法定代表人、拟委任的项目负责人有行贿犯罪行为的；</w:t>
            </w:r>
            <w:r>
              <w:rPr>
                <w:rStyle w:val="26"/>
                <w:rFonts w:hint="default"/>
                <w:lang w:bidi="ar"/>
              </w:rPr>
              <w:br w:type="textWrapping"/>
            </w:r>
            <w:r>
              <w:rPr>
                <w:rStyle w:val="26"/>
                <w:rFonts w:hint="default"/>
                <w:lang w:bidi="ar"/>
              </w:rPr>
              <w:t>法律、行政法规规定的其他条件。</w:t>
            </w:r>
          </w:p>
        </w:tc>
      </w:tr>
      <w:tr>
        <w:tblPrEx>
          <w:tblCellMar>
            <w:top w:w="0" w:type="dxa"/>
            <w:left w:w="108" w:type="dxa"/>
            <w:bottom w:w="0" w:type="dxa"/>
            <w:right w:w="108" w:type="dxa"/>
          </w:tblCellMar>
        </w:tblPrEx>
        <w:trPr>
          <w:trHeight w:val="330" w:hRule="atLeast"/>
        </w:trPr>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8</w:t>
            </w:r>
          </w:p>
        </w:tc>
        <w:tc>
          <w:tcPr>
            <w:tcW w:w="881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300" w:lineRule="exact"/>
              <w:jc w:val="left"/>
              <w:textAlignment w:val="center"/>
              <w:rPr>
                <w:rFonts w:ascii="微软雅黑" w:hAnsi="微软雅黑" w:eastAsia="微软雅黑" w:cs="微软雅黑"/>
                <w:color w:val="000000"/>
                <w:sz w:val="20"/>
                <w:szCs w:val="20"/>
              </w:rPr>
            </w:pPr>
            <w:r>
              <w:rPr>
                <w:rFonts w:hint="eastAsia" w:ascii="微软雅黑" w:hAnsi="微软雅黑" w:eastAsia="微软雅黑" w:cs="微软雅黑"/>
                <w:color w:val="000000"/>
                <w:kern w:val="0"/>
                <w:sz w:val="20"/>
                <w:szCs w:val="20"/>
                <w:lang w:bidi="ar"/>
              </w:rPr>
              <w:t>企业注册资金</w:t>
            </w:r>
            <w:r>
              <w:rPr>
                <w:rFonts w:hint="eastAsia" w:ascii="微软雅黑" w:hAnsi="微软雅黑" w:eastAsia="微软雅黑" w:cs="微软雅黑"/>
                <w:color w:val="000000"/>
                <w:kern w:val="0"/>
                <w:sz w:val="20"/>
                <w:szCs w:val="20"/>
                <w:lang w:val="en-US" w:eastAsia="zh-CN" w:bidi="ar"/>
              </w:rPr>
              <w:t>30</w:t>
            </w:r>
            <w:r>
              <w:rPr>
                <w:rFonts w:hint="eastAsia" w:ascii="微软雅黑" w:hAnsi="微软雅黑" w:eastAsia="微软雅黑" w:cs="微软雅黑"/>
                <w:color w:val="000000"/>
                <w:kern w:val="0"/>
                <w:sz w:val="20"/>
                <w:szCs w:val="20"/>
                <w:lang w:bidi="ar"/>
              </w:rPr>
              <w:t>万以上。</w:t>
            </w:r>
          </w:p>
        </w:tc>
      </w:tr>
    </w:tbl>
    <w:p>
      <w:pPr>
        <w:keepNext w:val="0"/>
        <w:keepLines w:val="0"/>
        <w:pageBreakBefore w:val="0"/>
        <w:widowControl w:val="0"/>
        <w:kinsoku/>
        <w:wordWrap/>
        <w:overflowPunct/>
        <w:topLinePunct w:val="0"/>
        <w:autoSpaceDE/>
        <w:autoSpaceDN/>
        <w:bidi w:val="0"/>
        <w:adjustRightInd w:val="0"/>
        <w:snapToGrid w:val="0"/>
        <w:spacing w:line="240" w:lineRule="auto"/>
        <w:ind w:firstLine="480" w:firstLineChars="200"/>
        <w:jc w:val="left"/>
        <w:textAlignment w:val="auto"/>
        <w:rPr>
          <w:rFonts w:ascii="宋体" w:hAnsi="宋体" w:eastAsia="宋体" w:cs="宋体"/>
          <w:sz w:val="24"/>
          <w:szCs w:val="24"/>
        </w:rPr>
      </w:pPr>
    </w:p>
    <w:p>
      <w:pPr>
        <w:spacing w:line="360" w:lineRule="auto"/>
        <w:ind w:firstLine="482" w:firstLineChars="200"/>
        <w:rPr>
          <w:rFonts w:hint="eastAsia" w:asciiTheme="minorEastAsia" w:hAnsiTheme="minorEastAsia" w:eastAsiaTheme="minorEastAsia" w:cstheme="minorEastAsia"/>
          <w:color w:val="000000"/>
          <w:sz w:val="24"/>
          <w:lang w:eastAsia="zh-CN"/>
        </w:rPr>
      </w:pPr>
      <w:r>
        <w:rPr>
          <w:rFonts w:hint="eastAsia" w:asciiTheme="minorEastAsia" w:hAnsiTheme="minorEastAsia" w:eastAsiaTheme="minorEastAsia" w:cstheme="minorEastAsia"/>
          <w:b/>
          <w:bCs/>
          <w:color w:val="000000"/>
          <w:sz w:val="24"/>
          <w:lang w:eastAsia="zh-CN"/>
        </w:rPr>
        <w:t>其他要求</w:t>
      </w:r>
      <w:r>
        <w:rPr>
          <w:rFonts w:hint="eastAsia" w:asciiTheme="minorEastAsia" w:hAnsiTheme="minorEastAsia" w:eastAsiaTheme="minorEastAsia" w:cstheme="minorEastAsia"/>
          <w:color w:val="000000"/>
          <w:sz w:val="24"/>
          <w:lang w:eastAsia="zh-CN"/>
        </w:rPr>
        <w:t>：</w:t>
      </w:r>
    </w:p>
    <w:p>
      <w:pPr>
        <w:spacing w:line="360" w:lineRule="auto"/>
        <w:ind w:firstLine="480" w:firstLineChars="200"/>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报价下浮率大于10%的需提供成本分析报告（成本分析报告需充分说明单价和费用的组成、降低成本的合理措施及在其他项目中应用过的经验，未提供成本分析报告视为原则性不响应采购文件要求。)</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DC701A09"/>
    <w:multiLevelType w:val="singleLevel"/>
    <w:tmpl w:val="DC701A09"/>
    <w:lvl w:ilvl="0" w:tentative="0">
      <w:start w:val="1"/>
      <w:numFmt w:val="decimal"/>
      <w:suff w:val="nothing"/>
      <w:lvlText w:val="（%1）"/>
      <w:lvlJc w:val="left"/>
    </w:lvl>
  </w:abstractNum>
  <w:abstractNum w:abstractNumId="2">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2444F04"/>
    <w:rsid w:val="027C11FC"/>
    <w:rsid w:val="0295401A"/>
    <w:rsid w:val="0303051E"/>
    <w:rsid w:val="034E11A4"/>
    <w:rsid w:val="047B7BC4"/>
    <w:rsid w:val="04BF0B83"/>
    <w:rsid w:val="04FE4EAD"/>
    <w:rsid w:val="05312146"/>
    <w:rsid w:val="05330E8B"/>
    <w:rsid w:val="056D4E14"/>
    <w:rsid w:val="05D957EC"/>
    <w:rsid w:val="05FD7391"/>
    <w:rsid w:val="07B83A18"/>
    <w:rsid w:val="07DC3C63"/>
    <w:rsid w:val="07EC2E77"/>
    <w:rsid w:val="08115868"/>
    <w:rsid w:val="0900633E"/>
    <w:rsid w:val="0970751E"/>
    <w:rsid w:val="09F078C2"/>
    <w:rsid w:val="0A9773AF"/>
    <w:rsid w:val="0B715FA9"/>
    <w:rsid w:val="0BD1033B"/>
    <w:rsid w:val="0BFD7548"/>
    <w:rsid w:val="0C8C1EEF"/>
    <w:rsid w:val="0D0C14ED"/>
    <w:rsid w:val="0D6039E5"/>
    <w:rsid w:val="0DC225B5"/>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F77748"/>
    <w:rsid w:val="17610576"/>
    <w:rsid w:val="19614B79"/>
    <w:rsid w:val="1A316175"/>
    <w:rsid w:val="1A6070F7"/>
    <w:rsid w:val="1A830B36"/>
    <w:rsid w:val="1ADD4B0E"/>
    <w:rsid w:val="1BF021DF"/>
    <w:rsid w:val="1BFA3C82"/>
    <w:rsid w:val="1C420957"/>
    <w:rsid w:val="1C672B50"/>
    <w:rsid w:val="1CCE54EB"/>
    <w:rsid w:val="1D0531CC"/>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BD67B2"/>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A21353"/>
    <w:rsid w:val="35E41FA9"/>
    <w:rsid w:val="360B40D3"/>
    <w:rsid w:val="363703EE"/>
    <w:rsid w:val="3661221B"/>
    <w:rsid w:val="379963C7"/>
    <w:rsid w:val="37A433E0"/>
    <w:rsid w:val="37AE0477"/>
    <w:rsid w:val="38004B22"/>
    <w:rsid w:val="39140E3A"/>
    <w:rsid w:val="398C2739"/>
    <w:rsid w:val="39E974DB"/>
    <w:rsid w:val="3C3045D4"/>
    <w:rsid w:val="3C4C5078"/>
    <w:rsid w:val="3DC862F7"/>
    <w:rsid w:val="3DDE3626"/>
    <w:rsid w:val="401C5798"/>
    <w:rsid w:val="40794199"/>
    <w:rsid w:val="408A19B3"/>
    <w:rsid w:val="40CF0453"/>
    <w:rsid w:val="40F0643B"/>
    <w:rsid w:val="41414714"/>
    <w:rsid w:val="419C13AE"/>
    <w:rsid w:val="41A73FEA"/>
    <w:rsid w:val="41B40E40"/>
    <w:rsid w:val="425C406C"/>
    <w:rsid w:val="42DF02D2"/>
    <w:rsid w:val="44C917FC"/>
    <w:rsid w:val="45AD67D6"/>
    <w:rsid w:val="45CF1EF0"/>
    <w:rsid w:val="45E20A8C"/>
    <w:rsid w:val="469E66E7"/>
    <w:rsid w:val="47097B32"/>
    <w:rsid w:val="47382C50"/>
    <w:rsid w:val="473A0E5B"/>
    <w:rsid w:val="476617B8"/>
    <w:rsid w:val="48205CF0"/>
    <w:rsid w:val="48977B3A"/>
    <w:rsid w:val="48AE5D4E"/>
    <w:rsid w:val="49162EBF"/>
    <w:rsid w:val="49B61151"/>
    <w:rsid w:val="4A4B4604"/>
    <w:rsid w:val="4A566A25"/>
    <w:rsid w:val="4A7A1254"/>
    <w:rsid w:val="4AA16AD0"/>
    <w:rsid w:val="4B18258B"/>
    <w:rsid w:val="4B2A3103"/>
    <w:rsid w:val="4B3522B4"/>
    <w:rsid w:val="4B5E6BA8"/>
    <w:rsid w:val="4C3F54C3"/>
    <w:rsid w:val="4CE147A6"/>
    <w:rsid w:val="4CEE40EF"/>
    <w:rsid w:val="4DBF3FC8"/>
    <w:rsid w:val="4E287A4C"/>
    <w:rsid w:val="4F382032"/>
    <w:rsid w:val="500F0A42"/>
    <w:rsid w:val="50E83C80"/>
    <w:rsid w:val="50E84976"/>
    <w:rsid w:val="50F13E09"/>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0B272C"/>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3FE5340"/>
    <w:rsid w:val="64132F2C"/>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EC266CE"/>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2</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刘泽楷</cp:lastModifiedBy>
  <dcterms:modified xsi:type="dcterms:W3CDTF">2024-08-28T05:46:04Z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89187B27E8134DD2841F5F87F927D0F7</vt:lpwstr>
  </property>
</Properties>
</file>