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20" w:lineRule="auto"/>
        <w:jc w:val="center"/>
        <w:textAlignment w:val="center"/>
        <w:rPr>
          <w:rFonts w:hint="eastAsia" w:ascii="宋体" w:hAnsi="宋体" w:eastAsia="宋体" w:cs="宋体"/>
          <w:b/>
          <w:bCs/>
          <w:sz w:val="44"/>
          <w:szCs w:val="44"/>
          <w:highlight w:val="none"/>
          <w:lang w:eastAsia="zh-CN"/>
        </w:rPr>
      </w:pPr>
      <w:r>
        <w:rPr>
          <w:rFonts w:hint="eastAsia" w:ascii="宋体" w:hAnsi="宋体" w:eastAsia="宋体" w:cs="宋体"/>
          <w:b/>
          <w:bCs/>
          <w:sz w:val="44"/>
          <w:szCs w:val="44"/>
          <w:highlight w:val="none"/>
        </w:rPr>
        <w:t>110kV升平变古水村施工变配套110kV间隔扩建工程</w:t>
      </w:r>
      <w:r>
        <w:rPr>
          <w:rFonts w:hint="eastAsia" w:ascii="宋体" w:hAnsi="宋体" w:cs="宋体"/>
          <w:b/>
          <w:bCs/>
          <w:sz w:val="44"/>
          <w:szCs w:val="44"/>
          <w:highlight w:val="none"/>
          <w:lang w:eastAsia="zh-CN"/>
        </w:rPr>
        <w:t>（</w:t>
      </w:r>
      <w:r>
        <w:rPr>
          <w:rFonts w:hint="eastAsia" w:ascii="宋体" w:hAnsi="宋体" w:cs="宋体"/>
          <w:b/>
          <w:bCs/>
          <w:sz w:val="44"/>
          <w:szCs w:val="44"/>
          <w:highlight w:val="none"/>
          <w:lang w:val="en-US" w:eastAsia="zh-CN"/>
        </w:rPr>
        <w:t>临时转供电部分</w:t>
      </w:r>
      <w:r>
        <w:rPr>
          <w:rFonts w:hint="eastAsia" w:ascii="宋体" w:hAnsi="宋体" w:cs="宋体"/>
          <w:b/>
          <w:bCs/>
          <w:sz w:val="44"/>
          <w:szCs w:val="44"/>
          <w:highlight w:val="none"/>
          <w:lang w:eastAsia="zh-CN"/>
        </w:rPr>
        <w:t>）</w:t>
      </w:r>
    </w:p>
    <w:p>
      <w:pPr>
        <w:spacing w:line="720" w:lineRule="auto"/>
        <w:jc w:val="center"/>
        <w:textAlignment w:val="center"/>
        <w:rPr>
          <w:rFonts w:hint="eastAsia" w:ascii="宋体" w:hAnsi="宋体" w:eastAsia="宋体" w:cs="宋体"/>
          <w:b/>
          <w:bCs/>
          <w:sz w:val="36"/>
          <w:szCs w:val="36"/>
          <w:highlight w:val="none"/>
        </w:rPr>
      </w:pPr>
      <w:r>
        <w:rPr>
          <w:rFonts w:hint="eastAsia" w:ascii="宋体" w:hAnsi="宋体" w:eastAsia="宋体" w:cs="宋体"/>
          <w:b/>
          <w:bCs/>
          <w:sz w:val="44"/>
          <w:szCs w:val="44"/>
          <w:highlight w:val="none"/>
          <w:lang w:val="en-US" w:eastAsia="zh-CN"/>
        </w:rPr>
        <w:t>电缆头制作</w:t>
      </w:r>
      <w:r>
        <w:rPr>
          <w:rFonts w:hint="eastAsia" w:ascii="宋体" w:hAnsi="宋体" w:eastAsia="宋体" w:cs="宋体"/>
          <w:b/>
          <w:bCs/>
          <w:sz w:val="44"/>
          <w:szCs w:val="44"/>
          <w:highlight w:val="none"/>
        </w:rPr>
        <w:t>技术服务</w:t>
      </w:r>
    </w:p>
    <w:p>
      <w:pPr>
        <w:spacing w:line="360" w:lineRule="exact"/>
        <w:jc w:val="left"/>
        <w:textAlignment w:val="center"/>
        <w:rPr>
          <w:rFonts w:hint="eastAsia" w:ascii="宋体" w:hAnsi="宋体" w:eastAsia="宋体" w:cs="宋体"/>
          <w:b/>
          <w:bCs/>
          <w:sz w:val="36"/>
          <w:szCs w:val="36"/>
          <w:highlight w:val="none"/>
        </w:rPr>
      </w:pPr>
    </w:p>
    <w:p>
      <w:pPr>
        <w:spacing w:line="360" w:lineRule="exact"/>
        <w:jc w:val="left"/>
        <w:textAlignment w:val="center"/>
        <w:rPr>
          <w:rFonts w:hint="eastAsia" w:ascii="宋体" w:hAnsi="宋体" w:eastAsia="宋体" w:cs="宋体"/>
          <w:b/>
          <w:bCs/>
          <w:sz w:val="36"/>
          <w:szCs w:val="36"/>
          <w:highlight w:val="none"/>
        </w:rPr>
      </w:pPr>
    </w:p>
    <w:p>
      <w:pPr>
        <w:spacing w:line="360" w:lineRule="auto"/>
        <w:jc w:val="center"/>
        <w:textAlignment w:val="center"/>
        <w:rPr>
          <w:rFonts w:hint="eastAsia" w:ascii="宋体" w:hAnsi="宋体" w:eastAsia="宋体" w:cs="宋体"/>
          <w:b/>
          <w:sz w:val="44"/>
          <w:szCs w:val="44"/>
          <w:highlight w:val="none"/>
        </w:rPr>
      </w:pPr>
      <w:r>
        <w:rPr>
          <w:rFonts w:hint="eastAsia" w:ascii="宋体" w:hAnsi="宋体" w:eastAsia="宋体" w:cs="宋体"/>
          <w:b/>
          <w:sz w:val="44"/>
          <w:szCs w:val="44"/>
          <w:highlight w:val="none"/>
        </w:rPr>
        <w:t>技术规范书</w:t>
      </w:r>
    </w:p>
    <w:p>
      <w:pPr>
        <w:spacing w:line="360" w:lineRule="auto"/>
        <w:textAlignment w:val="center"/>
        <w:rPr>
          <w:rFonts w:hint="eastAsia" w:ascii="宋体" w:hAnsi="宋体" w:eastAsia="宋体" w:cs="宋体"/>
          <w:b/>
          <w:sz w:val="32"/>
          <w:szCs w:val="32"/>
          <w:highlight w:val="none"/>
        </w:rPr>
      </w:pPr>
    </w:p>
    <w:p>
      <w:pPr>
        <w:spacing w:line="360" w:lineRule="auto"/>
        <w:textAlignment w:val="center"/>
        <w:rPr>
          <w:rFonts w:hint="eastAsia" w:ascii="宋体" w:hAnsi="宋体" w:eastAsia="宋体" w:cs="宋体"/>
          <w:b/>
          <w:sz w:val="32"/>
          <w:szCs w:val="32"/>
          <w:highlight w:val="none"/>
        </w:rPr>
      </w:pPr>
      <w:r>
        <w:rPr>
          <w:rFonts w:hint="eastAsia" w:ascii="宋体" w:hAnsi="宋体" w:eastAsia="宋体" w:cs="宋体"/>
          <w:sz w:val="32"/>
          <w:highlight w:val="none"/>
        </w:rPr>
        <mc:AlternateContent>
          <mc:Choice Requires="wps">
            <w:drawing>
              <wp:anchor distT="0" distB="0" distL="114300" distR="114300" simplePos="0" relativeHeight="251659264" behindDoc="0" locked="0" layoutInCell="1" allowOverlap="1">
                <wp:simplePos x="0" y="0"/>
                <wp:positionH relativeFrom="column">
                  <wp:posOffset>3163570</wp:posOffset>
                </wp:positionH>
                <wp:positionV relativeFrom="paragraph">
                  <wp:posOffset>257175</wp:posOffset>
                </wp:positionV>
                <wp:extent cx="2096135" cy="485775"/>
                <wp:effectExtent l="0" t="0" r="6985" b="1905"/>
                <wp:wrapNone/>
                <wp:docPr id="3" name="文本框 3"/>
                <wp:cNvGraphicFramePr/>
                <a:graphic xmlns:a="http://schemas.openxmlformats.org/drawingml/2006/main">
                  <a:graphicData uri="http://schemas.microsoft.com/office/word/2010/wordprocessingShape">
                    <wps:wsp>
                      <wps:cNvSpPr txBox="1"/>
                      <wps:spPr>
                        <a:xfrm>
                          <a:off x="1188085" y="6192520"/>
                          <a:ext cx="2096135" cy="4857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9.1pt;margin-top:20.25pt;height:38.25pt;width:165.05pt;z-index:251659264;mso-width-relative:page;mso-height-relative:page;" fillcolor="#FFFFFF [3201]" filled="t" stroked="f" coordsize="21600,21600" o:gfxdata="UEsDBAoAAAAAAIdO4kAAAAAAAAAAAAAAAAAEAAAAZHJzL1BLAwQUAAAACACHTuJAHpTwLdUAAAAK&#10;AQAADwAAAGRycy9kb3ducmV2LnhtbE2PTU/DMAyG70j8h8hI3FjSMqB0TXdA4orENnbOGq+tSJwq&#10;yT5/PeYEN1t+9Pp5m+XZO3HEmMZAGoqZAoHUBTtSr2Gzfn+oQKRsyBoXCDVcMMGyvb1pTG3DiT7x&#10;uMq94BBKtdEw5DzVUqZuQG/SLExIfNuH6E3mNfbSRnPicO9kqdSz9GYk/jCYCd8G7L5XB69h2/vr&#10;9quY4mC9m9PH9bLehFHr+7tCLUBkPOc/GH71WR1adtqFA9kknIb5a1UyyoN6AsFAVVaPIHZMFi8K&#10;ZNvI/xXaH1BLAwQUAAAACACHTuJAgEFvulsCAACbBAAADgAAAGRycy9lMm9Eb2MueG1srVTNbhMx&#10;EL4j8Q6W73R389OmUTdVaBWEVNFKAXF2vN6sJdtjbCe75QHgDXriwp3n6nMw9m7aUjj0QA7O2PPl&#10;m5lvZnJ23mlF9sJ5CaakxVFOiTAcKmm2Jf30cfVmRokPzFRMgRElvRWeni9evzpr7VyMoAFVCUeQ&#10;xPh5a0vahGDnWeZ5IzTzR2CFQWcNTrOAV7fNKsdaZNcqG+X5cdaCq6wDLrzH18veSQdG9xJCqGvJ&#10;xSXwnRYm9KxOKBawJN9I6+kiZVvXgofruvYiEFVSrDSkE4OgvYlntjhj861jtpF8SIG9JIVnNWkm&#10;DQZ9oLpkgZGdk39RackdeKjDEQed9YUkRbCKIn+mzbphVqRaUGpvH0T3/4+Wf9jfOCKrko4pMUxj&#10;w+/vvt//+HX/8xsZR3la6+eIWlvEhe4tdDg0h3ePj7HqrnY6fmM9JPqL2SyfTSm5LelxcTqajgah&#10;RRcIR8AoPz0uxgjgiJjMpicn00iZPTJZ58M7AZpEo6QOG5n0ZfsrH3roARIDe1CyWkml0sVtNxfK&#10;kT3Dpq/SZ2D/A6YMaTG/8TRPzAbi73tqZTCZWHhfYLRCt+kGNTZQ3aIYDvpp8pavJGZ5xXy4YQ7H&#10;B4cLFyxc41ErwCAwWJQ04L7+6z3isavopaTFcSyp/7JjTlCi3hvs92kxmcT5TZfJ9AQVJe6pZ/PU&#10;Y3b6ArD4AlfZ8mRGfFAHs3agP+MeLmNUdDHDMXZJw8G8CP2S4B5zsVwmEE6sZeHKrC2P1FFqA8td&#10;gFqmlkSZem0G9XBmU1OH/YpL8fSeUI//KY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HpTwLdUA&#10;AAAKAQAADwAAAAAAAAABACAAAAAiAAAAZHJzL2Rvd25yZXYueG1sUEsBAhQAFAAAAAgAh07iQIBB&#10;b7pbAgAAmwQAAA4AAAAAAAAAAQAgAAAAJAEAAGRycy9lMm9Eb2MueG1sUEsFBgAAAAAGAAYAWQEA&#10;APEFAAAAAA==&#10;">
                <v:fill on="t" focussize="0,0"/>
                <v:stroke on="f" weight="0.5pt"/>
                <v:imagedata o:title=""/>
                <o:lock v:ext="edit" aspectratio="f"/>
                <v:textbox>
                  <w:txbxContent>
                    <w:p/>
                  </w:txbxContent>
                </v:textbox>
              </v:shape>
            </w:pict>
          </mc:Fallback>
        </mc:AlternateContent>
      </w:r>
    </w:p>
    <w:p>
      <w:pPr>
        <w:spacing w:line="360" w:lineRule="auto"/>
        <w:textAlignment w:val="center"/>
        <w:rPr>
          <w:rFonts w:hint="eastAsia" w:ascii="宋体" w:hAnsi="宋体" w:eastAsia="宋体" w:cs="宋体"/>
          <w:b/>
          <w:sz w:val="32"/>
          <w:szCs w:val="32"/>
          <w:highlight w:val="none"/>
        </w:rPr>
      </w:pPr>
    </w:p>
    <w:p>
      <w:pPr>
        <w:spacing w:line="360" w:lineRule="auto"/>
        <w:textAlignment w:val="center"/>
        <w:rPr>
          <w:rFonts w:hint="eastAsia" w:ascii="宋体" w:hAnsi="宋体" w:eastAsia="宋体" w:cs="宋体"/>
          <w:b/>
          <w:sz w:val="32"/>
          <w:szCs w:val="32"/>
          <w:highlight w:val="none"/>
        </w:rPr>
      </w:pPr>
    </w:p>
    <w:p>
      <w:pPr>
        <w:pStyle w:val="2"/>
        <w:spacing w:line="360" w:lineRule="auto"/>
        <w:ind w:left="0" w:leftChars="0" w:firstLine="0" w:firstLineChars="0"/>
        <w:rPr>
          <w:rFonts w:hint="eastAsia" w:ascii="宋体" w:hAnsi="宋体" w:eastAsia="宋体" w:cs="宋体"/>
          <w:b/>
          <w:sz w:val="32"/>
          <w:szCs w:val="32"/>
          <w:highlight w:val="none"/>
        </w:rPr>
      </w:pPr>
    </w:p>
    <w:p>
      <w:pPr>
        <w:pStyle w:val="2"/>
        <w:spacing w:line="360" w:lineRule="auto"/>
        <w:ind w:left="0" w:leftChars="0" w:firstLine="0" w:firstLineChars="0"/>
        <w:rPr>
          <w:rFonts w:hint="eastAsia" w:ascii="宋体" w:hAnsi="宋体" w:eastAsia="宋体" w:cs="宋体"/>
          <w:b/>
          <w:sz w:val="32"/>
          <w:szCs w:val="32"/>
          <w:highlight w:val="none"/>
        </w:rPr>
      </w:pPr>
    </w:p>
    <w:p>
      <w:pPr>
        <w:pStyle w:val="2"/>
        <w:spacing w:line="360" w:lineRule="auto"/>
        <w:ind w:left="0" w:leftChars="0" w:firstLine="0" w:firstLineChars="0"/>
        <w:rPr>
          <w:rFonts w:hint="eastAsia" w:ascii="宋体" w:hAnsi="宋体" w:eastAsia="宋体" w:cs="宋体"/>
          <w:b/>
          <w:sz w:val="32"/>
          <w:szCs w:val="32"/>
          <w:highlight w:val="none"/>
        </w:rPr>
      </w:pPr>
    </w:p>
    <w:p>
      <w:pPr>
        <w:pStyle w:val="2"/>
        <w:spacing w:line="360" w:lineRule="auto"/>
        <w:ind w:left="0" w:leftChars="0" w:firstLine="0" w:firstLineChars="0"/>
        <w:rPr>
          <w:rFonts w:hint="eastAsia" w:ascii="宋体" w:hAnsi="宋体" w:eastAsia="宋体" w:cs="宋体"/>
          <w:b/>
          <w:sz w:val="32"/>
          <w:szCs w:val="32"/>
          <w:highlight w:val="none"/>
        </w:rPr>
      </w:pPr>
    </w:p>
    <w:p>
      <w:pPr>
        <w:pStyle w:val="2"/>
        <w:spacing w:line="360" w:lineRule="auto"/>
        <w:ind w:left="0" w:leftChars="0" w:firstLine="0" w:firstLineChars="0"/>
        <w:rPr>
          <w:rFonts w:hint="eastAsia" w:ascii="宋体" w:hAnsi="宋体" w:eastAsia="宋体" w:cs="宋体"/>
          <w:b/>
          <w:sz w:val="32"/>
          <w:szCs w:val="32"/>
          <w:highlight w:val="none"/>
        </w:rPr>
      </w:pPr>
    </w:p>
    <w:p>
      <w:pPr>
        <w:pStyle w:val="2"/>
        <w:spacing w:line="360" w:lineRule="auto"/>
        <w:ind w:left="0" w:leftChars="0" w:firstLine="0" w:firstLineChars="0"/>
        <w:rPr>
          <w:rFonts w:hint="eastAsia" w:ascii="宋体" w:hAnsi="宋体" w:eastAsia="宋体" w:cs="宋体"/>
          <w:b/>
          <w:sz w:val="32"/>
          <w:szCs w:val="32"/>
          <w:highlight w:val="none"/>
        </w:rPr>
      </w:pPr>
    </w:p>
    <w:p>
      <w:pPr>
        <w:snapToGrid w:val="0"/>
        <w:spacing w:line="360" w:lineRule="auto"/>
        <w:jc w:val="center"/>
        <w:textAlignment w:val="center"/>
        <w:rPr>
          <w:rFonts w:hint="eastAsia" w:ascii="宋体" w:hAnsi="宋体" w:eastAsia="宋体" w:cs="宋体"/>
          <w:sz w:val="32"/>
          <w:highlight w:val="none"/>
        </w:rPr>
      </w:pPr>
      <w:r>
        <w:rPr>
          <w:rFonts w:hint="eastAsia" w:ascii="宋体" w:hAnsi="宋体" w:eastAsia="宋体" w:cs="宋体"/>
          <w:sz w:val="32"/>
          <w:highlight w:val="none"/>
          <w:lang w:val="en-US" w:eastAsia="zh-CN"/>
        </w:rPr>
        <w:t>采购</w:t>
      </w:r>
      <w:r>
        <w:rPr>
          <w:rFonts w:hint="eastAsia" w:ascii="宋体" w:hAnsi="宋体" w:eastAsia="宋体" w:cs="宋体"/>
          <w:sz w:val="32"/>
          <w:highlight w:val="none"/>
        </w:rPr>
        <w:t>单位：</w:t>
      </w:r>
      <w:bookmarkStart w:id="0" w:name="_Toc154805840"/>
      <w:r>
        <w:rPr>
          <w:rFonts w:hint="eastAsia" w:ascii="宋体" w:hAnsi="宋体" w:eastAsia="宋体" w:cs="宋体"/>
          <w:sz w:val="32"/>
          <w:highlight w:val="none"/>
        </w:rPr>
        <w:t>云南送变电工程有限公司</w:t>
      </w:r>
    </w:p>
    <w:bookmarkEnd w:id="0"/>
    <w:p>
      <w:pPr>
        <w:snapToGrid w:val="0"/>
        <w:spacing w:line="360" w:lineRule="auto"/>
        <w:jc w:val="center"/>
        <w:textAlignment w:val="center"/>
        <w:rPr>
          <w:rFonts w:hint="eastAsia" w:ascii="宋体" w:hAnsi="宋体" w:eastAsia="宋体" w:cs="宋体"/>
          <w:sz w:val="32"/>
          <w:highlight w:val="none"/>
        </w:rPr>
      </w:pPr>
      <w:r>
        <w:rPr>
          <w:rFonts w:hint="eastAsia" w:ascii="宋体" w:hAnsi="宋体" w:eastAsia="宋体" w:cs="宋体"/>
          <w:sz w:val="32"/>
          <w:highlight w:val="none"/>
        </w:rPr>
        <w:t xml:space="preserve">      202</w:t>
      </w:r>
      <w:r>
        <w:rPr>
          <w:rFonts w:hint="eastAsia" w:ascii="宋体" w:hAnsi="宋体" w:eastAsia="宋体" w:cs="宋体"/>
          <w:sz w:val="32"/>
          <w:highlight w:val="none"/>
          <w:lang w:val="en-US" w:eastAsia="zh-CN"/>
        </w:rPr>
        <w:t>4</w:t>
      </w:r>
      <w:r>
        <w:rPr>
          <w:rFonts w:hint="eastAsia" w:ascii="宋体" w:hAnsi="宋体" w:eastAsia="宋体" w:cs="宋体"/>
          <w:sz w:val="32"/>
          <w:highlight w:val="none"/>
        </w:rPr>
        <w:t>年</w:t>
      </w:r>
      <w:r>
        <w:rPr>
          <w:rFonts w:hint="eastAsia" w:ascii="宋体" w:hAnsi="宋体" w:cs="宋体"/>
          <w:sz w:val="32"/>
          <w:highlight w:val="none"/>
          <w:lang w:val="en-US" w:eastAsia="zh-CN"/>
        </w:rPr>
        <w:t>08</w:t>
      </w:r>
      <w:bookmarkStart w:id="22" w:name="_GoBack"/>
      <w:bookmarkEnd w:id="22"/>
      <w:r>
        <w:rPr>
          <w:rFonts w:hint="eastAsia" w:ascii="宋体" w:hAnsi="宋体" w:eastAsia="宋体" w:cs="宋体"/>
          <w:sz w:val="32"/>
          <w:highlight w:val="none"/>
        </w:rPr>
        <w:t>月</w:t>
      </w:r>
    </w:p>
    <w:p>
      <w:pPr>
        <w:pStyle w:val="2"/>
        <w:rPr>
          <w:rFonts w:hint="eastAsia" w:ascii="宋体" w:hAnsi="宋体" w:eastAsia="宋体" w:cs="宋体"/>
          <w:highlight w:val="none"/>
        </w:rPr>
      </w:pPr>
    </w:p>
    <w:p>
      <w:pPr>
        <w:pStyle w:val="21"/>
        <w:spacing w:before="312" w:after="312" w:line="360" w:lineRule="auto"/>
        <w:jc w:val="center"/>
        <w:rPr>
          <w:rFonts w:hint="eastAsia" w:ascii="宋体" w:hAnsi="宋体" w:eastAsia="宋体" w:cs="宋体"/>
          <w:b/>
          <w:color w:val="000000"/>
          <w:sz w:val="28"/>
          <w:szCs w:val="28"/>
          <w:highlight w:val="none"/>
        </w:rPr>
        <w:sectPr>
          <w:pgSz w:w="11906" w:h="16838"/>
          <w:pgMar w:top="1440" w:right="1800" w:bottom="1440" w:left="1800" w:header="851" w:footer="992" w:gutter="0"/>
          <w:cols w:space="720" w:num="1"/>
          <w:docGrid w:type="lines" w:linePitch="312" w:charSpace="0"/>
        </w:sectPr>
      </w:pPr>
    </w:p>
    <w:p>
      <w:pPr>
        <w:pStyle w:val="21"/>
        <w:spacing w:after="156" w:afterLines="50" w:line="360" w:lineRule="auto"/>
        <w:jc w:val="left"/>
        <w:outlineLvl w:val="0"/>
        <w:rPr>
          <w:rFonts w:hint="eastAsia" w:ascii="宋体" w:hAnsi="宋体" w:eastAsia="宋体" w:cs="宋体"/>
          <w:b/>
          <w:color w:val="000000"/>
          <w:sz w:val="28"/>
          <w:szCs w:val="28"/>
          <w:highlight w:val="none"/>
        </w:rPr>
      </w:pPr>
      <w:bookmarkStart w:id="1" w:name="_Toc25136"/>
      <w:r>
        <w:rPr>
          <w:rFonts w:hint="eastAsia" w:ascii="宋体" w:hAnsi="宋体" w:eastAsia="宋体" w:cs="宋体"/>
          <w:b/>
          <w:color w:val="000000"/>
          <w:sz w:val="28"/>
          <w:szCs w:val="28"/>
          <w:highlight w:val="none"/>
        </w:rPr>
        <w:t>一、采购范围及主要工程量</w:t>
      </w:r>
      <w:bookmarkEnd w:id="1"/>
    </w:p>
    <w:p>
      <w:pPr>
        <w:pStyle w:val="7"/>
        <w:keepLines w:val="0"/>
        <w:tabs>
          <w:tab w:val="left" w:pos="567"/>
          <w:tab w:val="left" w:pos="709"/>
          <w:tab w:val="left" w:pos="6240"/>
        </w:tabs>
        <w:adjustRightInd w:val="0"/>
        <w:snapToGrid w:val="0"/>
        <w:spacing w:after="140" w:line="360" w:lineRule="auto"/>
        <w:ind w:right="210" w:rightChars="100"/>
        <w:rPr>
          <w:rFonts w:hint="eastAsia" w:ascii="宋体" w:hAnsi="宋体" w:eastAsia="宋体" w:cs="宋体"/>
          <w:sz w:val="24"/>
          <w:szCs w:val="24"/>
          <w:highlight w:val="none"/>
        </w:rPr>
      </w:pPr>
      <w:bookmarkStart w:id="2" w:name="_Toc27801"/>
      <w:bookmarkStart w:id="3" w:name="_Toc26712"/>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采购范围包括以下内容</w:t>
      </w:r>
      <w:bookmarkEnd w:id="2"/>
      <w:bookmarkEnd w:id="3"/>
    </w:p>
    <w:p>
      <w:pPr>
        <w:spacing w:line="480" w:lineRule="auto"/>
        <w:ind w:firstLine="480" w:firstLineChars="200"/>
        <w:rPr>
          <w:rFonts w:hint="eastAsia" w:ascii="宋体" w:hAnsi="宋体" w:eastAsia="宋体" w:cs="宋体"/>
          <w:bCs/>
          <w:kern w:val="0"/>
          <w:sz w:val="24"/>
          <w:highlight w:val="none"/>
        </w:rPr>
      </w:pPr>
      <w:bookmarkStart w:id="4" w:name="_Toc22433"/>
      <w:r>
        <w:rPr>
          <w:rFonts w:hint="eastAsia" w:ascii="宋体" w:hAnsi="宋体" w:eastAsia="宋体" w:cs="宋体"/>
          <w:bCs/>
          <w:kern w:val="0"/>
          <w:sz w:val="24"/>
          <w:highlight w:val="none"/>
        </w:rPr>
        <w:t>（1）施工图纸范围内的终端头制作安装技术指导工作。</w:t>
      </w:r>
    </w:p>
    <w:p>
      <w:pPr>
        <w:spacing w:line="480" w:lineRule="auto"/>
        <w:ind w:firstLine="480" w:firstLineChars="200"/>
        <w:rPr>
          <w:rFonts w:hint="eastAsia" w:ascii="宋体" w:hAnsi="宋体" w:eastAsia="宋体" w:cs="宋体"/>
          <w:bCs/>
          <w:kern w:val="0"/>
          <w:sz w:val="24"/>
          <w:highlight w:val="none"/>
        </w:rPr>
      </w:pPr>
      <w:r>
        <w:rPr>
          <w:rFonts w:hint="eastAsia" w:ascii="宋体" w:hAnsi="宋体" w:eastAsia="宋体" w:cs="宋体"/>
          <w:bCs/>
          <w:kern w:val="0"/>
          <w:sz w:val="24"/>
          <w:highlight w:val="none"/>
        </w:rPr>
        <w:t>（</w:t>
      </w:r>
      <w:r>
        <w:rPr>
          <w:rFonts w:hint="eastAsia" w:ascii="宋体" w:hAnsi="宋体" w:eastAsia="宋体" w:cs="宋体"/>
          <w:bCs/>
          <w:kern w:val="0"/>
          <w:sz w:val="24"/>
          <w:highlight w:val="none"/>
          <w:lang w:val="en-US" w:eastAsia="zh-CN"/>
        </w:rPr>
        <w:t>2</w:t>
      </w:r>
      <w:r>
        <w:rPr>
          <w:rFonts w:hint="eastAsia" w:ascii="宋体" w:hAnsi="宋体" w:eastAsia="宋体" w:cs="宋体"/>
          <w:bCs/>
          <w:kern w:val="0"/>
          <w:sz w:val="24"/>
          <w:highlight w:val="none"/>
        </w:rPr>
        <w:t>）与电缆及电缆终端厂家技术沟通，充分了解电缆终端制作技术要点，确保指导制作安装电缆终端满足试验及验收要求。</w:t>
      </w:r>
    </w:p>
    <w:bookmarkEnd w:id="4"/>
    <w:p>
      <w:pPr>
        <w:pStyle w:val="7"/>
        <w:keepLines w:val="0"/>
        <w:tabs>
          <w:tab w:val="left" w:pos="567"/>
          <w:tab w:val="left" w:pos="709"/>
          <w:tab w:val="left" w:pos="6240"/>
        </w:tabs>
        <w:adjustRightInd w:val="0"/>
        <w:snapToGrid w:val="0"/>
        <w:spacing w:after="140" w:line="360" w:lineRule="auto"/>
        <w:ind w:right="210" w:rightChars="100"/>
        <w:rPr>
          <w:rFonts w:hint="eastAsia" w:ascii="宋体" w:hAnsi="宋体" w:eastAsia="宋体" w:cs="宋体"/>
          <w:sz w:val="24"/>
          <w:szCs w:val="24"/>
          <w:highlight w:val="none"/>
        </w:rPr>
      </w:pPr>
      <w:bookmarkStart w:id="5" w:name="_Toc9870"/>
      <w:bookmarkStart w:id="6" w:name="_Toc16861"/>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其他说明如下</w:t>
      </w:r>
      <w:bookmarkEnd w:id="5"/>
      <w:bookmarkEnd w:id="6"/>
    </w:p>
    <w:p>
      <w:pPr>
        <w:spacing w:line="480" w:lineRule="auto"/>
        <w:ind w:firstLine="480" w:firstLineChars="200"/>
        <w:rPr>
          <w:rFonts w:hint="eastAsia" w:ascii="宋体" w:hAnsi="宋体" w:eastAsia="宋体" w:cs="宋体"/>
          <w:bCs/>
          <w:kern w:val="0"/>
          <w:sz w:val="24"/>
          <w:highlight w:val="none"/>
        </w:rPr>
      </w:pPr>
      <w:r>
        <w:rPr>
          <w:rFonts w:hint="eastAsia" w:ascii="宋体" w:hAnsi="宋体" w:eastAsia="宋体" w:cs="宋体"/>
          <w:bCs/>
          <w:kern w:val="0"/>
          <w:sz w:val="24"/>
          <w:highlight w:val="none"/>
        </w:rPr>
        <w:t>（1）本工程为技术服务采购，</w:t>
      </w:r>
      <w:r>
        <w:rPr>
          <w:rFonts w:hint="eastAsia" w:ascii="宋体" w:hAnsi="宋体" w:eastAsia="宋体" w:cs="宋体"/>
          <w:bCs/>
          <w:kern w:val="0"/>
          <w:sz w:val="24"/>
          <w:highlight w:val="none"/>
          <w:lang w:val="en-US" w:eastAsia="zh-CN"/>
        </w:rPr>
        <w:t>技术服务方</w:t>
      </w:r>
      <w:r>
        <w:rPr>
          <w:rFonts w:hint="eastAsia" w:ascii="宋体" w:hAnsi="宋体" w:eastAsia="宋体" w:cs="宋体"/>
          <w:bCs/>
          <w:kern w:val="0"/>
          <w:sz w:val="24"/>
          <w:highlight w:val="none"/>
        </w:rPr>
        <w:t>需提供满足现场需求的电缆终端制作安装技术服务人员、辅助工具及辅助材料。</w:t>
      </w:r>
    </w:p>
    <w:p>
      <w:pPr>
        <w:spacing w:line="480" w:lineRule="auto"/>
        <w:ind w:firstLine="480" w:firstLineChars="200"/>
        <w:rPr>
          <w:rFonts w:hint="eastAsia" w:ascii="宋体" w:hAnsi="宋体" w:eastAsia="宋体" w:cs="宋体"/>
          <w:bCs/>
          <w:kern w:val="0"/>
          <w:sz w:val="24"/>
          <w:highlight w:val="none"/>
        </w:rPr>
      </w:pPr>
      <w:r>
        <w:rPr>
          <w:rFonts w:hint="eastAsia" w:ascii="宋体" w:hAnsi="宋体" w:eastAsia="宋体" w:cs="宋体"/>
          <w:bCs/>
          <w:kern w:val="0"/>
          <w:sz w:val="24"/>
          <w:highlight w:val="none"/>
        </w:rPr>
        <w:t>（</w:t>
      </w:r>
      <w:r>
        <w:rPr>
          <w:rFonts w:hint="eastAsia" w:ascii="宋体" w:hAnsi="宋体" w:eastAsia="宋体" w:cs="宋体"/>
          <w:bCs/>
          <w:kern w:val="0"/>
          <w:sz w:val="24"/>
          <w:highlight w:val="none"/>
          <w:lang w:val="en-US" w:eastAsia="zh-CN"/>
        </w:rPr>
        <w:t>2</w:t>
      </w:r>
      <w:r>
        <w:rPr>
          <w:rFonts w:hint="eastAsia" w:ascii="宋体" w:hAnsi="宋体" w:eastAsia="宋体" w:cs="宋体"/>
          <w:bCs/>
          <w:kern w:val="0"/>
          <w:sz w:val="24"/>
          <w:highlight w:val="none"/>
        </w:rPr>
        <w:t>）</w:t>
      </w:r>
      <w:r>
        <w:rPr>
          <w:rFonts w:hint="eastAsia" w:ascii="宋体" w:hAnsi="宋体" w:eastAsia="宋体" w:cs="宋体"/>
          <w:bCs/>
          <w:kern w:val="0"/>
          <w:sz w:val="24"/>
          <w:highlight w:val="none"/>
          <w:lang w:val="en-US" w:eastAsia="zh-CN"/>
        </w:rPr>
        <w:t>技术服务方</w:t>
      </w:r>
      <w:r>
        <w:rPr>
          <w:rFonts w:hint="eastAsia" w:ascii="宋体" w:hAnsi="宋体" w:eastAsia="宋体" w:cs="宋体"/>
          <w:bCs/>
          <w:kern w:val="0"/>
          <w:sz w:val="24"/>
          <w:highlight w:val="none"/>
        </w:rPr>
        <w:t>要确认工程量清单中工程量的准确性，对于可能存在的遗漏项或少量部分视为已含在</w:t>
      </w:r>
      <w:r>
        <w:rPr>
          <w:rFonts w:hint="eastAsia" w:ascii="宋体" w:hAnsi="宋体" w:eastAsia="宋体" w:cs="宋体"/>
          <w:bCs/>
          <w:kern w:val="0"/>
          <w:sz w:val="24"/>
          <w:highlight w:val="none"/>
          <w:lang w:val="en-US" w:eastAsia="zh-CN"/>
        </w:rPr>
        <w:t>报价</w:t>
      </w:r>
      <w:r>
        <w:rPr>
          <w:rFonts w:hint="eastAsia" w:ascii="宋体" w:hAnsi="宋体" w:eastAsia="宋体" w:cs="宋体"/>
          <w:bCs/>
          <w:kern w:val="0"/>
          <w:sz w:val="24"/>
          <w:highlight w:val="none"/>
        </w:rPr>
        <w:t>中考虑。</w:t>
      </w:r>
    </w:p>
    <w:p>
      <w:pPr>
        <w:spacing w:line="480" w:lineRule="auto"/>
        <w:ind w:firstLine="480" w:firstLineChars="200"/>
        <w:rPr>
          <w:rFonts w:hint="eastAsia" w:ascii="宋体" w:hAnsi="宋体" w:eastAsia="宋体" w:cs="宋体"/>
          <w:b/>
          <w:color w:val="000000"/>
          <w:sz w:val="28"/>
          <w:szCs w:val="28"/>
          <w:highlight w:val="none"/>
        </w:rPr>
      </w:pPr>
      <w:r>
        <w:rPr>
          <w:rFonts w:hint="eastAsia" w:ascii="宋体" w:hAnsi="宋体" w:eastAsia="宋体" w:cs="宋体"/>
          <w:bCs/>
          <w:kern w:val="0"/>
          <w:sz w:val="24"/>
          <w:highlight w:val="none"/>
        </w:rPr>
        <w:t>（</w:t>
      </w:r>
      <w:r>
        <w:rPr>
          <w:rFonts w:hint="eastAsia" w:ascii="宋体" w:hAnsi="宋体" w:eastAsia="宋体" w:cs="宋体"/>
          <w:bCs/>
          <w:kern w:val="0"/>
          <w:sz w:val="24"/>
          <w:highlight w:val="none"/>
          <w:lang w:val="en-US" w:eastAsia="zh-CN"/>
        </w:rPr>
        <w:t>3</w:t>
      </w:r>
      <w:r>
        <w:rPr>
          <w:rFonts w:hint="eastAsia" w:ascii="宋体" w:hAnsi="宋体" w:eastAsia="宋体" w:cs="宋体"/>
          <w:bCs/>
          <w:kern w:val="0"/>
          <w:sz w:val="24"/>
          <w:highlight w:val="none"/>
        </w:rPr>
        <w:t>）实施过程中如有调整由</w:t>
      </w:r>
      <w:r>
        <w:rPr>
          <w:rFonts w:hint="eastAsia" w:ascii="宋体" w:hAnsi="宋体" w:eastAsia="宋体" w:cs="宋体"/>
          <w:bCs/>
          <w:kern w:val="0"/>
          <w:sz w:val="24"/>
          <w:highlight w:val="none"/>
          <w:lang w:val="en-US" w:eastAsia="zh-CN"/>
        </w:rPr>
        <w:t>承包方</w:t>
      </w:r>
      <w:r>
        <w:rPr>
          <w:rFonts w:hint="eastAsia" w:ascii="宋体" w:hAnsi="宋体" w:eastAsia="宋体" w:cs="宋体"/>
          <w:bCs/>
          <w:kern w:val="0"/>
          <w:sz w:val="24"/>
          <w:highlight w:val="none"/>
        </w:rPr>
        <w:t>和</w:t>
      </w:r>
      <w:r>
        <w:rPr>
          <w:rFonts w:hint="eastAsia" w:ascii="宋体" w:hAnsi="宋体" w:eastAsia="宋体" w:cs="宋体"/>
          <w:bCs/>
          <w:kern w:val="0"/>
          <w:sz w:val="24"/>
          <w:highlight w:val="none"/>
          <w:lang w:val="en-US" w:eastAsia="zh-CN"/>
        </w:rPr>
        <w:t>技术服务方</w:t>
      </w:r>
      <w:r>
        <w:rPr>
          <w:rFonts w:hint="eastAsia" w:ascii="宋体" w:hAnsi="宋体" w:eastAsia="宋体" w:cs="宋体"/>
          <w:bCs/>
          <w:kern w:val="0"/>
          <w:sz w:val="24"/>
          <w:highlight w:val="none"/>
        </w:rPr>
        <w:t>签订补充协议，费用参照本次技术服务合同执行，若技术服务合同中无参照内容，按</w:t>
      </w:r>
      <w:r>
        <w:rPr>
          <w:rFonts w:hint="eastAsia" w:ascii="宋体" w:hAnsi="宋体" w:eastAsia="宋体" w:cs="宋体"/>
          <w:bCs/>
          <w:kern w:val="0"/>
          <w:sz w:val="24"/>
          <w:highlight w:val="none"/>
          <w:lang w:val="en-US" w:eastAsia="zh-CN"/>
        </w:rPr>
        <w:t>承包人</w:t>
      </w:r>
      <w:r>
        <w:rPr>
          <w:rFonts w:hint="eastAsia" w:ascii="宋体" w:hAnsi="宋体" w:eastAsia="宋体" w:cs="宋体"/>
          <w:bCs/>
          <w:kern w:val="0"/>
          <w:sz w:val="24"/>
          <w:highlight w:val="none"/>
        </w:rPr>
        <w:t>和</w:t>
      </w:r>
      <w:r>
        <w:rPr>
          <w:rFonts w:hint="eastAsia" w:ascii="宋体" w:hAnsi="宋体" w:eastAsia="宋体" w:cs="宋体"/>
          <w:bCs/>
          <w:kern w:val="0"/>
          <w:sz w:val="24"/>
          <w:highlight w:val="none"/>
          <w:lang w:val="en-US" w:eastAsia="zh-CN"/>
        </w:rPr>
        <w:t>技术服务方</w:t>
      </w:r>
      <w:r>
        <w:rPr>
          <w:rFonts w:hint="eastAsia" w:ascii="宋体" w:hAnsi="宋体" w:eastAsia="宋体" w:cs="宋体"/>
          <w:bCs/>
          <w:kern w:val="0"/>
          <w:sz w:val="24"/>
          <w:highlight w:val="none"/>
        </w:rPr>
        <w:t>共同认可的项目预算参照技术服务合同费用控制比例执行。</w:t>
      </w:r>
    </w:p>
    <w:p>
      <w:pPr>
        <w:pStyle w:val="21"/>
        <w:keepNext w:val="0"/>
        <w:keepLines w:val="0"/>
        <w:pageBreakBefore w:val="0"/>
        <w:widowControl w:val="0"/>
        <w:kinsoku/>
        <w:wordWrap/>
        <w:overflowPunct/>
        <w:topLinePunct w:val="0"/>
        <w:autoSpaceDE/>
        <w:autoSpaceDN/>
        <w:bidi w:val="0"/>
        <w:adjustRightInd/>
        <w:snapToGrid/>
        <w:spacing w:before="157" w:beforeLines="50" w:line="360" w:lineRule="auto"/>
        <w:jc w:val="left"/>
        <w:textAlignment w:val="auto"/>
        <w:outlineLvl w:val="0"/>
        <w:rPr>
          <w:rFonts w:hint="eastAsia" w:ascii="宋体" w:hAnsi="宋体" w:eastAsia="宋体" w:cs="宋体"/>
          <w:b/>
          <w:color w:val="000000"/>
          <w:sz w:val="28"/>
          <w:szCs w:val="28"/>
          <w:highlight w:val="none"/>
        </w:rPr>
      </w:pPr>
      <w:bookmarkStart w:id="7" w:name="_Toc32642"/>
      <w:r>
        <w:rPr>
          <w:rFonts w:hint="eastAsia" w:ascii="宋体" w:hAnsi="宋体" w:eastAsia="宋体" w:cs="宋体"/>
          <w:b/>
          <w:color w:val="000000"/>
          <w:sz w:val="28"/>
          <w:szCs w:val="28"/>
          <w:highlight w:val="none"/>
        </w:rPr>
        <w:t>二、管理规范和技术规范</w:t>
      </w:r>
      <w:bookmarkEnd w:id="7"/>
    </w:p>
    <w:p>
      <w:pPr>
        <w:pStyle w:val="7"/>
        <w:keepLines w:val="0"/>
        <w:tabs>
          <w:tab w:val="left" w:pos="567"/>
          <w:tab w:val="left" w:pos="709"/>
          <w:tab w:val="left" w:pos="6240"/>
        </w:tabs>
        <w:adjustRightInd w:val="0"/>
        <w:snapToGrid w:val="0"/>
        <w:spacing w:after="140" w:line="360" w:lineRule="auto"/>
        <w:ind w:right="210" w:rightChars="100"/>
        <w:rPr>
          <w:rFonts w:hint="eastAsia" w:ascii="宋体" w:hAnsi="宋体" w:eastAsia="宋体" w:cs="宋体"/>
          <w:sz w:val="24"/>
          <w:szCs w:val="24"/>
          <w:highlight w:val="none"/>
        </w:rPr>
      </w:pPr>
      <w:bookmarkStart w:id="8" w:name="_Toc9631"/>
      <w:r>
        <w:rPr>
          <w:rFonts w:hint="eastAsia" w:ascii="宋体" w:hAnsi="宋体" w:eastAsia="宋体" w:cs="宋体"/>
          <w:sz w:val="24"/>
          <w:szCs w:val="24"/>
          <w:highlight w:val="none"/>
        </w:rPr>
        <w:t>2.1相关管理制度</w:t>
      </w:r>
      <w:bookmarkEnd w:id="8"/>
    </w:p>
    <w:p>
      <w:pPr>
        <w:spacing w:line="480" w:lineRule="auto"/>
        <w:ind w:firstLine="480" w:firstLineChars="200"/>
        <w:rPr>
          <w:rFonts w:hint="eastAsia" w:ascii="宋体" w:hAnsi="宋体" w:eastAsia="宋体" w:cs="宋体"/>
          <w:bCs/>
          <w:kern w:val="0"/>
          <w:sz w:val="24"/>
          <w:highlight w:val="none"/>
        </w:rPr>
      </w:pPr>
      <w:r>
        <w:rPr>
          <w:rFonts w:hint="eastAsia" w:ascii="宋体" w:hAnsi="宋体" w:eastAsia="宋体" w:cs="宋体"/>
          <w:bCs/>
          <w:kern w:val="0"/>
          <w:sz w:val="24"/>
          <w:highlight w:val="none"/>
        </w:rPr>
        <w:t xml:space="preserve">本项目须达到下列现行中华人民共和国以及省、自治区、直辖市或行业的有关法律法规、 标准、规范的要求，满足中国南方电网公司有限责任公司及云南电网有限公司的管理制度和规定，至少应包括： </w:t>
      </w:r>
    </w:p>
    <w:tbl>
      <w:tblPr>
        <w:tblStyle w:val="16"/>
        <w:tblW w:w="51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9"/>
        <w:gridCol w:w="5855"/>
        <w:gridCol w:w="22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451" w:type="pct"/>
            <w:vAlign w:val="center"/>
          </w:tcPr>
          <w:p>
            <w:pPr>
              <w:widowControl/>
              <w:spacing w:line="360" w:lineRule="auto"/>
              <w:jc w:val="center"/>
              <w:rPr>
                <w:rFonts w:hint="eastAsia" w:ascii="宋体" w:hAnsi="宋体" w:eastAsia="宋体" w:cs="宋体"/>
                <w:b/>
                <w:bCs/>
                <w:color w:val="000000"/>
                <w:kern w:val="0"/>
                <w:sz w:val="24"/>
                <w:highlight w:val="none"/>
              </w:rPr>
            </w:pPr>
            <w:r>
              <w:rPr>
                <w:rFonts w:hint="eastAsia" w:ascii="宋体" w:hAnsi="宋体" w:eastAsia="宋体" w:cs="宋体"/>
                <w:b/>
                <w:bCs/>
                <w:color w:val="000000"/>
                <w:kern w:val="0"/>
                <w:sz w:val="24"/>
                <w:highlight w:val="none"/>
              </w:rPr>
              <w:t>序号</w:t>
            </w:r>
          </w:p>
        </w:tc>
        <w:tc>
          <w:tcPr>
            <w:tcW w:w="3304" w:type="pct"/>
            <w:vAlign w:val="center"/>
          </w:tcPr>
          <w:p>
            <w:pPr>
              <w:widowControl/>
              <w:spacing w:line="360" w:lineRule="auto"/>
              <w:jc w:val="center"/>
              <w:rPr>
                <w:rFonts w:hint="eastAsia" w:ascii="宋体" w:hAnsi="宋体" w:eastAsia="宋体" w:cs="宋体"/>
                <w:b/>
                <w:bCs/>
                <w:color w:val="000000"/>
                <w:kern w:val="0"/>
                <w:sz w:val="24"/>
                <w:highlight w:val="none"/>
              </w:rPr>
            </w:pPr>
            <w:r>
              <w:rPr>
                <w:rFonts w:hint="eastAsia" w:ascii="宋体" w:hAnsi="宋体" w:eastAsia="宋体" w:cs="宋体"/>
                <w:b/>
                <w:bCs/>
                <w:color w:val="000000"/>
                <w:kern w:val="0"/>
                <w:sz w:val="24"/>
                <w:highlight w:val="none"/>
              </w:rPr>
              <w:t>名称</w:t>
            </w:r>
          </w:p>
        </w:tc>
        <w:tc>
          <w:tcPr>
            <w:tcW w:w="1244" w:type="pct"/>
            <w:vAlign w:val="center"/>
          </w:tcPr>
          <w:p>
            <w:pPr>
              <w:widowControl/>
              <w:spacing w:line="360" w:lineRule="auto"/>
              <w:jc w:val="center"/>
              <w:rPr>
                <w:rFonts w:hint="eastAsia" w:ascii="宋体" w:hAnsi="宋体" w:eastAsia="宋体" w:cs="宋体"/>
                <w:b/>
                <w:bCs/>
                <w:color w:val="000000"/>
                <w:kern w:val="0"/>
                <w:sz w:val="24"/>
                <w:highlight w:val="none"/>
              </w:rPr>
            </w:pPr>
            <w:r>
              <w:rPr>
                <w:rFonts w:hint="eastAsia" w:ascii="宋体" w:hAnsi="宋体" w:eastAsia="宋体" w:cs="宋体"/>
                <w:b/>
                <w:bCs/>
                <w:color w:val="000000"/>
                <w:kern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《中华人民共和国建筑法》 (主席令29号，2019年4月23日实施)</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国家法律法规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2</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《中华人民共和国安全生产法》(全国人民代表大会常务委员会关于修改《中华人民共和国安全生产法》的决定（2021），2021年9月1日施行)</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国家法律法规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3</w:t>
            </w:r>
          </w:p>
        </w:tc>
        <w:tc>
          <w:tcPr>
            <w:tcW w:w="3304" w:type="pct"/>
            <w:tcBorders>
              <w:top w:val="nil"/>
            </w:tcBorders>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《建设工程质量管理条例》（国务院令第714号，2019年4月29日施行）</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国家法律法规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tcBorders>
              <w:top w:val="nil"/>
            </w:tcBorders>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4</w:t>
            </w:r>
          </w:p>
        </w:tc>
        <w:tc>
          <w:tcPr>
            <w:tcW w:w="3304" w:type="pct"/>
            <w:tcBorders>
              <w:top w:val="nil"/>
            </w:tcBorders>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《中华人民共和国环境保护法》（主席令9号，2015年1月1日实施）</w:t>
            </w:r>
          </w:p>
        </w:tc>
        <w:tc>
          <w:tcPr>
            <w:tcW w:w="1244" w:type="pct"/>
            <w:tcBorders>
              <w:top w:val="nil"/>
            </w:tcBorders>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国家法律法规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451" w:type="pct"/>
            <w:tcBorders>
              <w:top w:val="nil"/>
            </w:tcBorders>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5</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《中华人民共和国电力法》（主席令第60号,1995年12月28日颁布,</w:t>
            </w:r>
            <w:r>
              <w:rPr>
                <w:rFonts w:hint="eastAsia" w:ascii="宋体" w:hAnsi="宋体" w:eastAsia="宋体" w:cs="宋体"/>
                <w:sz w:val="24"/>
                <w:highlight w:val="none"/>
              </w:rPr>
              <w:t xml:space="preserve"> </w:t>
            </w:r>
            <w:r>
              <w:rPr>
                <w:rFonts w:hint="eastAsia" w:ascii="宋体" w:hAnsi="宋体" w:eastAsia="宋体" w:cs="宋体"/>
                <w:kern w:val="0"/>
                <w:sz w:val="24"/>
                <w:highlight w:val="none"/>
              </w:rPr>
              <w:t>第十二届全国人大常委会第十四次会议 修订，主席令第24号，2015年4月24日施行）</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国家法律法规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6</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 xml:space="preserve">《中华人民共和国劳动法》（主席令第28号，2018年12月29日起施行) </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国家法律法规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7</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 xml:space="preserve">《中华人民共和国劳动合同法》（主席令第73号，2013年7月1日起施行) </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国家法律法规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8</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《建设工程安全生产管理条例》（国务院令第714号，2019年4月29日起施行）</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国家法律法规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tcBorders>
              <w:top w:val="nil"/>
            </w:tcBorders>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9</w:t>
            </w:r>
          </w:p>
        </w:tc>
        <w:tc>
          <w:tcPr>
            <w:tcW w:w="3304" w:type="pct"/>
            <w:tcBorders>
              <w:top w:val="nil"/>
            </w:tcBorders>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《生产安全事故报告和调查处理条例》(国务院令第493号，2007年6月1日施行)</w:t>
            </w:r>
          </w:p>
        </w:tc>
        <w:tc>
          <w:tcPr>
            <w:tcW w:w="1244" w:type="pct"/>
            <w:tcBorders>
              <w:top w:val="nil"/>
            </w:tcBorders>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国家法律法规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10</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《电力安全事故应急处置和调查处理条例》(国务院令第599号，2011年9月1日施行)</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国家法律法规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11</w:t>
            </w:r>
          </w:p>
        </w:tc>
        <w:tc>
          <w:tcPr>
            <w:tcW w:w="3304" w:type="pct"/>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《电力建设工程施工安全监督管理办法》（国家发展和改革委员会令第28号,2015年10月1日）</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部委法规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12</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《建筑施工人员个人劳动保护用品使用管理暂行规定》（建质[2007]255号）</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部委法规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13</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《建筑施工特种作业人员管理规定》(建质[2008]75号)</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部委法规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14</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《建筑电气工程施工质量验收规范》GB 50303-2015</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15</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《电力工程电缆设计标准》(GB 50217-2018)</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16</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《高压电缆选用导则》(DL/T401-2017)</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17</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《城市电力电缆线路设计技术规定》(DL/T 5221-2016)</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18</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《电气装置安装工程电缆线路施工及验收规范》GB 50168-2018</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19</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《电气装置安装工程接地装置施工及验收规范》GB 50169-2016</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20</w:t>
            </w:r>
          </w:p>
        </w:tc>
        <w:tc>
          <w:tcPr>
            <w:tcW w:w="3304" w:type="pct"/>
            <w:vAlign w:val="center"/>
          </w:tcPr>
          <w:p>
            <w:pPr>
              <w:spacing w:line="360" w:lineRule="auto"/>
              <w:rPr>
                <w:rFonts w:hint="eastAsia" w:ascii="宋体" w:hAnsi="宋体" w:eastAsia="宋体" w:cs="宋体"/>
                <w:kern w:val="0"/>
                <w:sz w:val="24"/>
                <w:highlight w:val="none"/>
              </w:rPr>
            </w:pPr>
            <w:r>
              <w:rPr>
                <w:rFonts w:hint="eastAsia" w:ascii="宋体" w:hAnsi="宋体" w:eastAsia="宋体" w:cs="宋体"/>
                <w:kern w:val="0"/>
                <w:sz w:val="24"/>
                <w:highlight w:val="none"/>
              </w:rPr>
              <w:t>《输电线路对电信线路危险和干扰影响设计规程》 (DL/T 5033-2006)</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21</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《电气装置安装工程低压电器施工及验收规范》GB 50254-2014</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22</w:t>
            </w:r>
          </w:p>
        </w:tc>
        <w:tc>
          <w:tcPr>
            <w:tcW w:w="3304" w:type="pct"/>
            <w:vAlign w:val="center"/>
          </w:tcPr>
          <w:p>
            <w:pPr>
              <w:spacing w:line="360" w:lineRule="auto"/>
              <w:rPr>
                <w:rFonts w:hint="eastAsia" w:ascii="宋体" w:hAnsi="宋体" w:eastAsia="宋体" w:cs="宋体"/>
                <w:kern w:val="0"/>
                <w:sz w:val="24"/>
                <w:highlight w:val="none"/>
              </w:rPr>
            </w:pPr>
            <w:r>
              <w:rPr>
                <w:rFonts w:hint="eastAsia" w:ascii="宋体" w:hAnsi="宋体" w:eastAsia="宋体" w:cs="宋体"/>
                <w:kern w:val="0"/>
                <w:sz w:val="24"/>
                <w:highlight w:val="none"/>
              </w:rPr>
              <w:t>《交流电气装置的过电压保护和绝缘配合设计规范》 (GB/T 50064-2014)</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23</w:t>
            </w:r>
          </w:p>
        </w:tc>
        <w:tc>
          <w:tcPr>
            <w:tcW w:w="3304" w:type="pct"/>
            <w:vAlign w:val="center"/>
          </w:tcPr>
          <w:p>
            <w:pPr>
              <w:spacing w:line="360" w:lineRule="auto"/>
              <w:rPr>
                <w:rFonts w:hint="eastAsia" w:ascii="宋体" w:hAnsi="宋体" w:eastAsia="宋体" w:cs="宋体"/>
                <w:kern w:val="0"/>
                <w:sz w:val="24"/>
                <w:highlight w:val="none"/>
              </w:rPr>
            </w:pPr>
            <w:r>
              <w:rPr>
                <w:rFonts w:hint="eastAsia" w:ascii="宋体" w:hAnsi="宋体" w:eastAsia="宋体" w:cs="宋体"/>
                <w:kern w:val="0"/>
                <w:sz w:val="24"/>
                <w:highlight w:val="none"/>
              </w:rPr>
              <w:t>《交流电气装置接地设计规范》(GB 50065-2011)</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24</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电力建设安全健康环境评价管理办法</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国家/行业标准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25</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 xml:space="preserve">中国南方电网有限责任公司基建项目承包商管理业务指导书 </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南方电网管理要求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pStyle w:val="21"/>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26</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关于印发《南方电网公司基建工程“五个严禁”检查表》等三项标准表格的通知</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南方电网管理要求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27</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《中国南方电网有限责任公司电力安全工作规程》（Q/CSG1205056.1-2022）</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南方电网管理要求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28</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lang w:eastAsia="zh-CN"/>
              </w:rPr>
              <w:t>《中国南方电网有限责任公司基建技术管理办法》</w:t>
            </w:r>
            <w:r>
              <w:rPr>
                <w:rFonts w:hint="eastAsia" w:ascii="宋体" w:hAnsi="宋体" w:eastAsia="宋体" w:cs="宋体"/>
                <w:kern w:val="0"/>
                <w:sz w:val="24"/>
                <w:highlight w:val="none"/>
              </w:rPr>
              <w:t>（Q/CSG2053060-2020）</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南方电网管理要求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29</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《中国南方电网有限责任公司基建安全管理办法》（Q/CSG2052074-2021）</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南方电网管理要求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30</w:t>
            </w:r>
          </w:p>
        </w:tc>
        <w:tc>
          <w:tcPr>
            <w:tcW w:w="3304" w:type="pct"/>
            <w:vAlign w:val="center"/>
          </w:tcPr>
          <w:p>
            <w:pPr>
              <w:widowControl/>
              <w:spacing w:line="360" w:lineRule="auto"/>
              <w:jc w:val="left"/>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highlight w:val="none"/>
                <w:lang w:eastAsia="zh-CN"/>
              </w:rPr>
              <w:t>《中国南方电网有限责任公司基建项目进度管理办法》（Q/CSG2052073-2021）</w:t>
            </w:r>
          </w:p>
        </w:tc>
        <w:tc>
          <w:tcPr>
            <w:tcW w:w="1244" w:type="pct"/>
            <w:vAlign w:val="center"/>
          </w:tcPr>
          <w:p>
            <w:pPr>
              <w:widowControl/>
              <w:spacing w:line="360" w:lineRule="auto"/>
              <w:jc w:val="center"/>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highlight w:val="none"/>
              </w:rPr>
              <w:t>南方电网管理要求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31</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中国南方电网有限责任公司应急管理规定(Q/CSG210003-2014)</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南方电网管理要求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32</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《关于加强基建工程有限空间作业安全风险控制的通知》 办基建[2020]14号</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南方电网管理要求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33</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《中国南方电网电力设备交接验收规程》QCSG1205019-2018版</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南方电网管理要求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451" w:type="pct"/>
            <w:vAlign w:val="center"/>
          </w:tcPr>
          <w:p>
            <w:pPr>
              <w:widowControl/>
              <w:spacing w:line="360" w:lineRule="auto"/>
              <w:jc w:val="center"/>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34</w:t>
            </w:r>
          </w:p>
        </w:tc>
        <w:tc>
          <w:tcPr>
            <w:tcW w:w="3304" w:type="pct"/>
            <w:vAlign w:val="center"/>
          </w:tcPr>
          <w:p>
            <w:pPr>
              <w:widowControl/>
              <w:spacing w:line="360" w:lineRule="auto"/>
              <w:jc w:val="left"/>
              <w:rPr>
                <w:rFonts w:hint="eastAsia" w:ascii="宋体" w:hAnsi="宋体" w:eastAsia="宋体" w:cs="宋体"/>
                <w:kern w:val="0"/>
                <w:sz w:val="24"/>
                <w:highlight w:val="none"/>
              </w:rPr>
            </w:pPr>
            <w:r>
              <w:rPr>
                <w:rFonts w:hint="eastAsia" w:ascii="宋体" w:hAnsi="宋体" w:eastAsia="宋体" w:cs="宋体"/>
                <w:kern w:val="0"/>
                <w:sz w:val="24"/>
                <w:highlight w:val="none"/>
              </w:rPr>
              <w:t>云南电网有限责任公司安全生产严重违章考核办法</w:t>
            </w:r>
          </w:p>
        </w:tc>
        <w:tc>
          <w:tcPr>
            <w:tcW w:w="1244" w:type="pct"/>
            <w:vAlign w:val="center"/>
          </w:tcPr>
          <w:p>
            <w:pPr>
              <w:widowControl/>
              <w:spacing w:line="360" w:lineRule="auto"/>
              <w:jc w:val="center"/>
              <w:rPr>
                <w:rFonts w:hint="eastAsia" w:ascii="宋体" w:hAnsi="宋体" w:eastAsia="宋体" w:cs="宋体"/>
                <w:kern w:val="0"/>
                <w:sz w:val="24"/>
                <w:highlight w:val="none"/>
              </w:rPr>
            </w:pPr>
            <w:r>
              <w:rPr>
                <w:rFonts w:hint="eastAsia" w:ascii="宋体" w:hAnsi="宋体" w:eastAsia="宋体" w:cs="宋体"/>
                <w:kern w:val="0"/>
                <w:sz w:val="24"/>
                <w:highlight w:val="none"/>
              </w:rPr>
              <w:t>云南电网管理要求</w:t>
            </w:r>
          </w:p>
        </w:tc>
      </w:tr>
    </w:tbl>
    <w:p>
      <w:pPr>
        <w:pStyle w:val="7"/>
        <w:keepLines w:val="0"/>
        <w:tabs>
          <w:tab w:val="left" w:pos="567"/>
          <w:tab w:val="left" w:pos="709"/>
          <w:tab w:val="left" w:pos="6240"/>
        </w:tabs>
        <w:adjustRightInd w:val="0"/>
        <w:snapToGrid w:val="0"/>
        <w:spacing w:after="140" w:line="360" w:lineRule="auto"/>
        <w:ind w:right="210" w:rightChars="100"/>
        <w:rPr>
          <w:rFonts w:hint="eastAsia" w:ascii="宋体" w:hAnsi="宋体" w:eastAsia="宋体" w:cs="宋体"/>
          <w:sz w:val="24"/>
          <w:szCs w:val="24"/>
          <w:highlight w:val="none"/>
        </w:rPr>
      </w:pPr>
      <w:bookmarkStart w:id="9" w:name="_Toc4111"/>
      <w:r>
        <w:rPr>
          <w:rFonts w:hint="eastAsia" w:ascii="宋体" w:hAnsi="宋体" w:eastAsia="宋体" w:cs="宋体"/>
          <w:sz w:val="24"/>
          <w:szCs w:val="24"/>
          <w:highlight w:val="none"/>
        </w:rPr>
        <w:t>2.2技术规范</w:t>
      </w:r>
      <w:bookmarkEnd w:id="9"/>
    </w:p>
    <w:p>
      <w:pPr>
        <w:spacing w:line="480" w:lineRule="auto"/>
        <w:ind w:firstLine="480" w:firstLineChars="200"/>
        <w:rPr>
          <w:rFonts w:hint="eastAsia" w:ascii="宋体" w:hAnsi="宋体" w:eastAsia="宋体" w:cs="宋体"/>
          <w:bCs/>
          <w:kern w:val="0"/>
          <w:sz w:val="24"/>
          <w:highlight w:val="none"/>
        </w:rPr>
      </w:pPr>
      <w:r>
        <w:rPr>
          <w:rFonts w:hint="eastAsia" w:ascii="宋体" w:hAnsi="宋体" w:eastAsia="宋体" w:cs="宋体"/>
          <w:bCs/>
          <w:kern w:val="0"/>
          <w:sz w:val="24"/>
          <w:highlight w:val="none"/>
        </w:rPr>
        <w:t>（1）交联聚乙烯电力电缆终端有三种形式：预制、热缩、冷缩。不论采用何种终端方式，都应严格按照电缆附件厂家要求制作电缆终端。</w:t>
      </w:r>
    </w:p>
    <w:p>
      <w:pPr>
        <w:spacing w:line="480" w:lineRule="auto"/>
        <w:ind w:firstLine="480" w:firstLineChars="200"/>
        <w:rPr>
          <w:rFonts w:hint="eastAsia" w:ascii="宋体" w:hAnsi="宋体" w:eastAsia="宋体" w:cs="宋体"/>
          <w:bCs/>
          <w:kern w:val="0"/>
          <w:sz w:val="24"/>
          <w:highlight w:val="none"/>
        </w:rPr>
      </w:pPr>
      <w:r>
        <w:rPr>
          <w:rFonts w:hint="eastAsia" w:ascii="宋体" w:hAnsi="宋体" w:eastAsia="宋体" w:cs="宋体"/>
          <w:bCs/>
          <w:kern w:val="0"/>
          <w:sz w:val="24"/>
          <w:highlight w:val="none"/>
        </w:rPr>
        <w:t>（2）根据电缆终端和电缆固定方式，确定电缆终端制作位置，剥开电缆外护套。破除过程中用力适当，不得损伤内层屏蔽和绝缘层，单芯电缆头高度一致、弧形一致。</w:t>
      </w:r>
    </w:p>
    <w:p>
      <w:pPr>
        <w:spacing w:line="480" w:lineRule="auto"/>
        <w:ind w:firstLine="480" w:firstLineChars="200"/>
        <w:rPr>
          <w:rFonts w:hint="eastAsia" w:ascii="宋体" w:hAnsi="宋体" w:eastAsia="宋体" w:cs="宋体"/>
          <w:bCs/>
          <w:kern w:val="0"/>
          <w:sz w:val="24"/>
          <w:highlight w:val="none"/>
        </w:rPr>
      </w:pPr>
      <w:r>
        <w:rPr>
          <w:rFonts w:hint="eastAsia" w:ascii="宋体" w:hAnsi="宋体" w:eastAsia="宋体" w:cs="宋体"/>
          <w:bCs/>
          <w:kern w:val="0"/>
          <w:sz w:val="24"/>
          <w:highlight w:val="none"/>
        </w:rPr>
        <w:t>（3）制作电缆头时，应将钢带和铜带屏蔽层分开接地，并有标识，接地线与钢带和铜带采用焊接或电缆终端附件自带的弹簧卡圈进行连接；接地线应采用镀锡编织带，压接编织带的铜鼻子应搪锡。</w:t>
      </w:r>
    </w:p>
    <w:p>
      <w:pPr>
        <w:spacing w:line="480" w:lineRule="auto"/>
        <w:ind w:firstLine="480" w:firstLineChars="200"/>
        <w:rPr>
          <w:rFonts w:hint="eastAsia" w:ascii="宋体" w:hAnsi="宋体" w:eastAsia="宋体" w:cs="宋体"/>
          <w:bCs/>
          <w:kern w:val="0"/>
          <w:sz w:val="24"/>
          <w:highlight w:val="none"/>
        </w:rPr>
      </w:pPr>
      <w:r>
        <w:rPr>
          <w:rFonts w:hint="eastAsia" w:ascii="宋体" w:hAnsi="宋体" w:eastAsia="宋体" w:cs="宋体"/>
          <w:bCs/>
          <w:kern w:val="0"/>
          <w:sz w:val="24"/>
          <w:highlight w:val="none"/>
        </w:rPr>
        <w:t>（4）根据接线端子的位置和应力管长度，确定延长护管的长度，在延长护管上部根据说明书要求剥除屏蔽层，剩余长度要满足说明书要求。</w:t>
      </w:r>
    </w:p>
    <w:p>
      <w:pPr>
        <w:spacing w:line="480" w:lineRule="auto"/>
        <w:ind w:firstLine="480" w:firstLineChars="200"/>
        <w:rPr>
          <w:rFonts w:hint="eastAsia" w:ascii="宋体" w:hAnsi="宋体" w:eastAsia="宋体" w:cs="宋体"/>
          <w:bCs/>
          <w:kern w:val="0"/>
          <w:sz w:val="24"/>
          <w:highlight w:val="none"/>
        </w:rPr>
      </w:pPr>
      <w:r>
        <w:rPr>
          <w:rFonts w:hint="eastAsia" w:ascii="宋体" w:hAnsi="宋体" w:eastAsia="宋体" w:cs="宋体"/>
          <w:bCs/>
          <w:kern w:val="0"/>
          <w:sz w:val="24"/>
          <w:highlight w:val="none"/>
        </w:rPr>
        <w:t>（5）利用剥刀将铜带上部的外半导体层剥除，铜带上部半导体层应按照说明书要求留有一定长度，且切断处应平整。半导体层剥除后用细砂纸打磨，磨去绝缘层上半导体残留物，不得损坏绝缘层，不得使绝缘层出现毛刺、凹凸不平现象，用酒精清洗干净。</w:t>
      </w:r>
    </w:p>
    <w:p>
      <w:pPr>
        <w:spacing w:line="480" w:lineRule="auto"/>
        <w:ind w:firstLine="480" w:firstLineChars="200"/>
        <w:rPr>
          <w:rFonts w:hint="eastAsia" w:ascii="宋体" w:hAnsi="宋体" w:eastAsia="宋体" w:cs="宋体"/>
          <w:bCs/>
          <w:kern w:val="0"/>
          <w:sz w:val="24"/>
          <w:highlight w:val="none"/>
        </w:rPr>
      </w:pPr>
      <w:r>
        <w:rPr>
          <w:rFonts w:hint="eastAsia" w:ascii="宋体" w:hAnsi="宋体" w:eastAsia="宋体" w:cs="宋体"/>
          <w:bCs/>
          <w:kern w:val="0"/>
          <w:sz w:val="24"/>
          <w:highlight w:val="none"/>
        </w:rPr>
        <w:t>（6）根据应力管或电缆终端长度，将多余电缆切除，同时将压接处绝缘层剥除，剥除时不得损伤芯线。对露出的芯线表面半导体层进行清除、绝缘层的切断面和边角进行打磨处理，使芯线表面清洁、绝缘层切断面光滑、无毛刺。</w:t>
      </w:r>
    </w:p>
    <w:p>
      <w:pPr>
        <w:spacing w:line="480" w:lineRule="auto"/>
        <w:ind w:firstLine="480" w:firstLineChars="200"/>
        <w:rPr>
          <w:rFonts w:hint="eastAsia" w:ascii="宋体" w:hAnsi="宋体" w:eastAsia="宋体" w:cs="宋体"/>
          <w:bCs/>
          <w:kern w:val="0"/>
          <w:sz w:val="24"/>
          <w:highlight w:val="none"/>
        </w:rPr>
      </w:pPr>
      <w:r>
        <w:rPr>
          <w:rFonts w:hint="eastAsia" w:ascii="宋体" w:hAnsi="宋体" w:eastAsia="宋体" w:cs="宋体"/>
          <w:bCs/>
          <w:kern w:val="0"/>
          <w:sz w:val="24"/>
          <w:highlight w:val="none"/>
        </w:rPr>
        <w:t>（7）选用浇铸式接线鼻子，用压接钳进行压接，压接工艺符合规范要求；铜鼻子应镀锡；在接线鼻子和绝缘层切断面的交界处用厂家提供的填充胶进行填充，使之过渡自然，同时确保电缆终端制作后顶部密实、密封良好。</w:t>
      </w:r>
    </w:p>
    <w:p>
      <w:pPr>
        <w:spacing w:line="480" w:lineRule="auto"/>
        <w:ind w:firstLine="480" w:firstLineChars="200"/>
        <w:rPr>
          <w:rFonts w:hint="eastAsia" w:ascii="宋体" w:hAnsi="宋体" w:eastAsia="宋体" w:cs="宋体"/>
          <w:bCs/>
          <w:kern w:val="0"/>
          <w:sz w:val="24"/>
          <w:highlight w:val="none"/>
        </w:rPr>
      </w:pPr>
      <w:r>
        <w:rPr>
          <w:rFonts w:hint="eastAsia" w:ascii="宋体" w:hAnsi="宋体" w:eastAsia="宋体" w:cs="宋体"/>
          <w:bCs/>
          <w:kern w:val="0"/>
          <w:sz w:val="24"/>
          <w:highlight w:val="none"/>
        </w:rPr>
        <w:t>（8）电缆终端安装时应避开潮湿天气，且尽可能缩短绝缘暴露时间。如在安装过程中遇雨雾等潮湿天气应及时停止作业，并做好可靠的防潮措施。</w:t>
      </w:r>
    </w:p>
    <w:p>
      <w:pPr>
        <w:pStyle w:val="21"/>
        <w:spacing w:after="156" w:afterLines="50" w:line="360" w:lineRule="auto"/>
        <w:jc w:val="left"/>
        <w:outlineLvl w:val="0"/>
        <w:rPr>
          <w:rFonts w:hint="eastAsia" w:ascii="宋体" w:hAnsi="宋体" w:eastAsia="宋体" w:cs="宋体"/>
          <w:b/>
          <w:color w:val="000000"/>
          <w:sz w:val="28"/>
          <w:szCs w:val="28"/>
          <w:highlight w:val="none"/>
        </w:rPr>
      </w:pPr>
      <w:bookmarkStart w:id="10" w:name="_Toc11097"/>
      <w:r>
        <w:rPr>
          <w:rFonts w:hint="eastAsia" w:ascii="宋体" w:hAnsi="宋体" w:eastAsia="宋体" w:cs="宋体"/>
          <w:b/>
          <w:color w:val="000000"/>
          <w:sz w:val="28"/>
          <w:szCs w:val="28"/>
          <w:highlight w:val="none"/>
        </w:rPr>
        <w:t>三、人员配置要求</w:t>
      </w:r>
      <w:bookmarkEnd w:id="10"/>
    </w:p>
    <w:tbl>
      <w:tblPr>
        <w:tblStyle w:val="1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08"/>
        <w:gridCol w:w="1815"/>
        <w:gridCol w:w="2196"/>
        <w:gridCol w:w="22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jc w:val="center"/>
        </w:trPr>
        <w:tc>
          <w:tcPr>
            <w:tcW w:w="1355" w:type="pct"/>
            <w:vAlign w:val="center"/>
          </w:tcPr>
          <w:p>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人员配置要求</w:t>
            </w:r>
          </w:p>
        </w:tc>
        <w:tc>
          <w:tcPr>
            <w:tcW w:w="1065" w:type="pct"/>
            <w:tcBorders>
              <w:left w:val="single" w:color="auto" w:sz="4" w:space="0"/>
            </w:tcBorders>
            <w:vAlign w:val="center"/>
          </w:tcPr>
          <w:p>
            <w:pPr>
              <w:spacing w:line="360" w:lineRule="auto"/>
              <w:jc w:val="center"/>
              <w:rPr>
                <w:rFonts w:hint="eastAsia" w:ascii="宋体" w:hAnsi="宋体" w:eastAsia="宋体" w:cs="宋体"/>
                <w:b/>
                <w:bCs/>
                <w:szCs w:val="21"/>
                <w:highlight w:val="none"/>
                <w:lang w:val="en-GB"/>
              </w:rPr>
            </w:pPr>
            <w:r>
              <w:rPr>
                <w:rFonts w:hint="eastAsia" w:ascii="宋体" w:hAnsi="宋体" w:eastAsia="宋体" w:cs="宋体"/>
                <w:b/>
                <w:bCs/>
                <w:szCs w:val="21"/>
                <w:highlight w:val="none"/>
              </w:rPr>
              <w:t>配置人数</w:t>
            </w:r>
          </w:p>
        </w:tc>
        <w:tc>
          <w:tcPr>
            <w:tcW w:w="1289" w:type="pct"/>
            <w:vAlign w:val="center"/>
          </w:tcPr>
          <w:p>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持证要求</w:t>
            </w:r>
          </w:p>
        </w:tc>
        <w:tc>
          <w:tcPr>
            <w:tcW w:w="1291" w:type="pct"/>
            <w:vAlign w:val="center"/>
          </w:tcPr>
          <w:p>
            <w:pPr>
              <w:spacing w:line="360" w:lineRule="auto"/>
              <w:jc w:val="center"/>
              <w:rPr>
                <w:rFonts w:hint="eastAsia" w:ascii="宋体" w:hAnsi="宋体" w:eastAsia="宋体" w:cs="宋体"/>
                <w:b/>
                <w:bCs/>
                <w:szCs w:val="21"/>
                <w:highlight w:val="none"/>
              </w:rPr>
            </w:pPr>
            <w:r>
              <w:rPr>
                <w:rFonts w:hint="eastAsia" w:ascii="宋体" w:hAnsi="宋体" w:eastAsia="宋体" w:cs="宋体"/>
                <w:b/>
                <w:bCs/>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jc w:val="center"/>
        </w:trPr>
        <w:tc>
          <w:tcPr>
            <w:tcW w:w="1355" w:type="pct"/>
            <w:tcBorders>
              <w:right w:val="single" w:color="auto" w:sz="4" w:space="0"/>
            </w:tcBorders>
            <w:vAlign w:val="center"/>
          </w:tcPr>
          <w:p>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负责人</w:t>
            </w:r>
          </w:p>
        </w:tc>
        <w:tc>
          <w:tcPr>
            <w:tcW w:w="1065" w:type="pct"/>
            <w:tcBorders>
              <w:left w:val="single" w:color="auto" w:sz="4" w:space="0"/>
            </w:tcBorders>
            <w:vAlign w:val="center"/>
          </w:tcPr>
          <w:p>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eastAsia="宋体" w:cs="宋体"/>
                <w:color w:val="000000"/>
                <w:szCs w:val="21"/>
                <w:highlight w:val="none"/>
              </w:rPr>
              <w:t>人</w:t>
            </w:r>
          </w:p>
        </w:tc>
        <w:tc>
          <w:tcPr>
            <w:tcW w:w="1289" w:type="pct"/>
            <w:vAlign w:val="center"/>
          </w:tcPr>
          <w:p>
            <w:pPr>
              <w:spacing w:line="360" w:lineRule="auto"/>
              <w:jc w:val="center"/>
              <w:rPr>
                <w:rFonts w:hint="eastAsia" w:ascii="宋体" w:hAnsi="宋体" w:eastAsia="宋体" w:cs="宋体"/>
                <w:szCs w:val="21"/>
                <w:highlight w:val="none"/>
              </w:rPr>
            </w:pPr>
            <w:r>
              <w:rPr>
                <w:rFonts w:hint="eastAsia" w:ascii="宋体" w:hAnsi="宋体" w:eastAsia="宋体" w:cs="宋体"/>
                <w:color w:val="000000"/>
                <w:szCs w:val="21"/>
                <w:highlight w:val="none"/>
              </w:rPr>
              <w:t>/</w:t>
            </w:r>
          </w:p>
        </w:tc>
        <w:tc>
          <w:tcPr>
            <w:tcW w:w="1291" w:type="pct"/>
            <w:vAlign w:val="center"/>
          </w:tcPr>
          <w:p>
            <w:pPr>
              <w:spacing w:line="360" w:lineRule="auto"/>
              <w:jc w:val="center"/>
              <w:rPr>
                <w:rFonts w:hint="eastAsia" w:ascii="宋体" w:hAnsi="宋体" w:eastAsia="宋体" w:cs="宋体"/>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9" w:hRule="atLeast"/>
          <w:jc w:val="center"/>
        </w:trPr>
        <w:tc>
          <w:tcPr>
            <w:tcW w:w="1355" w:type="pct"/>
            <w:tcBorders>
              <w:right w:val="single" w:color="auto" w:sz="4" w:space="0"/>
            </w:tcBorders>
            <w:vAlign w:val="center"/>
          </w:tcPr>
          <w:p>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电缆中间接头终端头制作专业人员</w:t>
            </w:r>
          </w:p>
        </w:tc>
        <w:tc>
          <w:tcPr>
            <w:tcW w:w="1065" w:type="pct"/>
            <w:tcBorders>
              <w:left w:val="single" w:color="auto" w:sz="4" w:space="0"/>
            </w:tcBorders>
            <w:vAlign w:val="center"/>
          </w:tcPr>
          <w:p>
            <w:pPr>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至少</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人</w:t>
            </w:r>
          </w:p>
        </w:tc>
        <w:tc>
          <w:tcPr>
            <w:tcW w:w="1289" w:type="pct"/>
            <w:vAlign w:val="center"/>
          </w:tcPr>
          <w:p>
            <w:pPr>
              <w:spacing w:line="360" w:lineRule="auto"/>
              <w:jc w:val="center"/>
              <w:rPr>
                <w:rFonts w:hint="eastAsia" w:ascii="宋体" w:hAnsi="宋体" w:eastAsia="宋体" w:cs="宋体"/>
                <w:szCs w:val="21"/>
                <w:highlight w:val="none"/>
                <w:lang w:eastAsia="zh-CN"/>
              </w:rPr>
            </w:pPr>
            <w:r>
              <w:rPr>
                <w:rFonts w:hint="eastAsia" w:ascii="宋体" w:hAnsi="宋体" w:eastAsia="宋体" w:cs="宋体"/>
                <w:color w:val="000000"/>
                <w:szCs w:val="21"/>
                <w:highlight w:val="none"/>
              </w:rPr>
              <w:t>/</w:t>
            </w:r>
          </w:p>
        </w:tc>
        <w:tc>
          <w:tcPr>
            <w:tcW w:w="1291" w:type="pct"/>
            <w:vAlign w:val="center"/>
          </w:tcPr>
          <w:p>
            <w:pPr>
              <w:spacing w:line="360" w:lineRule="auto"/>
              <w:jc w:val="left"/>
              <w:rPr>
                <w:rFonts w:hint="eastAsia" w:ascii="宋体" w:hAnsi="宋体" w:eastAsia="宋体" w:cs="宋体"/>
                <w:szCs w:val="21"/>
                <w:highlight w:val="none"/>
              </w:rPr>
            </w:pPr>
          </w:p>
        </w:tc>
      </w:tr>
    </w:tbl>
    <w:p>
      <w:pPr>
        <w:pStyle w:val="21"/>
        <w:spacing w:after="156" w:afterLines="50" w:line="360" w:lineRule="auto"/>
        <w:jc w:val="left"/>
        <w:outlineLvl w:val="0"/>
        <w:rPr>
          <w:rFonts w:hint="eastAsia" w:ascii="宋体" w:hAnsi="宋体" w:eastAsia="宋体" w:cs="宋体"/>
          <w:b/>
          <w:color w:val="000000"/>
          <w:sz w:val="28"/>
          <w:szCs w:val="28"/>
          <w:highlight w:val="none"/>
        </w:rPr>
      </w:pPr>
      <w:bookmarkStart w:id="11" w:name="_Toc14046"/>
      <w:r>
        <w:rPr>
          <w:rFonts w:hint="eastAsia" w:ascii="宋体" w:hAnsi="宋体" w:eastAsia="宋体" w:cs="宋体"/>
          <w:b/>
          <w:color w:val="000000"/>
          <w:sz w:val="28"/>
          <w:szCs w:val="28"/>
          <w:highlight w:val="none"/>
        </w:rPr>
        <w:t>四、管理基本要求</w:t>
      </w:r>
      <w:bookmarkEnd w:id="11"/>
    </w:p>
    <w:p>
      <w:pPr>
        <w:spacing w:line="480" w:lineRule="auto"/>
        <w:ind w:firstLine="480" w:firstLineChars="200"/>
        <w:rPr>
          <w:rFonts w:hint="eastAsia" w:ascii="宋体" w:hAnsi="宋体" w:eastAsia="宋体" w:cs="宋体"/>
          <w:b/>
          <w:bCs/>
          <w:sz w:val="24"/>
          <w:highlight w:val="none"/>
        </w:rPr>
      </w:pPr>
      <w:r>
        <w:rPr>
          <w:rFonts w:hint="eastAsia" w:ascii="宋体" w:hAnsi="宋体" w:eastAsia="宋体" w:cs="宋体"/>
          <w:sz w:val="24"/>
          <w:highlight w:val="none"/>
        </w:rPr>
        <w:t>本工程拟进行的任何</w:t>
      </w:r>
      <w:r>
        <w:rPr>
          <w:rFonts w:hint="eastAsia" w:ascii="宋体" w:hAnsi="宋体" w:eastAsia="宋体" w:cs="宋体"/>
          <w:sz w:val="24"/>
          <w:highlight w:val="none"/>
          <w:lang w:val="en-US" w:eastAsia="zh-CN"/>
        </w:rPr>
        <w:t>技术服务</w:t>
      </w:r>
      <w:r>
        <w:rPr>
          <w:rFonts w:hint="eastAsia" w:ascii="宋体" w:hAnsi="宋体" w:eastAsia="宋体" w:cs="宋体"/>
          <w:sz w:val="24"/>
          <w:highlight w:val="none"/>
        </w:rPr>
        <w:t>工作，将纳入项目部管理范围，项目部编制的施工组织设计中工期、质量、安全、文明施工、环保等方面的要求同样适用于</w:t>
      </w:r>
      <w:r>
        <w:rPr>
          <w:rFonts w:hint="eastAsia" w:ascii="宋体" w:hAnsi="宋体" w:eastAsia="宋体" w:cs="宋体"/>
          <w:sz w:val="24"/>
          <w:highlight w:val="none"/>
          <w:lang w:val="en-US" w:eastAsia="zh-CN"/>
        </w:rPr>
        <w:t>技术服务</w:t>
      </w:r>
      <w:r>
        <w:rPr>
          <w:rFonts w:hint="eastAsia" w:ascii="宋体" w:hAnsi="宋体" w:eastAsia="宋体" w:cs="宋体"/>
          <w:sz w:val="24"/>
          <w:highlight w:val="none"/>
        </w:rPr>
        <w:t>方。同时，项目部将有关</w:t>
      </w:r>
      <w:r>
        <w:rPr>
          <w:rFonts w:hint="eastAsia" w:ascii="宋体" w:hAnsi="宋体" w:eastAsia="宋体" w:cs="宋体"/>
          <w:sz w:val="24"/>
          <w:highlight w:val="none"/>
          <w:lang w:val="en-US" w:eastAsia="zh-CN"/>
        </w:rPr>
        <w:t>技术服务</w:t>
      </w:r>
      <w:r>
        <w:rPr>
          <w:rFonts w:hint="eastAsia" w:ascii="宋体" w:hAnsi="宋体" w:eastAsia="宋体" w:cs="宋体"/>
          <w:sz w:val="24"/>
          <w:highlight w:val="none"/>
        </w:rPr>
        <w:t>单位及其工作人员的行为、违约及疏忽导致对本工程造成的影响和损失，按照公司及项目部相关管理规定进行考核。</w:t>
      </w:r>
    </w:p>
    <w:p>
      <w:pPr>
        <w:pStyle w:val="7"/>
        <w:keepLines w:val="0"/>
        <w:tabs>
          <w:tab w:val="left" w:pos="567"/>
          <w:tab w:val="left" w:pos="709"/>
          <w:tab w:val="left" w:pos="6240"/>
        </w:tabs>
        <w:adjustRightInd w:val="0"/>
        <w:snapToGrid w:val="0"/>
        <w:spacing w:after="140" w:line="360" w:lineRule="auto"/>
        <w:ind w:right="210" w:rightChars="100"/>
        <w:rPr>
          <w:rFonts w:hint="eastAsia" w:ascii="宋体" w:hAnsi="宋体" w:eastAsia="宋体" w:cs="宋体"/>
          <w:sz w:val="24"/>
          <w:szCs w:val="24"/>
          <w:highlight w:val="none"/>
        </w:rPr>
      </w:pPr>
      <w:bookmarkStart w:id="12" w:name="_Toc28183"/>
      <w:bookmarkStart w:id="13" w:name="_Toc29843"/>
      <w:r>
        <w:rPr>
          <w:rFonts w:hint="eastAsia" w:ascii="宋体" w:hAnsi="宋体" w:eastAsia="宋体" w:cs="宋体"/>
          <w:sz w:val="24"/>
          <w:szCs w:val="24"/>
          <w:highlight w:val="none"/>
        </w:rPr>
        <w:t>4.1</w:t>
      </w:r>
      <w:r>
        <w:rPr>
          <w:rFonts w:hint="eastAsia" w:ascii="宋体" w:hAnsi="宋体" w:eastAsia="宋体" w:cs="宋体"/>
          <w:sz w:val="24"/>
          <w:szCs w:val="24"/>
          <w:highlight w:val="none"/>
          <w:lang w:val="en-US" w:eastAsia="zh-CN"/>
        </w:rPr>
        <w:t>技术服务</w:t>
      </w:r>
      <w:r>
        <w:rPr>
          <w:rFonts w:hint="eastAsia" w:ascii="宋体" w:hAnsi="宋体" w:eastAsia="宋体" w:cs="宋体"/>
          <w:sz w:val="24"/>
          <w:szCs w:val="24"/>
          <w:highlight w:val="none"/>
        </w:rPr>
        <w:t>单位资料</w:t>
      </w:r>
      <w:bookmarkEnd w:id="12"/>
      <w:r>
        <w:rPr>
          <w:rFonts w:hint="eastAsia" w:ascii="宋体" w:hAnsi="宋体" w:eastAsia="宋体" w:cs="宋体"/>
          <w:sz w:val="24"/>
          <w:szCs w:val="24"/>
          <w:highlight w:val="none"/>
        </w:rPr>
        <w:t>要求</w:t>
      </w:r>
      <w:bookmarkEnd w:id="13"/>
    </w:p>
    <w:p>
      <w:pPr>
        <w:spacing w:line="48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（1）企业营业执照（工商营业执照、税务登记证、组织机构代码证）；</w:t>
      </w:r>
    </w:p>
    <w:p>
      <w:pPr>
        <w:spacing w:line="48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）人员进场报审的所需全套文件资料；</w:t>
      </w:r>
    </w:p>
    <w:p>
      <w:pPr>
        <w:spacing w:line="48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）以上资料需在进场前15天前提供。</w:t>
      </w:r>
    </w:p>
    <w:p>
      <w:pPr>
        <w:pStyle w:val="7"/>
        <w:keepLines w:val="0"/>
        <w:tabs>
          <w:tab w:val="left" w:pos="567"/>
          <w:tab w:val="left" w:pos="709"/>
          <w:tab w:val="left" w:pos="6240"/>
        </w:tabs>
        <w:adjustRightInd w:val="0"/>
        <w:snapToGrid w:val="0"/>
        <w:spacing w:after="140" w:line="360" w:lineRule="auto"/>
        <w:ind w:right="210" w:rightChars="100"/>
        <w:rPr>
          <w:rFonts w:hint="eastAsia" w:ascii="宋体" w:hAnsi="宋体" w:eastAsia="宋体" w:cs="宋体"/>
          <w:sz w:val="24"/>
          <w:szCs w:val="24"/>
          <w:highlight w:val="none"/>
        </w:rPr>
      </w:pPr>
      <w:bookmarkStart w:id="14" w:name="_Toc30160"/>
      <w:bookmarkStart w:id="15" w:name="_Toc29010"/>
      <w:r>
        <w:rPr>
          <w:rFonts w:hint="eastAsia" w:ascii="宋体" w:hAnsi="宋体" w:eastAsia="宋体" w:cs="宋体"/>
          <w:sz w:val="24"/>
          <w:szCs w:val="24"/>
          <w:highlight w:val="none"/>
        </w:rPr>
        <w:t>4.2人员</w:t>
      </w:r>
      <w:r>
        <w:rPr>
          <w:rFonts w:hint="eastAsia" w:ascii="宋体" w:hAnsi="宋体" w:eastAsia="宋体" w:cs="宋体"/>
          <w:sz w:val="24"/>
          <w:szCs w:val="24"/>
          <w:highlight w:val="none"/>
          <w:lang w:val="en-US" w:eastAsia="zh-CN"/>
        </w:rPr>
        <w:t>配置</w:t>
      </w:r>
      <w:r>
        <w:rPr>
          <w:rFonts w:hint="eastAsia" w:ascii="宋体" w:hAnsi="宋体" w:eastAsia="宋体" w:cs="宋体"/>
          <w:sz w:val="24"/>
          <w:szCs w:val="24"/>
          <w:highlight w:val="none"/>
        </w:rPr>
        <w:t>要求</w:t>
      </w:r>
      <w:bookmarkEnd w:id="14"/>
      <w:bookmarkEnd w:id="15"/>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szCs w:val="24"/>
          <w:highlight w:val="none"/>
          <w:lang w:val="en-US" w:eastAsia="zh-CN"/>
        </w:rPr>
        <w:t>服务团队人员要求：乙方指派至少2名技术人员组成服务团队，同时指派一人作为本项目的负责人。未经甲方同意，乙方不得随意更换服务人员。如果甲方认为乙方指派的服务人员不能胜任的，乙方应当及时更换。乙方指派的项目负责人和服务人员应实际参与本合同的服务工作。乙方应按甲方要求，根据工程需要调换服务人员，调换后服务人员的权责不变，乙方派驻现场的服务人员应具备相关试验经验并按甲方要求在项目现场提供技术指导，服从甲方的管理。乙方派驻现场服务人员进场和离开项目现场均需征得甲方同意。</w:t>
      </w:r>
    </w:p>
    <w:p>
      <w:pPr>
        <w:pStyle w:val="7"/>
        <w:keepLines w:val="0"/>
        <w:tabs>
          <w:tab w:val="left" w:pos="567"/>
          <w:tab w:val="left" w:pos="709"/>
          <w:tab w:val="left" w:pos="6240"/>
        </w:tabs>
        <w:adjustRightInd w:val="0"/>
        <w:snapToGrid w:val="0"/>
        <w:spacing w:after="140" w:line="360" w:lineRule="auto"/>
        <w:ind w:right="210" w:rightChars="100"/>
        <w:rPr>
          <w:rFonts w:hint="eastAsia" w:ascii="宋体" w:hAnsi="宋体" w:eastAsia="宋体" w:cs="宋体"/>
          <w:sz w:val="24"/>
          <w:szCs w:val="24"/>
          <w:highlight w:val="none"/>
        </w:rPr>
      </w:pPr>
      <w:bookmarkStart w:id="16" w:name="_Toc22379"/>
      <w:bookmarkStart w:id="17" w:name="_Toc5482"/>
      <w:r>
        <w:rPr>
          <w:rFonts w:hint="eastAsia" w:ascii="宋体" w:hAnsi="宋体" w:eastAsia="宋体" w:cs="宋体"/>
          <w:sz w:val="24"/>
          <w:szCs w:val="24"/>
          <w:highlight w:val="none"/>
        </w:rPr>
        <w:t>4.3工程进度管理要求</w:t>
      </w:r>
      <w:bookmarkEnd w:id="16"/>
      <w:bookmarkEnd w:id="17"/>
    </w:p>
    <w:p>
      <w:pPr>
        <w:spacing w:line="48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rPr>
        <w:t>（1）管理要求：</w:t>
      </w:r>
      <w:r>
        <w:rPr>
          <w:rFonts w:hint="eastAsia" w:ascii="宋体" w:hAnsi="宋体" w:eastAsia="宋体" w:cs="宋体"/>
          <w:sz w:val="24"/>
          <w:highlight w:val="none"/>
          <w:lang w:val="en-US" w:eastAsia="zh-CN"/>
        </w:rPr>
        <w:t>技术服务单位应服从现场安排，保证整个技术服务过程的进度满足甲方要求。</w:t>
      </w:r>
    </w:p>
    <w:p>
      <w:pPr>
        <w:spacing w:line="48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（2）施工进度保证措施</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技术服务方</w:t>
      </w:r>
      <w:r>
        <w:rPr>
          <w:rFonts w:hint="eastAsia" w:ascii="宋体" w:hAnsi="宋体" w:eastAsia="宋体" w:cs="宋体"/>
          <w:sz w:val="24"/>
          <w:highlight w:val="none"/>
        </w:rPr>
        <w:t>针对施工进度要求，拟采取的施工进度保证措施。</w:t>
      </w:r>
    </w:p>
    <w:p>
      <w:pPr>
        <w:pStyle w:val="7"/>
        <w:keepLines w:val="0"/>
        <w:tabs>
          <w:tab w:val="left" w:pos="567"/>
          <w:tab w:val="left" w:pos="709"/>
          <w:tab w:val="left" w:pos="6240"/>
        </w:tabs>
        <w:adjustRightInd w:val="0"/>
        <w:snapToGrid w:val="0"/>
        <w:spacing w:after="140" w:line="360" w:lineRule="auto"/>
        <w:ind w:right="210" w:rightChars="100"/>
        <w:rPr>
          <w:rFonts w:hint="eastAsia" w:ascii="宋体" w:hAnsi="宋体" w:eastAsia="宋体" w:cs="宋体"/>
          <w:sz w:val="24"/>
          <w:szCs w:val="24"/>
          <w:highlight w:val="none"/>
        </w:rPr>
      </w:pPr>
      <w:bookmarkStart w:id="18" w:name="_Toc2612"/>
      <w:bookmarkStart w:id="19" w:name="_Toc26195"/>
      <w:r>
        <w:rPr>
          <w:rFonts w:hint="eastAsia" w:ascii="宋体" w:hAnsi="宋体" w:eastAsia="宋体" w:cs="宋体"/>
          <w:sz w:val="24"/>
          <w:szCs w:val="24"/>
          <w:highlight w:val="none"/>
        </w:rPr>
        <w:t>4.4招标人质量目标</w:t>
      </w:r>
      <w:bookmarkEnd w:id="18"/>
      <w:bookmarkEnd w:id="19"/>
    </w:p>
    <w:p>
      <w:pPr>
        <w:spacing w:line="480" w:lineRule="auto"/>
        <w:ind w:firstLine="480" w:firstLineChars="200"/>
        <w:textAlignment w:val="center"/>
        <w:rPr>
          <w:rFonts w:hint="eastAsia" w:ascii="宋体" w:hAnsi="宋体" w:eastAsia="宋体" w:cs="宋体"/>
          <w:sz w:val="24"/>
          <w:highlight w:val="none"/>
          <w:lang w:eastAsia="zh-CN"/>
        </w:rPr>
      </w:pPr>
      <w:r>
        <w:rPr>
          <w:rFonts w:hint="eastAsia" w:ascii="宋体" w:hAnsi="宋体" w:eastAsia="宋体" w:cs="宋体"/>
          <w:sz w:val="24"/>
          <w:highlight w:val="none"/>
        </w:rPr>
        <w:t>质量目标：</w:t>
      </w:r>
      <w:r>
        <w:rPr>
          <w:rFonts w:hint="eastAsia" w:ascii="宋体" w:hAnsi="宋体" w:eastAsia="宋体" w:cs="宋体"/>
          <w:sz w:val="24"/>
          <w:highlight w:val="none"/>
          <w:lang w:val="en-US" w:eastAsia="zh-CN"/>
        </w:rPr>
        <w:t>技术服务结果应符合</w:t>
      </w:r>
      <w:r>
        <w:rPr>
          <w:rFonts w:hint="eastAsia" w:ascii="宋体" w:hAnsi="宋体" w:eastAsia="宋体" w:cs="宋体"/>
          <w:sz w:val="24"/>
          <w:highlight w:val="none"/>
        </w:rPr>
        <w:t>《建筑电气工程施工质量验收规范</w:t>
      </w:r>
      <w:r>
        <w:rPr>
          <w:rFonts w:hint="eastAsia" w:ascii="宋体" w:hAnsi="宋体" w:eastAsia="宋体" w:cs="宋体"/>
          <w:sz w:val="24"/>
          <w:highlight w:val="none"/>
          <w:lang w:val="en-US" w:eastAsia="zh-CN"/>
        </w:rPr>
        <w:t xml:space="preserve"> GB 50303-2015</w:t>
      </w:r>
      <w:r>
        <w:rPr>
          <w:rFonts w:hint="eastAsia" w:ascii="宋体" w:hAnsi="宋体" w:eastAsia="宋体" w:cs="宋体"/>
          <w:sz w:val="24"/>
          <w:highlight w:val="none"/>
        </w:rPr>
        <w:t>》、《电气装置安装工程质量检验及评定规程</w:t>
      </w:r>
      <w:r>
        <w:rPr>
          <w:rFonts w:hint="eastAsia" w:ascii="宋体" w:hAnsi="宋体" w:eastAsia="宋体" w:cs="宋体"/>
          <w:sz w:val="24"/>
          <w:highlight w:val="none"/>
          <w:lang w:val="en-US" w:eastAsia="zh-CN"/>
        </w:rPr>
        <w:t xml:space="preserve"> DL/T 5161.1-2018</w:t>
      </w:r>
      <w:r>
        <w:rPr>
          <w:rFonts w:hint="eastAsia" w:ascii="宋体" w:hAnsi="宋体" w:eastAsia="宋体" w:cs="宋体"/>
          <w:sz w:val="24"/>
          <w:highlight w:val="none"/>
        </w:rPr>
        <w:t>》标准，并符合承包合同有关质量的约定</w:t>
      </w:r>
      <w:r>
        <w:rPr>
          <w:rFonts w:hint="eastAsia" w:ascii="宋体" w:hAnsi="宋体" w:eastAsia="宋体" w:cs="宋体"/>
          <w:sz w:val="24"/>
          <w:highlight w:val="none"/>
          <w:lang w:eastAsia="zh-CN"/>
        </w:rPr>
        <w:t>。</w:t>
      </w:r>
    </w:p>
    <w:p>
      <w:pPr>
        <w:pStyle w:val="7"/>
        <w:keepLines w:val="0"/>
        <w:tabs>
          <w:tab w:val="left" w:pos="567"/>
          <w:tab w:val="left" w:pos="709"/>
          <w:tab w:val="left" w:pos="6240"/>
        </w:tabs>
        <w:adjustRightInd w:val="0"/>
        <w:snapToGrid w:val="0"/>
        <w:spacing w:after="140" w:line="360" w:lineRule="auto"/>
        <w:ind w:right="210" w:rightChars="100"/>
        <w:rPr>
          <w:rFonts w:hint="eastAsia" w:ascii="宋体" w:hAnsi="宋体" w:eastAsia="宋体" w:cs="宋体"/>
          <w:sz w:val="24"/>
          <w:szCs w:val="24"/>
          <w:highlight w:val="none"/>
        </w:rPr>
      </w:pPr>
      <w:bookmarkStart w:id="20" w:name="_Toc22394"/>
      <w:bookmarkStart w:id="21" w:name="_Toc25918"/>
      <w:r>
        <w:rPr>
          <w:rFonts w:hint="eastAsia" w:ascii="宋体" w:hAnsi="宋体" w:eastAsia="宋体" w:cs="宋体"/>
          <w:sz w:val="24"/>
          <w:szCs w:val="24"/>
          <w:highlight w:val="none"/>
        </w:rPr>
        <w:t>4.5招标人安全目标</w:t>
      </w:r>
      <w:bookmarkEnd w:id="20"/>
      <w:bookmarkEnd w:id="21"/>
    </w:p>
    <w:p>
      <w:pPr>
        <w:pStyle w:val="2"/>
        <w:spacing w:after="0" w:line="360" w:lineRule="auto"/>
        <w:ind w:left="0" w:leftChars="0" w:firstLine="480"/>
        <w:rPr>
          <w:rFonts w:hint="eastAsia" w:ascii="宋体" w:hAnsi="宋体" w:eastAsia="宋体" w:cs="宋体"/>
          <w:sz w:val="24"/>
          <w:highlight w:val="none"/>
        </w:rPr>
      </w:pPr>
      <w:r>
        <w:rPr>
          <w:rFonts w:hint="eastAsia" w:ascii="宋体" w:hAnsi="宋体" w:eastAsia="宋体" w:cs="宋体"/>
          <w:sz w:val="24"/>
          <w:highlight w:val="none"/>
        </w:rPr>
        <w:t>（1）安全目标</w:t>
      </w:r>
    </w:p>
    <w:p>
      <w:pPr>
        <w:spacing w:line="480" w:lineRule="auto"/>
        <w:ind w:left="479" w:leftChars="228" w:firstLine="0" w:firstLineChars="0"/>
        <w:textAlignment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杜绝一般及以上电力安全事故和设备事故；</w:t>
      </w:r>
      <w:r>
        <w:rPr>
          <w:rFonts w:hint="eastAsia" w:ascii="宋体" w:hAnsi="宋体" w:eastAsia="宋体" w:cs="宋体"/>
          <w:sz w:val="24"/>
          <w:highlight w:val="none"/>
          <w:lang w:val="en-US" w:eastAsia="zh-CN"/>
        </w:rPr>
        <w:br w:type="textWrapping"/>
      </w:r>
      <w:r>
        <w:rPr>
          <w:rFonts w:hint="eastAsia" w:ascii="宋体" w:hAnsi="宋体" w:eastAsia="宋体" w:cs="宋体"/>
          <w:sz w:val="24"/>
          <w:highlight w:val="none"/>
          <w:lang w:val="en-US" w:eastAsia="zh-CN"/>
        </w:rPr>
        <w:t>2</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杜绝一般及以上人身轻伤事故；</w:t>
      </w:r>
      <w:r>
        <w:rPr>
          <w:rFonts w:hint="eastAsia" w:ascii="宋体" w:hAnsi="宋体" w:eastAsia="宋体" w:cs="宋体"/>
          <w:sz w:val="24"/>
          <w:highlight w:val="none"/>
          <w:lang w:val="en-US" w:eastAsia="zh-CN"/>
        </w:rPr>
        <w:br w:type="textWrapping"/>
      </w:r>
      <w:r>
        <w:rPr>
          <w:rFonts w:hint="eastAsia" w:ascii="宋体" w:hAnsi="宋体" w:eastAsia="宋体" w:cs="宋体"/>
          <w:sz w:val="24"/>
          <w:highlight w:val="none"/>
          <w:lang w:val="en-US" w:eastAsia="zh-CN"/>
        </w:rPr>
        <w:t>3</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不发生有责任的四级及以上电力安全事件和设备事件；</w:t>
      </w:r>
      <w:r>
        <w:rPr>
          <w:rFonts w:hint="eastAsia" w:ascii="宋体" w:hAnsi="宋体" w:eastAsia="宋体" w:cs="宋体"/>
          <w:sz w:val="24"/>
          <w:highlight w:val="none"/>
          <w:lang w:val="en-US" w:eastAsia="zh-CN"/>
        </w:rPr>
        <w:br w:type="textWrapping"/>
      </w: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不发生有责任的对社会、南方电网、云南电网公司及送变电公司造成不良影响的安全事件；</w:t>
      </w:r>
      <w:r>
        <w:rPr>
          <w:rFonts w:hint="eastAsia" w:ascii="宋体" w:hAnsi="宋体" w:eastAsia="宋体" w:cs="宋体"/>
          <w:sz w:val="24"/>
          <w:highlight w:val="none"/>
          <w:lang w:val="en-US" w:eastAsia="zh-CN"/>
        </w:rPr>
        <w:br w:type="textWrapping"/>
      </w:r>
      <w:r>
        <w:rPr>
          <w:rFonts w:hint="eastAsia" w:ascii="宋体" w:hAnsi="宋体" w:eastAsia="宋体" w:cs="宋体"/>
          <w:sz w:val="24"/>
          <w:highlight w:val="none"/>
          <w:lang w:val="en-US" w:eastAsia="zh-CN"/>
        </w:rPr>
        <w:t>5</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不发生有责任的五级及以上网络安全事件；</w:t>
      </w:r>
      <w:r>
        <w:rPr>
          <w:rFonts w:hint="eastAsia" w:ascii="宋体" w:hAnsi="宋体" w:eastAsia="宋体" w:cs="宋体"/>
          <w:sz w:val="24"/>
          <w:highlight w:val="none"/>
        </w:rPr>
        <w:br w:type="textWrapping"/>
      </w:r>
      <w:r>
        <w:rPr>
          <w:rFonts w:hint="eastAsia" w:ascii="宋体" w:hAnsi="宋体" w:eastAsia="宋体" w:cs="宋体"/>
          <w:sz w:val="24"/>
          <w:highlight w:val="none"/>
          <w:lang w:val="en-US" w:eastAsia="zh-CN"/>
        </w:rPr>
        <w:t>6</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确保重大隐患动态清零，实现人身事故“零死亡”；</w:t>
      </w:r>
    </w:p>
    <w:p>
      <w:pPr>
        <w:spacing w:line="480" w:lineRule="auto"/>
        <w:ind w:firstLine="480" w:firstLineChars="200"/>
        <w:textAlignment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7</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 xml:space="preserve"> 杜绝触犯“南方电网有限责任公司安全生产禁令”、“云南电网有限责任公司十条禁令”的违章行为；</w:t>
      </w:r>
    </w:p>
    <w:p>
      <w:pPr>
        <w:spacing w:line="480" w:lineRule="auto"/>
        <w:ind w:firstLine="480" w:firstLineChars="200"/>
        <w:textAlignment w:val="center"/>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8</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不发生因环境污染引起的侵权赔偿事件，不发生有责任的对送变电公司造成不良影响的环境事件。</w:t>
      </w:r>
    </w:p>
    <w:p>
      <w:pPr>
        <w:spacing w:line="48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（2）安全目标控制措施</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技术服务方</w:t>
      </w:r>
      <w:r>
        <w:rPr>
          <w:rFonts w:hint="eastAsia" w:ascii="宋体" w:hAnsi="宋体" w:eastAsia="宋体" w:cs="宋体"/>
          <w:sz w:val="24"/>
          <w:highlight w:val="none"/>
        </w:rPr>
        <w:t>应完全执行招标人的安全目标，对进入现场施工人员进行安全教育培训并经考试合格方能上岗作业，对安全目标的实现及重要施工节点，拟将采取的安全控制措施。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p>
    <w:p>
      <w:pPr>
        <w:pStyle w:val="2"/>
        <w:spacing w:line="360" w:lineRule="auto"/>
        <w:ind w:firstLine="480"/>
        <w:rPr>
          <w:rFonts w:hint="eastAsia" w:ascii="宋体" w:hAnsi="宋体" w:eastAsia="宋体" w:cs="宋体"/>
          <w:sz w:val="24"/>
          <w:highlight w:val="none"/>
        </w:rPr>
      </w:pPr>
    </w:p>
    <w:p>
      <w:pPr>
        <w:rPr>
          <w:rFonts w:hint="eastAsia" w:ascii="宋体" w:hAnsi="宋体" w:eastAsia="宋体" w:cs="宋体"/>
          <w:sz w:val="24"/>
          <w:highlight w:val="none"/>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sz w:val="28"/>
                              <w:szCs w:val="44"/>
                            </w:rPr>
                          </w:pPr>
                          <w:r>
                            <w:rPr>
                              <w:rFonts w:hint="eastAsia"/>
                              <w:sz w:val="28"/>
                              <w:szCs w:val="44"/>
                            </w:rPr>
                            <w:t xml:space="preserve">— </w:t>
                          </w:r>
                          <w:r>
                            <w:rPr>
                              <w:rFonts w:hint="eastAsia"/>
                              <w:sz w:val="28"/>
                              <w:szCs w:val="44"/>
                            </w:rPr>
                            <w:fldChar w:fldCharType="begin"/>
                          </w:r>
                          <w:r>
                            <w:rPr>
                              <w:rFonts w:hint="eastAsia"/>
                              <w:sz w:val="28"/>
                              <w:szCs w:val="44"/>
                            </w:rPr>
                            <w:instrText xml:space="preserve"> PAGE  \* MERGEFORMAT </w:instrText>
                          </w:r>
                          <w:r>
                            <w:rPr>
                              <w:rFonts w:hint="eastAsia"/>
                              <w:sz w:val="28"/>
                              <w:szCs w:val="44"/>
                            </w:rPr>
                            <w:fldChar w:fldCharType="separate"/>
                          </w:r>
                          <w:r>
                            <w:rPr>
                              <w:rFonts w:hint="eastAsia"/>
                              <w:sz w:val="28"/>
                              <w:szCs w:val="44"/>
                            </w:rPr>
                            <w:t>2</w:t>
                          </w:r>
                          <w:r>
                            <w:rPr>
                              <w:rFonts w:hint="eastAsia"/>
                              <w:sz w:val="28"/>
                              <w:szCs w:val="44"/>
                            </w:rPr>
                            <w:fldChar w:fldCharType="end"/>
                          </w:r>
                          <w:r>
                            <w:rPr>
                              <w:rFonts w:hint="eastAsia"/>
                              <w:sz w:val="28"/>
                              <w:szCs w:val="4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2"/>
                      <w:rPr>
                        <w:sz w:val="28"/>
                        <w:szCs w:val="44"/>
                      </w:rPr>
                    </w:pPr>
                    <w:r>
                      <w:rPr>
                        <w:rFonts w:hint="eastAsia"/>
                        <w:sz w:val="28"/>
                        <w:szCs w:val="44"/>
                      </w:rPr>
                      <w:t xml:space="preserve">— </w:t>
                    </w:r>
                    <w:r>
                      <w:rPr>
                        <w:rFonts w:hint="eastAsia"/>
                        <w:sz w:val="28"/>
                        <w:szCs w:val="44"/>
                      </w:rPr>
                      <w:fldChar w:fldCharType="begin"/>
                    </w:r>
                    <w:r>
                      <w:rPr>
                        <w:rFonts w:hint="eastAsia"/>
                        <w:sz w:val="28"/>
                        <w:szCs w:val="44"/>
                      </w:rPr>
                      <w:instrText xml:space="preserve"> PAGE  \* MERGEFORMAT </w:instrText>
                    </w:r>
                    <w:r>
                      <w:rPr>
                        <w:rFonts w:hint="eastAsia"/>
                        <w:sz w:val="28"/>
                        <w:szCs w:val="44"/>
                      </w:rPr>
                      <w:fldChar w:fldCharType="separate"/>
                    </w:r>
                    <w:r>
                      <w:rPr>
                        <w:rFonts w:hint="eastAsia"/>
                        <w:sz w:val="28"/>
                        <w:szCs w:val="44"/>
                      </w:rPr>
                      <w:t>2</w:t>
                    </w:r>
                    <w:r>
                      <w:rPr>
                        <w:rFonts w:hint="eastAsia"/>
                        <w:sz w:val="28"/>
                        <w:szCs w:val="44"/>
                      </w:rPr>
                      <w:fldChar w:fldCharType="end"/>
                    </w:r>
                    <w:r>
                      <w:rPr>
                        <w:rFonts w:hint="eastAsia"/>
                        <w:sz w:val="28"/>
                        <w:szCs w:val="44"/>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chineseCountingThousand"/>
      <w:lvlText w:val="%1、"/>
      <w:lvlJc w:val="center"/>
      <w:pPr>
        <w:tabs>
          <w:tab w:val="left" w:pos="567"/>
        </w:tabs>
        <w:ind w:left="1" w:hanging="1"/>
      </w:pPr>
      <w:rPr>
        <w:rFonts w:hint="eastAsia"/>
      </w:rPr>
    </w:lvl>
    <w:lvl w:ilvl="1" w:tentative="0">
      <w:start w:val="1"/>
      <w:numFmt w:val="decimal"/>
      <w:isLgl/>
      <w:lvlText w:val="%1.%2"/>
      <w:lvlJc w:val="left"/>
      <w:pPr>
        <w:tabs>
          <w:tab w:val="left" w:pos="576"/>
        </w:tabs>
        <w:ind w:left="576" w:hanging="576"/>
      </w:pPr>
      <w:rPr>
        <w:rFonts w:hint="eastAsia"/>
        <w:b/>
      </w:rPr>
    </w:lvl>
    <w:lvl w:ilvl="2" w:tentative="0">
      <w:start w:val="1"/>
      <w:numFmt w:val="decimal"/>
      <w:pStyle w:val="8"/>
      <w:isLgl/>
      <w:lvlText w:val="%1.%2.%3"/>
      <w:lvlJc w:val="left"/>
      <w:pPr>
        <w:tabs>
          <w:tab w:val="left" w:pos="1490"/>
        </w:tabs>
        <w:ind w:left="639" w:firstLine="0"/>
      </w:pPr>
      <w:rPr>
        <w:rFonts w:hint="eastAsia"/>
      </w:rPr>
    </w:lvl>
    <w:lvl w:ilvl="3" w:tentative="0">
      <w:start w:val="1"/>
      <w:numFmt w:val="decimal"/>
      <w:isLgl/>
      <w:lvlText w:val="%1.%2.%3.%4"/>
      <w:lvlJc w:val="left"/>
      <w:pPr>
        <w:tabs>
          <w:tab w:val="left" w:pos="1075"/>
        </w:tabs>
        <w:ind w:left="1075" w:hanging="864"/>
      </w:pPr>
      <w:rPr>
        <w:rFonts w:hint="eastAsia"/>
      </w:rPr>
    </w:lvl>
    <w:lvl w:ilvl="4" w:tentative="0">
      <w:start w:val="1"/>
      <w:numFmt w:val="decimal"/>
      <w:lvlText w:val="%1.%2.%3.%4.%5"/>
      <w:lvlJc w:val="left"/>
      <w:pPr>
        <w:tabs>
          <w:tab w:val="left" w:pos="1219"/>
        </w:tabs>
        <w:ind w:left="1219" w:hanging="1008"/>
      </w:pPr>
      <w:rPr>
        <w:rFonts w:hint="eastAsia"/>
      </w:rPr>
    </w:lvl>
    <w:lvl w:ilvl="5" w:tentative="0">
      <w:start w:val="1"/>
      <w:numFmt w:val="decimal"/>
      <w:lvlText w:val="%1.%2.%3.%4.%5.%6"/>
      <w:lvlJc w:val="left"/>
      <w:pPr>
        <w:tabs>
          <w:tab w:val="left" w:pos="1363"/>
        </w:tabs>
        <w:ind w:left="1363" w:hanging="1152"/>
      </w:pPr>
      <w:rPr>
        <w:rFonts w:hint="eastAsia"/>
      </w:rPr>
    </w:lvl>
    <w:lvl w:ilvl="6" w:tentative="0">
      <w:start w:val="1"/>
      <w:numFmt w:val="decimal"/>
      <w:lvlText w:val="%1.%2.%3.%4.%5.%6.%7"/>
      <w:lvlJc w:val="left"/>
      <w:pPr>
        <w:tabs>
          <w:tab w:val="left" w:pos="1507"/>
        </w:tabs>
        <w:ind w:left="1507" w:hanging="1296"/>
      </w:pPr>
      <w:rPr>
        <w:rFonts w:hint="eastAsia"/>
      </w:rPr>
    </w:lvl>
    <w:lvl w:ilvl="7" w:tentative="0">
      <w:start w:val="1"/>
      <w:numFmt w:val="decimal"/>
      <w:lvlText w:val="%1.%2.%3.%4.%5.%6.%7.%8"/>
      <w:lvlJc w:val="left"/>
      <w:pPr>
        <w:tabs>
          <w:tab w:val="left" w:pos="1651"/>
        </w:tabs>
        <w:ind w:left="1651" w:hanging="1440"/>
      </w:pPr>
      <w:rPr>
        <w:rFonts w:hint="eastAsia"/>
      </w:rPr>
    </w:lvl>
    <w:lvl w:ilvl="8" w:tentative="0">
      <w:start w:val="1"/>
      <w:numFmt w:val="decimal"/>
      <w:lvlText w:val="%1.%2.%3.%4.%5.%6.%7.%8.%9"/>
      <w:lvlJc w:val="left"/>
      <w:pPr>
        <w:tabs>
          <w:tab w:val="left" w:pos="1795"/>
        </w:tabs>
        <w:ind w:left="1795"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IzNzI2YzIyNWM0NDc4OTlhNWRiYTVhYWY5YWEyMDcifQ=="/>
  </w:docVars>
  <w:rsids>
    <w:rsidRoot w:val="407B1D8E"/>
    <w:rsid w:val="00012CFD"/>
    <w:rsid w:val="00054F4F"/>
    <w:rsid w:val="00057587"/>
    <w:rsid w:val="00076D09"/>
    <w:rsid w:val="00080FD3"/>
    <w:rsid w:val="00096B63"/>
    <w:rsid w:val="000C5BA5"/>
    <w:rsid w:val="000E5140"/>
    <w:rsid w:val="001139B2"/>
    <w:rsid w:val="0014616D"/>
    <w:rsid w:val="001520BD"/>
    <w:rsid w:val="0017353E"/>
    <w:rsid w:val="00193CA9"/>
    <w:rsid w:val="001B335C"/>
    <w:rsid w:val="001B766F"/>
    <w:rsid w:val="001F661D"/>
    <w:rsid w:val="0020311B"/>
    <w:rsid w:val="0020540F"/>
    <w:rsid w:val="00221908"/>
    <w:rsid w:val="0025102A"/>
    <w:rsid w:val="00261908"/>
    <w:rsid w:val="002A4FD3"/>
    <w:rsid w:val="002B1D46"/>
    <w:rsid w:val="00300C9F"/>
    <w:rsid w:val="003155F2"/>
    <w:rsid w:val="00336044"/>
    <w:rsid w:val="0034012B"/>
    <w:rsid w:val="00380EB6"/>
    <w:rsid w:val="003901C5"/>
    <w:rsid w:val="003951EF"/>
    <w:rsid w:val="00396A57"/>
    <w:rsid w:val="003970B1"/>
    <w:rsid w:val="003B1E0D"/>
    <w:rsid w:val="003C3D6F"/>
    <w:rsid w:val="004322CF"/>
    <w:rsid w:val="004500F7"/>
    <w:rsid w:val="00457394"/>
    <w:rsid w:val="00461D85"/>
    <w:rsid w:val="00470543"/>
    <w:rsid w:val="0048332F"/>
    <w:rsid w:val="004C17B8"/>
    <w:rsid w:val="004E3860"/>
    <w:rsid w:val="00541613"/>
    <w:rsid w:val="00564CF7"/>
    <w:rsid w:val="00567F3F"/>
    <w:rsid w:val="00570FC3"/>
    <w:rsid w:val="00584E55"/>
    <w:rsid w:val="0058715B"/>
    <w:rsid w:val="005B13CE"/>
    <w:rsid w:val="005D6A4A"/>
    <w:rsid w:val="005D7C7F"/>
    <w:rsid w:val="005F7330"/>
    <w:rsid w:val="00625966"/>
    <w:rsid w:val="00626BB3"/>
    <w:rsid w:val="00630AF4"/>
    <w:rsid w:val="00642998"/>
    <w:rsid w:val="00675DB0"/>
    <w:rsid w:val="006861C0"/>
    <w:rsid w:val="006F37A4"/>
    <w:rsid w:val="00707B48"/>
    <w:rsid w:val="00714516"/>
    <w:rsid w:val="00721AE5"/>
    <w:rsid w:val="00736828"/>
    <w:rsid w:val="00743B31"/>
    <w:rsid w:val="00743C4B"/>
    <w:rsid w:val="007675BA"/>
    <w:rsid w:val="007E291F"/>
    <w:rsid w:val="008353A2"/>
    <w:rsid w:val="00847810"/>
    <w:rsid w:val="00873F6F"/>
    <w:rsid w:val="00875E2E"/>
    <w:rsid w:val="00887363"/>
    <w:rsid w:val="008E6381"/>
    <w:rsid w:val="008F6131"/>
    <w:rsid w:val="009048DA"/>
    <w:rsid w:val="00907C4B"/>
    <w:rsid w:val="0092792D"/>
    <w:rsid w:val="009510A0"/>
    <w:rsid w:val="00960191"/>
    <w:rsid w:val="0096754C"/>
    <w:rsid w:val="00987647"/>
    <w:rsid w:val="0099518E"/>
    <w:rsid w:val="009A6DF1"/>
    <w:rsid w:val="009D057B"/>
    <w:rsid w:val="009D4E7B"/>
    <w:rsid w:val="009F26F7"/>
    <w:rsid w:val="00A00450"/>
    <w:rsid w:val="00A118EA"/>
    <w:rsid w:val="00A1267A"/>
    <w:rsid w:val="00A46BBB"/>
    <w:rsid w:val="00A47236"/>
    <w:rsid w:val="00A5379E"/>
    <w:rsid w:val="00A653A9"/>
    <w:rsid w:val="00AA4363"/>
    <w:rsid w:val="00AB6EED"/>
    <w:rsid w:val="00AC417B"/>
    <w:rsid w:val="00AD0253"/>
    <w:rsid w:val="00AE52C3"/>
    <w:rsid w:val="00AF3D59"/>
    <w:rsid w:val="00B24B3F"/>
    <w:rsid w:val="00B357D5"/>
    <w:rsid w:val="00B72E82"/>
    <w:rsid w:val="00BA1A55"/>
    <w:rsid w:val="00BC7359"/>
    <w:rsid w:val="00BD313C"/>
    <w:rsid w:val="00BF6817"/>
    <w:rsid w:val="00C01BEC"/>
    <w:rsid w:val="00C07641"/>
    <w:rsid w:val="00C1632E"/>
    <w:rsid w:val="00C30BF0"/>
    <w:rsid w:val="00C40CB6"/>
    <w:rsid w:val="00C61955"/>
    <w:rsid w:val="00C93FF4"/>
    <w:rsid w:val="00C95496"/>
    <w:rsid w:val="00CC1BD2"/>
    <w:rsid w:val="00CD0EC2"/>
    <w:rsid w:val="00CF3979"/>
    <w:rsid w:val="00D56DBE"/>
    <w:rsid w:val="00D75BA8"/>
    <w:rsid w:val="00DC0C32"/>
    <w:rsid w:val="00DD0CA2"/>
    <w:rsid w:val="00DD52AC"/>
    <w:rsid w:val="00E5521B"/>
    <w:rsid w:val="00E806F9"/>
    <w:rsid w:val="00E87ACA"/>
    <w:rsid w:val="00E90049"/>
    <w:rsid w:val="00EE4AE8"/>
    <w:rsid w:val="00F06297"/>
    <w:rsid w:val="00F10203"/>
    <w:rsid w:val="00F11C7D"/>
    <w:rsid w:val="00F3082E"/>
    <w:rsid w:val="00F36E04"/>
    <w:rsid w:val="00F76BE3"/>
    <w:rsid w:val="00F807A1"/>
    <w:rsid w:val="00F90122"/>
    <w:rsid w:val="00FE2F1E"/>
    <w:rsid w:val="0143677F"/>
    <w:rsid w:val="017B7436"/>
    <w:rsid w:val="01FA65AD"/>
    <w:rsid w:val="0302497C"/>
    <w:rsid w:val="0313544C"/>
    <w:rsid w:val="03960DAE"/>
    <w:rsid w:val="03A71FA0"/>
    <w:rsid w:val="044742AE"/>
    <w:rsid w:val="04BC223F"/>
    <w:rsid w:val="053E490B"/>
    <w:rsid w:val="06737E13"/>
    <w:rsid w:val="06BA056E"/>
    <w:rsid w:val="073D7DF6"/>
    <w:rsid w:val="07B92A66"/>
    <w:rsid w:val="0825634E"/>
    <w:rsid w:val="089D54C3"/>
    <w:rsid w:val="08DE5E2B"/>
    <w:rsid w:val="097529BD"/>
    <w:rsid w:val="0A5C5E37"/>
    <w:rsid w:val="0AAA2B3A"/>
    <w:rsid w:val="0AE26D72"/>
    <w:rsid w:val="0B8308AF"/>
    <w:rsid w:val="0BE37CA1"/>
    <w:rsid w:val="0C1439D2"/>
    <w:rsid w:val="0D156991"/>
    <w:rsid w:val="0DFA5B87"/>
    <w:rsid w:val="0E8F4521"/>
    <w:rsid w:val="0EF329BD"/>
    <w:rsid w:val="0F574044"/>
    <w:rsid w:val="0FF9577E"/>
    <w:rsid w:val="104B5DF8"/>
    <w:rsid w:val="106C386B"/>
    <w:rsid w:val="11736908"/>
    <w:rsid w:val="11DD6730"/>
    <w:rsid w:val="12D44A43"/>
    <w:rsid w:val="147B0DC2"/>
    <w:rsid w:val="14D93AB7"/>
    <w:rsid w:val="16603EDD"/>
    <w:rsid w:val="18802F35"/>
    <w:rsid w:val="189720E1"/>
    <w:rsid w:val="198C49F8"/>
    <w:rsid w:val="1A1D3FC6"/>
    <w:rsid w:val="1A4215FF"/>
    <w:rsid w:val="1A951111"/>
    <w:rsid w:val="1A9C79B8"/>
    <w:rsid w:val="1B373386"/>
    <w:rsid w:val="1B6054AC"/>
    <w:rsid w:val="1B746F78"/>
    <w:rsid w:val="1BE13EE2"/>
    <w:rsid w:val="1CA56F49"/>
    <w:rsid w:val="1CB416A2"/>
    <w:rsid w:val="1CCC42D8"/>
    <w:rsid w:val="1D235A85"/>
    <w:rsid w:val="1EDB3240"/>
    <w:rsid w:val="1F185E6D"/>
    <w:rsid w:val="1F6D61B8"/>
    <w:rsid w:val="1FDA1374"/>
    <w:rsid w:val="217361A8"/>
    <w:rsid w:val="22240C7F"/>
    <w:rsid w:val="24627601"/>
    <w:rsid w:val="24832190"/>
    <w:rsid w:val="24C97D99"/>
    <w:rsid w:val="25B8154C"/>
    <w:rsid w:val="26176934"/>
    <w:rsid w:val="267B1777"/>
    <w:rsid w:val="276933BD"/>
    <w:rsid w:val="27983FEE"/>
    <w:rsid w:val="27D55174"/>
    <w:rsid w:val="2953641F"/>
    <w:rsid w:val="297E1933"/>
    <w:rsid w:val="29BB5D72"/>
    <w:rsid w:val="29F002BF"/>
    <w:rsid w:val="2A2B6C30"/>
    <w:rsid w:val="2ADD33F0"/>
    <w:rsid w:val="2C251BC9"/>
    <w:rsid w:val="2C3A5674"/>
    <w:rsid w:val="2D6D1A79"/>
    <w:rsid w:val="2E3821DA"/>
    <w:rsid w:val="2FAC0052"/>
    <w:rsid w:val="30933018"/>
    <w:rsid w:val="30FF08EB"/>
    <w:rsid w:val="313C1E8F"/>
    <w:rsid w:val="321F2FC9"/>
    <w:rsid w:val="3227588C"/>
    <w:rsid w:val="32981347"/>
    <w:rsid w:val="32C4213C"/>
    <w:rsid w:val="346F1797"/>
    <w:rsid w:val="34C91C8B"/>
    <w:rsid w:val="351E142A"/>
    <w:rsid w:val="365732C7"/>
    <w:rsid w:val="38F35529"/>
    <w:rsid w:val="3ACE1D17"/>
    <w:rsid w:val="3C22248B"/>
    <w:rsid w:val="3D344362"/>
    <w:rsid w:val="3D631B48"/>
    <w:rsid w:val="3D70682C"/>
    <w:rsid w:val="3EB556A0"/>
    <w:rsid w:val="407B1D8E"/>
    <w:rsid w:val="41E05756"/>
    <w:rsid w:val="42411D8F"/>
    <w:rsid w:val="42487538"/>
    <w:rsid w:val="42E9316C"/>
    <w:rsid w:val="432C6E1F"/>
    <w:rsid w:val="437E6337"/>
    <w:rsid w:val="44694714"/>
    <w:rsid w:val="447D039C"/>
    <w:rsid w:val="44C3670F"/>
    <w:rsid w:val="45153F10"/>
    <w:rsid w:val="4737208D"/>
    <w:rsid w:val="47DD78F8"/>
    <w:rsid w:val="47F24BFD"/>
    <w:rsid w:val="4822133D"/>
    <w:rsid w:val="492E6109"/>
    <w:rsid w:val="49384C9A"/>
    <w:rsid w:val="499E6DEB"/>
    <w:rsid w:val="4A0330F2"/>
    <w:rsid w:val="4A4D25BF"/>
    <w:rsid w:val="4A69389D"/>
    <w:rsid w:val="4AFF7376"/>
    <w:rsid w:val="4C1821A8"/>
    <w:rsid w:val="4C8A2C90"/>
    <w:rsid w:val="4D510611"/>
    <w:rsid w:val="4D767929"/>
    <w:rsid w:val="4DBA440F"/>
    <w:rsid w:val="4E372F5B"/>
    <w:rsid w:val="4EF6317B"/>
    <w:rsid w:val="4FDB457D"/>
    <w:rsid w:val="5176689F"/>
    <w:rsid w:val="52203989"/>
    <w:rsid w:val="527159D7"/>
    <w:rsid w:val="53CB3436"/>
    <w:rsid w:val="544B03A4"/>
    <w:rsid w:val="54684BC5"/>
    <w:rsid w:val="549E4143"/>
    <w:rsid w:val="54A765C5"/>
    <w:rsid w:val="54BB2F47"/>
    <w:rsid w:val="54C54C3F"/>
    <w:rsid w:val="54ED60EB"/>
    <w:rsid w:val="564038B4"/>
    <w:rsid w:val="571526B6"/>
    <w:rsid w:val="571951A3"/>
    <w:rsid w:val="574D00A2"/>
    <w:rsid w:val="57621579"/>
    <w:rsid w:val="578C4726"/>
    <w:rsid w:val="59E9229B"/>
    <w:rsid w:val="5B935A55"/>
    <w:rsid w:val="5CAD76EB"/>
    <w:rsid w:val="5D107C15"/>
    <w:rsid w:val="5E070FAB"/>
    <w:rsid w:val="5ED0213A"/>
    <w:rsid w:val="5EF846EE"/>
    <w:rsid w:val="5F3D27AA"/>
    <w:rsid w:val="60863D99"/>
    <w:rsid w:val="60EA79A6"/>
    <w:rsid w:val="60EE4165"/>
    <w:rsid w:val="63D86F45"/>
    <w:rsid w:val="648A7873"/>
    <w:rsid w:val="65014982"/>
    <w:rsid w:val="65D60F4F"/>
    <w:rsid w:val="663E5E50"/>
    <w:rsid w:val="667E0FC3"/>
    <w:rsid w:val="67162AFE"/>
    <w:rsid w:val="673B7F17"/>
    <w:rsid w:val="67544B35"/>
    <w:rsid w:val="67B52711"/>
    <w:rsid w:val="67BD7377"/>
    <w:rsid w:val="682E7C96"/>
    <w:rsid w:val="68662CBB"/>
    <w:rsid w:val="68DB3760"/>
    <w:rsid w:val="69431305"/>
    <w:rsid w:val="6A3749C6"/>
    <w:rsid w:val="6B2D5159"/>
    <w:rsid w:val="6B43383E"/>
    <w:rsid w:val="6BEE043B"/>
    <w:rsid w:val="6D593B3A"/>
    <w:rsid w:val="6DB42167"/>
    <w:rsid w:val="6E7A0843"/>
    <w:rsid w:val="6EC94B3B"/>
    <w:rsid w:val="6ED15E86"/>
    <w:rsid w:val="6EF30A38"/>
    <w:rsid w:val="6F03734B"/>
    <w:rsid w:val="6F0D03EB"/>
    <w:rsid w:val="6F213E96"/>
    <w:rsid w:val="6F9309DF"/>
    <w:rsid w:val="70425E72"/>
    <w:rsid w:val="70C1148D"/>
    <w:rsid w:val="70CF4726"/>
    <w:rsid w:val="718D531F"/>
    <w:rsid w:val="71BA5A32"/>
    <w:rsid w:val="71E13469"/>
    <w:rsid w:val="727D7B98"/>
    <w:rsid w:val="73CF6AEC"/>
    <w:rsid w:val="742953FB"/>
    <w:rsid w:val="74D63897"/>
    <w:rsid w:val="75B93A72"/>
    <w:rsid w:val="76487DCD"/>
    <w:rsid w:val="768155CA"/>
    <w:rsid w:val="77DF0A17"/>
    <w:rsid w:val="78174088"/>
    <w:rsid w:val="782347DB"/>
    <w:rsid w:val="78282708"/>
    <w:rsid w:val="78476BC4"/>
    <w:rsid w:val="78482494"/>
    <w:rsid w:val="78856ECF"/>
    <w:rsid w:val="79A149B4"/>
    <w:rsid w:val="79D815F5"/>
    <w:rsid w:val="7A146AD1"/>
    <w:rsid w:val="7B537186"/>
    <w:rsid w:val="7D021E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6">
    <w:name w:val="heading 1"/>
    <w:basedOn w:val="1"/>
    <w:next w:val="1"/>
    <w:qFormat/>
    <w:uiPriority w:val="0"/>
    <w:pPr>
      <w:keepNext/>
      <w:keepLines/>
      <w:spacing w:before="340" w:after="330" w:line="578" w:lineRule="auto"/>
      <w:outlineLvl w:val="0"/>
    </w:pPr>
    <w:rPr>
      <w:b/>
      <w:bCs/>
      <w:kern w:val="44"/>
      <w:sz w:val="44"/>
      <w:szCs w:val="44"/>
    </w:rPr>
  </w:style>
  <w:style w:type="paragraph" w:styleId="7">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8">
    <w:name w:val="heading 3"/>
    <w:basedOn w:val="1"/>
    <w:next w:val="1"/>
    <w:qFormat/>
    <w:uiPriority w:val="0"/>
    <w:pPr>
      <w:keepNext/>
      <w:numPr>
        <w:ilvl w:val="2"/>
        <w:numId w:val="1"/>
      </w:numPr>
      <w:tabs>
        <w:tab w:val="left" w:pos="6240"/>
      </w:tabs>
      <w:adjustRightInd w:val="0"/>
      <w:snapToGrid w:val="0"/>
      <w:spacing w:before="280" w:after="100"/>
      <w:ind w:right="210" w:rightChars="100"/>
      <w:jc w:val="left"/>
      <w:outlineLvl w:val="2"/>
    </w:pPr>
    <w:rPr>
      <w:b/>
      <w:bCs/>
      <w:snapToGrid w:val="0"/>
      <w:color w:val="000000"/>
      <w:sz w:val="24"/>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link w:val="25"/>
    <w:qFormat/>
    <w:uiPriority w:val="99"/>
    <w:pPr>
      <w:ind w:firstLine="420" w:firstLineChars="200"/>
    </w:pPr>
    <w:rPr>
      <w:szCs w:val="24"/>
    </w:rPr>
  </w:style>
  <w:style w:type="paragraph" w:styleId="3">
    <w:name w:val="Body Text Indent"/>
    <w:basedOn w:val="1"/>
    <w:next w:val="4"/>
    <w:link w:val="24"/>
    <w:qFormat/>
    <w:uiPriority w:val="99"/>
    <w:pPr>
      <w:spacing w:after="120"/>
      <w:ind w:left="420" w:leftChars="200"/>
    </w:pPr>
    <w:rPr>
      <w:rFonts w:ascii="Arial" w:hAnsi="Arial"/>
      <w:szCs w:val="21"/>
    </w:rPr>
  </w:style>
  <w:style w:type="paragraph" w:customStyle="1" w:styleId="4">
    <w:name w:val="正文文本缩进1"/>
    <w:basedOn w:val="1"/>
    <w:qFormat/>
    <w:uiPriority w:val="0"/>
    <w:pPr>
      <w:adjustRightInd w:val="0"/>
      <w:spacing w:line="360" w:lineRule="auto"/>
      <w:ind w:firstLine="600"/>
      <w:jc w:val="left"/>
      <w:textAlignment w:val="baseline"/>
    </w:pPr>
    <w:rPr>
      <w:spacing w:val="30"/>
      <w:kern w:val="0"/>
      <w:sz w:val="28"/>
      <w:szCs w:val="28"/>
    </w:rPr>
  </w:style>
  <w:style w:type="paragraph" w:customStyle="1" w:styleId="5">
    <w:name w:val="正文内容"/>
    <w:basedOn w:val="1"/>
    <w:qFormat/>
    <w:uiPriority w:val="0"/>
    <w:pPr>
      <w:ind w:firstLine="200"/>
      <w:jc w:val="left"/>
    </w:pPr>
    <w:rPr>
      <w:rFonts w:ascii="Times New Roman" w:hAnsi="Times New Roman" w:eastAsia="仿宋_GB2312" w:cs="Times New Roman"/>
    </w:rPr>
  </w:style>
  <w:style w:type="paragraph" w:styleId="9">
    <w:name w:val="Normal Indent"/>
    <w:basedOn w:val="1"/>
    <w:next w:val="1"/>
    <w:unhideWhenUsed/>
    <w:qFormat/>
    <w:uiPriority w:val="99"/>
    <w:pPr>
      <w:ind w:firstLine="420"/>
    </w:pPr>
  </w:style>
  <w:style w:type="paragraph" w:styleId="10">
    <w:name w:val="toc 3"/>
    <w:basedOn w:val="1"/>
    <w:next w:val="1"/>
    <w:qFormat/>
    <w:uiPriority w:val="39"/>
    <w:pPr>
      <w:ind w:left="840" w:leftChars="400"/>
    </w:pPr>
  </w:style>
  <w:style w:type="paragraph" w:styleId="11">
    <w:name w:val="Date"/>
    <w:basedOn w:val="1"/>
    <w:next w:val="1"/>
    <w:link w:val="36"/>
    <w:qFormat/>
    <w:uiPriority w:val="0"/>
    <w:pPr>
      <w:ind w:left="100" w:leftChars="2500"/>
    </w:p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toc 1"/>
    <w:basedOn w:val="1"/>
    <w:next w:val="1"/>
    <w:qFormat/>
    <w:uiPriority w:val="39"/>
  </w:style>
  <w:style w:type="paragraph" w:styleId="15">
    <w:name w:val="toc 2"/>
    <w:basedOn w:val="1"/>
    <w:next w:val="1"/>
    <w:qFormat/>
    <w:uiPriority w:val="39"/>
    <w:pPr>
      <w:ind w:left="420" w:leftChars="200"/>
    </w:p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FollowedHyperlink"/>
    <w:basedOn w:val="18"/>
    <w:unhideWhenUsed/>
    <w:qFormat/>
    <w:uiPriority w:val="99"/>
    <w:rPr>
      <w:color w:val="954F72"/>
      <w:u w:val="single"/>
    </w:rPr>
  </w:style>
  <w:style w:type="character" w:styleId="20">
    <w:name w:val="Hyperlink"/>
    <w:basedOn w:val="18"/>
    <w:unhideWhenUsed/>
    <w:qFormat/>
    <w:uiPriority w:val="99"/>
    <w:rPr>
      <w:color w:val="0563C1"/>
      <w:u w:val="single"/>
    </w:rPr>
  </w:style>
  <w:style w:type="paragraph" w:customStyle="1" w:styleId="21">
    <w:name w:val="纯文本1"/>
    <w:basedOn w:val="1"/>
    <w:qFormat/>
    <w:uiPriority w:val="0"/>
    <w:rPr>
      <w:rFonts w:ascii="宋体" w:hAnsi="Courier New"/>
    </w:rPr>
  </w:style>
  <w:style w:type="paragraph" w:customStyle="1" w:styleId="22">
    <w:name w:val="样式 标书正文 + 首行缩进:  2 字符"/>
    <w:basedOn w:val="23"/>
    <w:qFormat/>
    <w:uiPriority w:val="0"/>
    <w:pPr>
      <w:ind w:firstLine="480"/>
    </w:pPr>
    <w:rPr>
      <w:bCs w:val="0"/>
      <w:szCs w:val="20"/>
    </w:rPr>
  </w:style>
  <w:style w:type="paragraph" w:customStyle="1" w:styleId="23">
    <w:name w:val="标书正文"/>
    <w:basedOn w:val="1"/>
    <w:qFormat/>
    <w:uiPriority w:val="0"/>
    <w:pPr>
      <w:spacing w:line="360" w:lineRule="auto"/>
      <w:ind w:firstLine="420" w:firstLineChars="200"/>
    </w:pPr>
    <w:rPr>
      <w:rFonts w:cs="宋体"/>
      <w:bCs/>
      <w:kern w:val="0"/>
      <w:sz w:val="24"/>
    </w:rPr>
  </w:style>
  <w:style w:type="character" w:customStyle="1" w:styleId="24">
    <w:name w:val="正文文本缩进 字符"/>
    <w:basedOn w:val="18"/>
    <w:link w:val="3"/>
    <w:qFormat/>
    <w:uiPriority w:val="99"/>
    <w:rPr>
      <w:rFonts w:ascii="Arial" w:hAnsi="Arial"/>
      <w:kern w:val="2"/>
      <w:sz w:val="21"/>
      <w:szCs w:val="21"/>
    </w:rPr>
  </w:style>
  <w:style w:type="character" w:customStyle="1" w:styleId="25">
    <w:name w:val="正文文本首行缩进 2 字符"/>
    <w:basedOn w:val="24"/>
    <w:link w:val="2"/>
    <w:qFormat/>
    <w:uiPriority w:val="99"/>
    <w:rPr>
      <w:rFonts w:ascii="Arial" w:hAnsi="Arial"/>
      <w:kern w:val="2"/>
      <w:sz w:val="21"/>
      <w:szCs w:val="24"/>
    </w:rPr>
  </w:style>
  <w:style w:type="paragraph" w:customStyle="1" w:styleId="26">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7">
    <w:name w:val="font0"/>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2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30">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31">
    <w:name w:val="xl65"/>
    <w:basedOn w:val="1"/>
    <w:qFormat/>
    <w:uiPriority w:val="0"/>
    <w:pPr>
      <w:widowControl/>
      <w:spacing w:before="100" w:beforeAutospacing="1" w:after="100" w:afterAutospacing="1"/>
      <w:jc w:val="left"/>
    </w:pPr>
    <w:rPr>
      <w:rFonts w:ascii="宋体" w:hAnsi="宋体" w:cs="宋体"/>
      <w:kern w:val="0"/>
      <w:sz w:val="24"/>
    </w:rPr>
  </w:style>
  <w:style w:type="paragraph" w:customStyle="1" w:styleId="32">
    <w:name w:val="xl66"/>
    <w:basedOn w:val="1"/>
    <w:qFormat/>
    <w:uiPriority w:val="0"/>
    <w:pPr>
      <w:widowControl/>
      <w:spacing w:before="100" w:beforeAutospacing="1" w:after="100" w:afterAutospacing="1"/>
      <w:jc w:val="center"/>
    </w:pPr>
    <w:rPr>
      <w:rFonts w:ascii="宋体" w:hAnsi="宋体" w:cs="宋体"/>
      <w:kern w:val="0"/>
      <w:sz w:val="24"/>
    </w:rPr>
  </w:style>
  <w:style w:type="paragraph" w:customStyle="1" w:styleId="3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3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35">
    <w:name w:val="xl69"/>
    <w:basedOn w:val="1"/>
    <w:qFormat/>
    <w:uiPriority w:val="0"/>
    <w:pPr>
      <w:widowControl/>
      <w:spacing w:before="100" w:beforeAutospacing="1" w:after="100" w:afterAutospacing="1"/>
      <w:jc w:val="center"/>
      <w:textAlignment w:val="center"/>
    </w:pPr>
    <w:rPr>
      <w:rFonts w:ascii="宋体" w:hAnsi="宋体" w:cs="宋体"/>
      <w:b/>
      <w:bCs/>
      <w:color w:val="000000"/>
      <w:kern w:val="0"/>
      <w:sz w:val="44"/>
      <w:szCs w:val="44"/>
    </w:rPr>
  </w:style>
  <w:style w:type="character" w:customStyle="1" w:styleId="36">
    <w:name w:val="日期 字符"/>
    <w:basedOn w:val="18"/>
    <w:link w:val="11"/>
    <w:qFormat/>
    <w:uiPriority w:val="0"/>
    <w:rPr>
      <w:rFonts w:ascii="Calibri" w:hAnsi="Calibri"/>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62D0F3-BCF5-45D8-88FE-FE5132B32F73}">
  <ds:schemaRefs/>
</ds:datastoreItem>
</file>

<file path=docProps/app.xml><?xml version="1.0" encoding="utf-8"?>
<Properties xmlns="http://schemas.openxmlformats.org/officeDocument/2006/extended-properties" xmlns:vt="http://schemas.openxmlformats.org/officeDocument/2006/docPropsVTypes">
  <Template>Normal</Template>
  <Pages>1</Pages>
  <Words>1499</Words>
  <Characters>8550</Characters>
  <Lines>71</Lines>
  <Paragraphs>20</Paragraphs>
  <TotalTime>8</TotalTime>
  <ScaleCrop>false</ScaleCrop>
  <LinksUpToDate>false</LinksUpToDate>
  <CharactersWithSpaces>10029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2019-11-28T08:23:00Z</dcterms:created>
  <dc:creator>ynsbdt'q'l</dc:creator>
  <cp:lastModifiedBy>BDGS</cp:lastModifiedBy>
  <cp:lastPrinted>2023-07-18T02:30:00Z</cp:lastPrinted>
  <dcterms:modified xsi:type="dcterms:W3CDTF">2024-08-26T03:23:43Z</dcterms:modified>
  <cp:revision>104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CFC3CD6674F24220AB828E7F605979A7</vt:lpwstr>
  </property>
</Properties>
</file>