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3E9770"/>
    <w:p w14:paraId="3144786F">
      <w:pPr>
        <w:pStyle w:val="2"/>
      </w:pPr>
    </w:p>
    <w:p w14:paraId="2ACCFE83"/>
    <w:p w14:paraId="154CA64F"/>
    <w:p w14:paraId="3894D973">
      <w:pPr>
        <w:spacing w:before="468" w:beforeLines="150" w:line="360" w:lineRule="auto"/>
        <w:jc w:val="center"/>
        <w:rPr>
          <w:sz w:val="44"/>
        </w:rPr>
      </w:pPr>
      <w:r>
        <w:rPr>
          <w:rFonts w:hint="eastAsia"/>
          <w:bCs/>
          <w:sz w:val="44"/>
          <w:u w:val="single"/>
        </w:rPr>
        <w:t>南方电网电动汽车服务有限公司机房通信数据安全监测</w:t>
      </w:r>
      <w:r>
        <w:rPr>
          <w:rFonts w:hint="eastAsia"/>
          <w:sz w:val="44"/>
        </w:rPr>
        <w:t>技术服务项目</w:t>
      </w:r>
    </w:p>
    <w:p w14:paraId="4166E5D2">
      <w:pPr>
        <w:spacing w:before="468" w:beforeLines="150" w:line="360" w:lineRule="auto"/>
        <w:jc w:val="center"/>
        <w:rPr>
          <w:sz w:val="44"/>
        </w:rPr>
      </w:pPr>
    </w:p>
    <w:p w14:paraId="238B8959">
      <w:pPr>
        <w:spacing w:before="468" w:beforeLines="150" w:line="360" w:lineRule="auto"/>
        <w:jc w:val="center"/>
        <w:rPr>
          <w:rFonts w:ascii="宋体" w:hAnsi="宋体" w:cs="宋体"/>
          <w:b/>
          <w:bCs/>
          <w:sz w:val="52"/>
          <w:szCs w:val="52"/>
        </w:rPr>
      </w:pPr>
      <w:r>
        <w:rPr>
          <w:rFonts w:hint="eastAsia" w:ascii="宋体" w:hAnsi="宋体" w:cs="宋体"/>
          <w:b/>
          <w:sz w:val="52"/>
          <w:szCs w:val="52"/>
        </w:rPr>
        <w:t>技术规范书</w:t>
      </w:r>
    </w:p>
    <w:p w14:paraId="3B20EFED"/>
    <w:p w14:paraId="79A133B5">
      <w:pPr>
        <w:pStyle w:val="2"/>
      </w:pPr>
    </w:p>
    <w:p w14:paraId="38499413">
      <w:pPr>
        <w:pStyle w:val="2"/>
      </w:pPr>
    </w:p>
    <w:p w14:paraId="79C27756">
      <w:pPr>
        <w:pStyle w:val="2"/>
      </w:pPr>
    </w:p>
    <w:p w14:paraId="346927A9">
      <w:pPr>
        <w:pStyle w:val="2"/>
      </w:pPr>
    </w:p>
    <w:p w14:paraId="41235D54">
      <w:pPr>
        <w:pStyle w:val="2"/>
      </w:pPr>
    </w:p>
    <w:p w14:paraId="04C03EAE">
      <w:pPr>
        <w:pStyle w:val="2"/>
      </w:pPr>
    </w:p>
    <w:p w14:paraId="5E31408C">
      <w:pPr>
        <w:pStyle w:val="2"/>
      </w:pPr>
    </w:p>
    <w:p w14:paraId="22862290">
      <w:pPr>
        <w:pStyle w:val="19"/>
        <w:adjustRightInd w:val="0"/>
        <w:snapToGrid w:val="0"/>
        <w:spacing w:line="640" w:lineRule="atLeast"/>
        <w:rPr>
          <w:sz w:val="28"/>
        </w:rPr>
      </w:pPr>
    </w:p>
    <w:p w14:paraId="0EE8B0C7">
      <w:pPr>
        <w:pStyle w:val="19"/>
        <w:adjustRightInd w:val="0"/>
        <w:snapToGrid w:val="0"/>
        <w:spacing w:line="640" w:lineRule="atLeast"/>
        <w:jc w:val="both"/>
        <w:rPr>
          <w:sz w:val="28"/>
        </w:rPr>
      </w:pPr>
    </w:p>
    <w:p w14:paraId="0FD27A31">
      <w:pPr>
        <w:pStyle w:val="19"/>
        <w:adjustRightInd w:val="0"/>
        <w:snapToGrid w:val="0"/>
        <w:spacing w:line="640" w:lineRule="atLeast"/>
        <w:rPr>
          <w:sz w:val="28"/>
        </w:rPr>
      </w:pPr>
    </w:p>
    <w:p w14:paraId="18A6709C">
      <w:pPr>
        <w:pStyle w:val="19"/>
        <w:adjustRightInd w:val="0"/>
        <w:snapToGrid w:val="0"/>
        <w:spacing w:line="640" w:lineRule="atLeast"/>
        <w:rPr>
          <w:sz w:val="28"/>
        </w:rPr>
      </w:pPr>
    </w:p>
    <w:p w14:paraId="443ADD19">
      <w:pPr>
        <w:pStyle w:val="2"/>
        <w:jc w:val="center"/>
        <w:rPr>
          <w:sz w:val="44"/>
        </w:rPr>
      </w:pPr>
      <w:r>
        <w:rPr>
          <w:rFonts w:hint="eastAsia"/>
          <w:sz w:val="44"/>
        </w:rPr>
        <w:t>南方电网电动汽车服务有限公司</w:t>
      </w:r>
    </w:p>
    <w:p w14:paraId="2140EC6A">
      <w:pPr>
        <w:pStyle w:val="2"/>
        <w:jc w:val="center"/>
        <w:rPr>
          <w:rFonts w:ascii="宋体" w:hAnsi="宋体" w:cs="宋体"/>
          <w:sz w:val="28"/>
          <w:szCs w:val="28"/>
        </w:rPr>
      </w:pPr>
      <w:r>
        <w:rPr>
          <w:rFonts w:hint="eastAsia" w:ascii="宋体" w:hAnsi="宋体" w:cs="宋体"/>
          <w:sz w:val="28"/>
          <w:szCs w:val="28"/>
        </w:rPr>
        <w:t>20</w:t>
      </w:r>
      <w:r>
        <w:rPr>
          <w:rFonts w:ascii="宋体" w:hAnsi="宋体" w:cs="宋体"/>
          <w:sz w:val="28"/>
          <w:szCs w:val="28"/>
        </w:rPr>
        <w:t>24</w:t>
      </w:r>
      <w:r>
        <w:rPr>
          <w:rFonts w:hint="eastAsia" w:ascii="宋体" w:hAnsi="宋体" w:cs="宋体"/>
          <w:sz w:val="28"/>
          <w:szCs w:val="28"/>
        </w:rPr>
        <w:t>年</w:t>
      </w:r>
      <w:r>
        <w:rPr>
          <w:rFonts w:ascii="宋体" w:hAnsi="宋体" w:cs="宋体"/>
          <w:sz w:val="28"/>
          <w:szCs w:val="28"/>
        </w:rPr>
        <w:t>4</w:t>
      </w:r>
      <w:r>
        <w:rPr>
          <w:rFonts w:hint="eastAsia" w:ascii="宋体" w:hAnsi="宋体" w:cs="宋体"/>
          <w:sz w:val="28"/>
          <w:szCs w:val="28"/>
        </w:rPr>
        <w:t>月</w:t>
      </w:r>
    </w:p>
    <w:p w14:paraId="423A983F">
      <w:pPr>
        <w:pStyle w:val="2"/>
        <w:jc w:val="center"/>
        <w:rPr>
          <w:rFonts w:ascii="宋体" w:hAnsi="宋体" w:cs="宋体"/>
          <w:sz w:val="28"/>
          <w:szCs w:val="28"/>
        </w:rPr>
        <w:sectPr>
          <w:pgSz w:w="11906" w:h="16838"/>
          <w:pgMar w:top="1440" w:right="1800" w:bottom="1440" w:left="1800" w:header="851" w:footer="992" w:gutter="0"/>
          <w:cols w:space="425" w:num="1"/>
          <w:docGrid w:type="lines" w:linePitch="312" w:charSpace="0"/>
        </w:sectPr>
      </w:pPr>
    </w:p>
    <w:p w14:paraId="522713DD">
      <w:pPr>
        <w:spacing w:line="360" w:lineRule="auto"/>
        <w:outlineLvl w:val="0"/>
        <w:rPr>
          <w:rFonts w:ascii="宋体" w:hAnsi="宋体" w:cs="宋体"/>
          <w:b/>
          <w:bCs/>
          <w:sz w:val="32"/>
          <w:szCs w:val="32"/>
        </w:rPr>
      </w:pPr>
      <w:r>
        <w:rPr>
          <w:rFonts w:hint="eastAsia" w:ascii="宋体" w:hAnsi="宋体" w:cs="宋体"/>
          <w:b/>
          <w:bCs/>
          <w:sz w:val="32"/>
          <w:szCs w:val="32"/>
        </w:rPr>
        <w:t>1.总则</w:t>
      </w:r>
    </w:p>
    <w:p w14:paraId="4031E199">
      <w:pPr>
        <w:spacing w:line="360" w:lineRule="auto"/>
        <w:ind w:firstLine="480" w:firstLineChars="200"/>
        <w:rPr>
          <w:rFonts w:ascii="宋体" w:hAnsi="宋体" w:cs="宋体"/>
          <w:sz w:val="24"/>
        </w:rPr>
      </w:pPr>
      <w:r>
        <w:rPr>
          <w:rFonts w:hint="eastAsia" w:ascii="宋体" w:hAnsi="宋体" w:cs="宋体"/>
          <w:sz w:val="24"/>
        </w:rPr>
        <w:t>（1）本技术规范书是为南方电网电动汽车服务有限公司机房通信数据安全监测技术服务项目</w:t>
      </w:r>
      <w:r>
        <w:rPr>
          <w:rFonts w:hint="eastAsia" w:ascii="宋体" w:hAnsi="宋体" w:cs="宋体"/>
          <w:sz w:val="24"/>
          <w:lang w:val="en-US" w:eastAsia="zh-CN"/>
        </w:rPr>
        <w:t>采购</w:t>
      </w:r>
      <w:r>
        <w:rPr>
          <w:rFonts w:hint="eastAsia" w:ascii="宋体" w:hAnsi="宋体" w:cs="宋体"/>
          <w:sz w:val="24"/>
        </w:rPr>
        <w:t>而提出相关技术要求。本项目的</w:t>
      </w:r>
      <w:r>
        <w:rPr>
          <w:rFonts w:hint="eastAsia" w:ascii="宋体" w:hAnsi="宋体" w:cs="宋体"/>
          <w:sz w:val="24"/>
          <w:lang w:val="en-US" w:eastAsia="zh-CN"/>
        </w:rPr>
        <w:t>采购</w:t>
      </w:r>
      <w:r>
        <w:rPr>
          <w:rFonts w:hint="eastAsia" w:ascii="宋体" w:hAnsi="宋体" w:cs="宋体"/>
          <w:sz w:val="24"/>
        </w:rPr>
        <w:t>人及最终用户是南方电网电动汽车服务有限公司（以下简称</w:t>
      </w:r>
      <w:r>
        <w:rPr>
          <w:rFonts w:hint="eastAsia" w:ascii="宋体" w:hAnsi="宋体" w:cs="宋体"/>
          <w:sz w:val="24"/>
          <w:lang w:eastAsia="zh-CN"/>
        </w:rPr>
        <w:t>采购</w:t>
      </w:r>
      <w:r>
        <w:rPr>
          <w:rFonts w:hint="eastAsia" w:ascii="宋体" w:hAnsi="宋体" w:cs="宋体"/>
          <w:sz w:val="24"/>
        </w:rPr>
        <w:t>人）。</w:t>
      </w:r>
    </w:p>
    <w:p w14:paraId="54A87C07">
      <w:pPr>
        <w:spacing w:line="360" w:lineRule="auto"/>
        <w:ind w:firstLine="480" w:firstLineChars="200"/>
        <w:rPr>
          <w:rFonts w:ascii="宋体" w:hAnsi="宋体" w:cs="宋体"/>
          <w:sz w:val="24"/>
        </w:rPr>
      </w:pPr>
      <w:r>
        <w:rPr>
          <w:rFonts w:hint="eastAsia" w:ascii="宋体" w:hAnsi="宋体" w:cs="宋体"/>
          <w:sz w:val="24"/>
        </w:rPr>
        <w:t>（2）本项目之任务是为满足业务需求，为通信系统数据交互接入情况检测技术服务。</w:t>
      </w:r>
    </w:p>
    <w:p w14:paraId="5EAB0364">
      <w:pPr>
        <w:spacing w:line="360" w:lineRule="auto"/>
        <w:ind w:firstLine="480" w:firstLineChars="200"/>
        <w:rPr>
          <w:rFonts w:ascii="宋体" w:hAnsi="宋体" w:cs="宋体"/>
          <w:sz w:val="24"/>
        </w:rPr>
      </w:pPr>
      <w:r>
        <w:rPr>
          <w:rFonts w:hint="eastAsia" w:ascii="宋体" w:hAnsi="宋体" w:cs="宋体"/>
          <w:sz w:val="24"/>
        </w:rPr>
        <w:t>（3）本技术规范书由</w:t>
      </w:r>
      <w:r>
        <w:rPr>
          <w:rFonts w:hint="eastAsia" w:ascii="宋体" w:hAnsi="宋体" w:cs="宋体"/>
          <w:sz w:val="24"/>
          <w:lang w:eastAsia="zh-CN"/>
        </w:rPr>
        <w:t>采购</w:t>
      </w:r>
      <w:r>
        <w:rPr>
          <w:rFonts w:hint="eastAsia" w:ascii="宋体" w:hAnsi="宋体" w:cs="宋体"/>
          <w:sz w:val="24"/>
        </w:rPr>
        <w:t>人提出，供本项目投标单位（以下简称投标人）编写投标人案及报价使用。本次</w:t>
      </w:r>
      <w:r>
        <w:rPr>
          <w:rFonts w:hint="eastAsia" w:ascii="宋体" w:hAnsi="宋体" w:cs="宋体"/>
          <w:sz w:val="24"/>
          <w:lang w:eastAsia="zh-CN"/>
        </w:rPr>
        <w:t>采购</w:t>
      </w:r>
      <w:r>
        <w:rPr>
          <w:rFonts w:hint="eastAsia" w:ascii="宋体" w:hAnsi="宋体" w:cs="宋体"/>
          <w:sz w:val="24"/>
        </w:rPr>
        <w:t>的中标单位（以下简称中标人）将作为本项目的总体承担单位按照本技术规范书的相关要求及后续双方协商确定的技术协议负责组织本项目相关的工作。</w:t>
      </w:r>
    </w:p>
    <w:p w14:paraId="61ADEDEA">
      <w:pPr>
        <w:spacing w:line="360" w:lineRule="auto"/>
        <w:ind w:firstLine="480" w:firstLineChars="200"/>
        <w:rPr>
          <w:rFonts w:ascii="宋体" w:hAnsi="宋体" w:cs="宋体"/>
          <w:sz w:val="24"/>
        </w:rPr>
      </w:pPr>
      <w:r>
        <w:rPr>
          <w:rFonts w:hint="eastAsia" w:ascii="宋体" w:hAnsi="宋体" w:cs="宋体"/>
          <w:sz w:val="24"/>
        </w:rPr>
        <w:t>（4）本技术规范书为投标人编制项目建议书的依据，投标人应仔细阅读包括本技术规范书在内的</w:t>
      </w:r>
      <w:r>
        <w:rPr>
          <w:rFonts w:hint="eastAsia" w:ascii="宋体" w:hAnsi="宋体" w:cs="宋体"/>
          <w:sz w:val="24"/>
          <w:lang w:eastAsia="zh-CN"/>
        </w:rPr>
        <w:t>采购</w:t>
      </w:r>
      <w:r>
        <w:rPr>
          <w:rFonts w:hint="eastAsia" w:ascii="宋体" w:hAnsi="宋体" w:cs="宋体"/>
          <w:sz w:val="24"/>
        </w:rPr>
        <w:t>文件的所有条款，其提供的服务应符合或优于本</w:t>
      </w:r>
      <w:r>
        <w:rPr>
          <w:rFonts w:hint="eastAsia" w:ascii="宋体" w:hAnsi="宋体" w:cs="宋体"/>
          <w:sz w:val="24"/>
          <w:lang w:eastAsia="zh-CN"/>
        </w:rPr>
        <w:t>采购</w:t>
      </w:r>
      <w:r>
        <w:rPr>
          <w:rFonts w:hint="eastAsia" w:ascii="宋体" w:hAnsi="宋体" w:cs="宋体"/>
          <w:sz w:val="24"/>
        </w:rPr>
        <w:t>技术规范书所规定的所有要求。如果投标人提供的项目建议书与本技术规范书的要求有差异，应在投标书中以“技术偏差”为标题的专门章节中进行描述并阐述理由。对于本技术规范书的某些部分，投标人如不能满足要求，应在项目建议书中提出说明，否则，</w:t>
      </w:r>
      <w:r>
        <w:rPr>
          <w:rFonts w:hint="eastAsia" w:ascii="宋体" w:hAnsi="宋体" w:cs="宋体"/>
          <w:sz w:val="24"/>
          <w:lang w:eastAsia="zh-CN"/>
        </w:rPr>
        <w:t>采购</w:t>
      </w:r>
      <w:r>
        <w:rPr>
          <w:rFonts w:hint="eastAsia" w:ascii="宋体" w:hAnsi="宋体" w:cs="宋体"/>
          <w:sz w:val="24"/>
        </w:rPr>
        <w:t>人即认为投标人认可满足本技术规范书的所有条款。</w:t>
      </w:r>
    </w:p>
    <w:p w14:paraId="688D1AFF">
      <w:pPr>
        <w:spacing w:line="360" w:lineRule="auto"/>
        <w:ind w:firstLine="480" w:firstLineChars="200"/>
        <w:rPr>
          <w:rFonts w:ascii="宋体" w:hAnsi="宋体" w:cs="宋体"/>
          <w:sz w:val="24"/>
        </w:rPr>
      </w:pPr>
      <w:r>
        <w:rPr>
          <w:rFonts w:hint="eastAsia" w:ascii="宋体" w:hAnsi="宋体" w:cs="宋体"/>
          <w:sz w:val="24"/>
        </w:rPr>
        <w:t>（5）本技术规范书提出的要求是最低限度的技术要求，并未对一切技术细节做出规定，也未充分引述有关标准和规范的条文。投标人在研究和开发过程中应遵循国际和国内相关领域最新版本的标准和规范。如本技术规范书对保证项目成功所需服务及成果的要求有所遗漏，投标人应予以补充并进行报价，否则中标后发现的遗漏部分将视为已被投标人认可并免费提供。</w:t>
      </w:r>
    </w:p>
    <w:p w14:paraId="0851A58C">
      <w:pPr>
        <w:spacing w:line="360" w:lineRule="auto"/>
        <w:ind w:firstLine="480" w:firstLineChars="200"/>
        <w:rPr>
          <w:rFonts w:ascii="宋体" w:hAnsi="宋体" w:cs="宋体"/>
          <w:sz w:val="24"/>
        </w:rPr>
      </w:pPr>
      <w:r>
        <w:rPr>
          <w:rFonts w:hint="eastAsia" w:ascii="宋体" w:hAnsi="宋体" w:cs="宋体"/>
          <w:sz w:val="24"/>
        </w:rPr>
        <w:t>（7）</w:t>
      </w:r>
      <w:r>
        <w:rPr>
          <w:rFonts w:hint="eastAsia" w:ascii="宋体" w:hAnsi="宋体" w:cs="宋体"/>
          <w:sz w:val="24"/>
          <w:lang w:eastAsia="zh-CN"/>
        </w:rPr>
        <w:t>采购</w:t>
      </w:r>
      <w:r>
        <w:rPr>
          <w:rFonts w:hint="eastAsia" w:ascii="宋体" w:hAnsi="宋体" w:cs="宋体"/>
          <w:sz w:val="24"/>
        </w:rPr>
        <w:t>人保留解释修改本技术规范书的权力，双方对本技术规范书条款理解有歧义的，以</w:t>
      </w:r>
      <w:r>
        <w:rPr>
          <w:rFonts w:hint="eastAsia" w:ascii="宋体" w:hAnsi="宋体" w:cs="宋体"/>
          <w:sz w:val="24"/>
          <w:lang w:eastAsia="zh-CN"/>
        </w:rPr>
        <w:t>采购</w:t>
      </w:r>
      <w:r>
        <w:rPr>
          <w:rFonts w:hint="eastAsia" w:ascii="宋体" w:hAnsi="宋体" w:cs="宋体"/>
          <w:sz w:val="24"/>
        </w:rPr>
        <w:t>人的解决为准；在投标截止前，</w:t>
      </w:r>
      <w:r>
        <w:rPr>
          <w:rFonts w:hint="eastAsia" w:ascii="宋体" w:hAnsi="宋体" w:cs="宋体"/>
          <w:sz w:val="24"/>
          <w:lang w:eastAsia="zh-CN"/>
        </w:rPr>
        <w:t>采购</w:t>
      </w:r>
      <w:r>
        <w:rPr>
          <w:rFonts w:hint="eastAsia" w:ascii="宋体" w:hAnsi="宋体" w:cs="宋体"/>
          <w:sz w:val="24"/>
        </w:rPr>
        <w:t>人可以根据需要对本技术规范书进行变更。</w:t>
      </w:r>
    </w:p>
    <w:p w14:paraId="3F489778">
      <w:pPr>
        <w:spacing w:line="360" w:lineRule="auto"/>
        <w:ind w:firstLine="480" w:firstLineChars="200"/>
        <w:rPr>
          <w:rFonts w:ascii="宋体" w:hAnsi="宋体" w:cs="宋体"/>
          <w:sz w:val="24"/>
        </w:rPr>
      </w:pPr>
      <w:r>
        <w:rPr>
          <w:rFonts w:hint="eastAsia" w:ascii="宋体" w:hAnsi="宋体" w:cs="宋体"/>
          <w:sz w:val="24"/>
        </w:rPr>
        <w:t>（8）本技术规范书未尽事宜，由</w:t>
      </w:r>
      <w:r>
        <w:rPr>
          <w:rFonts w:hint="eastAsia" w:ascii="宋体" w:hAnsi="宋体" w:cs="宋体"/>
          <w:sz w:val="24"/>
          <w:lang w:eastAsia="zh-CN"/>
        </w:rPr>
        <w:t>采购</w:t>
      </w:r>
      <w:r>
        <w:rPr>
          <w:rFonts w:hint="eastAsia" w:ascii="宋体" w:hAnsi="宋体" w:cs="宋体"/>
          <w:sz w:val="24"/>
        </w:rPr>
        <w:t>人和投标人在合同技术谈判时协商确定。</w:t>
      </w:r>
    </w:p>
    <w:p w14:paraId="5EE7A57E">
      <w:pPr>
        <w:ind w:firstLine="480" w:firstLineChars="200"/>
        <w:rPr>
          <w:rFonts w:ascii="宋体" w:hAnsi="宋体" w:cs="宋体"/>
          <w:sz w:val="24"/>
        </w:rPr>
      </w:pPr>
      <w:r>
        <w:rPr>
          <w:rFonts w:hint="eastAsia" w:ascii="宋体" w:hAnsi="宋体" w:cs="宋体"/>
          <w:sz w:val="24"/>
        </w:rPr>
        <w:br w:type="page"/>
      </w:r>
    </w:p>
    <w:p w14:paraId="77C4B6E0">
      <w:pPr>
        <w:spacing w:line="360" w:lineRule="auto"/>
        <w:outlineLvl w:val="0"/>
        <w:rPr>
          <w:rFonts w:ascii="宋体" w:hAnsi="宋体" w:cs="宋体"/>
          <w:b/>
          <w:bCs/>
          <w:sz w:val="32"/>
          <w:szCs w:val="32"/>
        </w:rPr>
      </w:pPr>
      <w:r>
        <w:rPr>
          <w:rFonts w:hint="eastAsia" w:ascii="宋体" w:hAnsi="宋体" w:cs="宋体"/>
          <w:b/>
          <w:bCs/>
          <w:sz w:val="32"/>
          <w:szCs w:val="32"/>
        </w:rPr>
        <w:t>2.项目情况</w:t>
      </w:r>
    </w:p>
    <w:p w14:paraId="50A8A2FD">
      <w:pPr>
        <w:spacing w:line="360" w:lineRule="auto"/>
        <w:outlineLvl w:val="1"/>
        <w:rPr>
          <w:rFonts w:ascii="宋体" w:hAnsi="宋体" w:cs="宋体"/>
          <w:b/>
          <w:bCs/>
          <w:sz w:val="32"/>
          <w:szCs w:val="32"/>
        </w:rPr>
      </w:pPr>
      <w:r>
        <w:rPr>
          <w:rFonts w:hint="eastAsia" w:ascii="宋体" w:hAnsi="宋体" w:cs="宋体"/>
          <w:b/>
          <w:bCs/>
          <w:sz w:val="32"/>
          <w:szCs w:val="32"/>
        </w:rPr>
        <w:t>2.1.项目背景</w:t>
      </w:r>
    </w:p>
    <w:p w14:paraId="7081A83D">
      <w:pPr>
        <w:spacing w:line="360" w:lineRule="auto"/>
        <w:ind w:firstLine="480" w:firstLineChars="200"/>
        <w:outlineLvl w:val="1"/>
        <w:rPr>
          <w:rFonts w:ascii="宋体" w:hAnsi="宋体" w:cs="宋体"/>
          <w:sz w:val="24"/>
        </w:rPr>
      </w:pPr>
      <w:r>
        <w:rPr>
          <w:rFonts w:hint="eastAsia" w:ascii="宋体" w:hAnsi="宋体" w:cs="宋体"/>
          <w:sz w:val="24"/>
        </w:rPr>
        <w:t>为南方电网电动汽车服务有限公司办公场通信系统进行数据安全接入情况进行统计分析，提供数据交互接入情况检测技术服务。</w:t>
      </w:r>
    </w:p>
    <w:p w14:paraId="539A8556">
      <w:pPr>
        <w:spacing w:line="360" w:lineRule="auto"/>
        <w:outlineLvl w:val="1"/>
        <w:rPr>
          <w:rFonts w:ascii="宋体" w:hAnsi="宋体" w:cs="宋体"/>
          <w:b/>
          <w:bCs/>
          <w:sz w:val="32"/>
          <w:szCs w:val="32"/>
        </w:rPr>
      </w:pPr>
      <w:r>
        <w:rPr>
          <w:rFonts w:hint="eastAsia" w:ascii="宋体" w:hAnsi="宋体" w:cs="宋体"/>
          <w:b/>
          <w:bCs/>
          <w:sz w:val="32"/>
          <w:szCs w:val="32"/>
        </w:rPr>
        <w:t>2.2.服务要求</w:t>
      </w:r>
    </w:p>
    <w:p w14:paraId="69FA05E9">
      <w:pPr>
        <w:spacing w:line="360" w:lineRule="auto"/>
        <w:ind w:firstLine="480" w:firstLineChars="200"/>
        <w:rPr>
          <w:rFonts w:ascii="宋体" w:hAnsi="宋体" w:cs="宋体"/>
          <w:sz w:val="24"/>
        </w:rPr>
      </w:pPr>
      <w:r>
        <w:rPr>
          <w:rFonts w:hint="eastAsia" w:ascii="宋体" w:hAnsi="宋体" w:cs="宋体"/>
          <w:sz w:val="24"/>
        </w:rPr>
        <w:t>在服务的过程中，投标人提供的服务应安全可靠，应严格遵守国家及网省公司的有关规章制度，保证服务质量，确保本项目所涉及内容的安全性。服务要求如下：</w:t>
      </w:r>
    </w:p>
    <w:p w14:paraId="37C1BB66">
      <w:pPr>
        <w:spacing w:line="360" w:lineRule="auto"/>
        <w:ind w:firstLine="480" w:firstLineChars="200"/>
        <w:rPr>
          <w:rFonts w:ascii="宋体" w:hAnsi="宋体" w:cs="宋体"/>
          <w:sz w:val="24"/>
        </w:rPr>
      </w:pPr>
      <w:r>
        <w:rPr>
          <w:rFonts w:hint="eastAsia" w:ascii="宋体" w:hAnsi="宋体" w:cs="宋体"/>
          <w:sz w:val="24"/>
        </w:rPr>
        <w:t>1、投标人必须严格遵照《保密法》和《合同法》的规定，对甲方网络相关信息保密，如有泄露，乙方必须承担相应的法律责任，按</w:t>
      </w:r>
      <w:r>
        <w:rPr>
          <w:rFonts w:hint="eastAsia" w:ascii="宋体" w:hAnsi="宋体" w:cs="宋体"/>
          <w:sz w:val="24"/>
          <w:lang w:eastAsia="zh-CN"/>
        </w:rPr>
        <w:t>采购</w:t>
      </w:r>
      <w:r>
        <w:rPr>
          <w:rFonts w:hint="eastAsia" w:ascii="宋体" w:hAnsi="宋体" w:cs="宋体"/>
          <w:sz w:val="24"/>
        </w:rPr>
        <w:t>方要求签订保密协议。</w:t>
      </w:r>
    </w:p>
    <w:p w14:paraId="1E3F0648">
      <w:pPr>
        <w:spacing w:line="360" w:lineRule="auto"/>
        <w:ind w:firstLine="480" w:firstLineChars="200"/>
        <w:rPr>
          <w:rFonts w:ascii="宋体" w:hAnsi="宋体" w:cs="宋体"/>
          <w:sz w:val="24"/>
        </w:rPr>
      </w:pPr>
      <w:r>
        <w:rPr>
          <w:rFonts w:hint="eastAsia" w:ascii="宋体" w:hAnsi="宋体" w:cs="宋体"/>
          <w:sz w:val="24"/>
        </w:rPr>
        <w:t>2、投标人必须按照</w:t>
      </w:r>
      <w:r>
        <w:rPr>
          <w:rFonts w:hint="eastAsia" w:ascii="宋体" w:hAnsi="宋体" w:cs="宋体"/>
          <w:sz w:val="24"/>
          <w:lang w:eastAsia="zh-CN"/>
        </w:rPr>
        <w:t>采购</w:t>
      </w:r>
      <w:r>
        <w:rPr>
          <w:rFonts w:hint="eastAsia" w:ascii="宋体" w:hAnsi="宋体" w:cs="宋体"/>
          <w:sz w:val="24"/>
        </w:rPr>
        <w:t>方的管理制度、技术标准和规范、作业和业务指导书等相关制度开展常规检修、专项检修技术支撑工作。</w:t>
      </w:r>
    </w:p>
    <w:p w14:paraId="72E0C3E8">
      <w:pPr>
        <w:spacing w:line="360" w:lineRule="auto"/>
        <w:ind w:firstLine="480" w:firstLineChars="200"/>
        <w:rPr>
          <w:rFonts w:ascii="宋体" w:hAnsi="宋体" w:cs="宋体"/>
          <w:sz w:val="24"/>
        </w:rPr>
      </w:pPr>
      <w:r>
        <w:rPr>
          <w:rFonts w:hint="eastAsia" w:ascii="宋体" w:hAnsi="宋体" w:cs="宋体"/>
          <w:sz w:val="24"/>
        </w:rPr>
        <w:t>3、为保障检修服务规范化执行，各个环节清晰可追溯，投标人必须严格按照</w:t>
      </w:r>
      <w:r>
        <w:rPr>
          <w:rFonts w:hint="eastAsia" w:ascii="宋体" w:hAnsi="宋体" w:cs="宋体"/>
          <w:sz w:val="24"/>
          <w:lang w:eastAsia="zh-CN"/>
        </w:rPr>
        <w:t>采购</w:t>
      </w:r>
      <w:r>
        <w:rPr>
          <w:rFonts w:hint="eastAsia" w:ascii="宋体" w:hAnsi="宋体" w:cs="宋体"/>
          <w:sz w:val="24"/>
        </w:rPr>
        <w:t>方相关流程进行操作，尽量避免对</w:t>
      </w:r>
      <w:r>
        <w:rPr>
          <w:rFonts w:hint="eastAsia" w:ascii="宋体" w:hAnsi="宋体" w:cs="宋体"/>
          <w:sz w:val="24"/>
          <w:lang w:eastAsia="zh-CN"/>
        </w:rPr>
        <w:t>采购</w:t>
      </w:r>
      <w:r>
        <w:rPr>
          <w:rFonts w:hint="eastAsia" w:ascii="宋体" w:hAnsi="宋体" w:cs="宋体"/>
          <w:sz w:val="24"/>
        </w:rPr>
        <w:t>方正常业务的干扰，每步操作须有明确记录，禁止任何不按流程处理的操作，一经发现将严肃处理。</w:t>
      </w:r>
    </w:p>
    <w:p w14:paraId="33C88D9F">
      <w:pPr>
        <w:spacing w:line="360" w:lineRule="auto"/>
        <w:ind w:firstLine="480" w:firstLineChars="200"/>
        <w:rPr>
          <w:rFonts w:ascii="宋体" w:hAnsi="宋体" w:cs="宋体"/>
          <w:sz w:val="24"/>
        </w:rPr>
      </w:pPr>
      <w:r>
        <w:rPr>
          <w:rFonts w:hint="eastAsia" w:ascii="宋体" w:hAnsi="宋体" w:cs="宋体"/>
          <w:sz w:val="24"/>
        </w:rPr>
        <w:t>4、投标人必须提供稳定的服务团队（如需变更须征得</w:t>
      </w:r>
      <w:r>
        <w:rPr>
          <w:rFonts w:hint="eastAsia" w:ascii="宋体" w:hAnsi="宋体" w:cs="宋体"/>
          <w:sz w:val="24"/>
          <w:lang w:eastAsia="zh-CN"/>
        </w:rPr>
        <w:t>采购</w:t>
      </w:r>
      <w:r>
        <w:rPr>
          <w:rFonts w:hint="eastAsia" w:ascii="宋体" w:hAnsi="宋体" w:cs="宋体"/>
          <w:sz w:val="24"/>
        </w:rPr>
        <w:t>方同意），并对检修服务人员进行明确分工及职责定义，避免检修服务人员无序混乱工作，且职责分工需符合</w:t>
      </w:r>
      <w:r>
        <w:rPr>
          <w:rFonts w:hint="eastAsia" w:ascii="宋体" w:hAnsi="宋体" w:cs="宋体"/>
          <w:sz w:val="24"/>
          <w:lang w:eastAsia="zh-CN"/>
        </w:rPr>
        <w:t>采购</w:t>
      </w:r>
      <w:r>
        <w:rPr>
          <w:rFonts w:hint="eastAsia" w:ascii="宋体" w:hAnsi="宋体" w:cs="宋体"/>
          <w:sz w:val="24"/>
        </w:rPr>
        <w:t>方检修工作要求。检修服务团队人员应能熟练胜任相关检修工作，并经</w:t>
      </w:r>
      <w:r>
        <w:rPr>
          <w:rFonts w:hint="eastAsia" w:ascii="宋体" w:hAnsi="宋体" w:cs="宋体"/>
          <w:sz w:val="24"/>
          <w:lang w:eastAsia="zh-CN"/>
        </w:rPr>
        <w:t>采购</w:t>
      </w:r>
      <w:r>
        <w:rPr>
          <w:rFonts w:hint="eastAsia" w:ascii="宋体" w:hAnsi="宋体" w:cs="宋体"/>
          <w:sz w:val="24"/>
        </w:rPr>
        <w:t>方审核备案通过后方可参加检修工作。</w:t>
      </w:r>
      <w:r>
        <w:rPr>
          <w:rFonts w:hint="eastAsia" w:ascii="宋体" w:hAnsi="宋体" w:cs="宋体"/>
          <w:sz w:val="24"/>
          <w:lang w:eastAsia="zh-CN"/>
        </w:rPr>
        <w:t>采购</w:t>
      </w:r>
      <w:r>
        <w:rPr>
          <w:rFonts w:hint="eastAsia" w:ascii="宋体" w:hAnsi="宋体" w:cs="宋体"/>
          <w:sz w:val="24"/>
        </w:rPr>
        <w:t>方有权要求投标人对检修服务团队中的人员进行调整。</w:t>
      </w:r>
    </w:p>
    <w:p w14:paraId="2FEDEDCC">
      <w:pPr>
        <w:spacing w:line="360" w:lineRule="auto"/>
        <w:ind w:firstLine="480" w:firstLineChars="200"/>
        <w:rPr>
          <w:rFonts w:ascii="宋体" w:hAnsi="宋体" w:cs="宋体"/>
          <w:sz w:val="24"/>
        </w:rPr>
      </w:pPr>
      <w:r>
        <w:rPr>
          <w:rFonts w:ascii="宋体" w:hAnsi="宋体" w:cs="宋体"/>
          <w:sz w:val="24"/>
        </w:rPr>
        <w:t>5</w:t>
      </w:r>
      <w:r>
        <w:rPr>
          <w:rFonts w:hint="eastAsia" w:ascii="宋体" w:hAnsi="宋体" w:cs="宋体"/>
          <w:sz w:val="24"/>
        </w:rPr>
        <w:t>、投标人须严格履行合同责任，并对其员工的过失承担责任。由于投标人服务不及时（没有按照合同约定时间）或服务操作不当造成通信业务中断，投标人应负责立即恢复业务，并承担所有费用；造成</w:t>
      </w:r>
      <w:r>
        <w:rPr>
          <w:rFonts w:hint="eastAsia" w:ascii="宋体" w:hAnsi="宋体" w:cs="宋体"/>
          <w:sz w:val="24"/>
          <w:lang w:eastAsia="zh-CN"/>
        </w:rPr>
        <w:t>采购</w:t>
      </w:r>
      <w:r>
        <w:rPr>
          <w:rFonts w:hint="eastAsia" w:ascii="宋体" w:hAnsi="宋体" w:cs="宋体"/>
          <w:sz w:val="24"/>
        </w:rPr>
        <w:t>方损失的，投标人应承担全部责任。由于投标人服务不到位，投标人应向</w:t>
      </w:r>
      <w:r>
        <w:rPr>
          <w:rFonts w:hint="eastAsia" w:ascii="宋体" w:hAnsi="宋体" w:cs="宋体"/>
          <w:sz w:val="24"/>
          <w:lang w:eastAsia="zh-CN"/>
        </w:rPr>
        <w:t>采购</w:t>
      </w:r>
      <w:r>
        <w:rPr>
          <w:rFonts w:hint="eastAsia" w:ascii="宋体" w:hAnsi="宋体" w:cs="宋体"/>
          <w:sz w:val="24"/>
        </w:rPr>
        <w:t>方作出书面解释，并提出整改措施。</w:t>
      </w:r>
    </w:p>
    <w:p w14:paraId="55C86733">
      <w:pPr>
        <w:spacing w:line="360" w:lineRule="auto"/>
        <w:ind w:firstLine="480" w:firstLineChars="200"/>
        <w:rPr>
          <w:rFonts w:ascii="宋体" w:hAnsi="宋体" w:cs="宋体"/>
          <w:sz w:val="24"/>
        </w:rPr>
      </w:pPr>
      <w:r>
        <w:rPr>
          <w:rFonts w:hint="eastAsia" w:ascii="宋体" w:hAnsi="宋体" w:cs="宋体"/>
          <w:sz w:val="24"/>
        </w:rPr>
        <w:t>6、鉴于项目范围内的通信设备、系统重要性以及安全保密性，投标人须保证服务期内检修团队人员稳定，避免人员流动对</w:t>
      </w:r>
      <w:r>
        <w:rPr>
          <w:rFonts w:hint="eastAsia" w:ascii="宋体" w:hAnsi="宋体" w:cs="宋体"/>
          <w:sz w:val="24"/>
          <w:lang w:eastAsia="zh-CN"/>
        </w:rPr>
        <w:t>采购</w:t>
      </w:r>
      <w:r>
        <w:rPr>
          <w:rFonts w:hint="eastAsia" w:ascii="宋体" w:hAnsi="宋体" w:cs="宋体"/>
          <w:sz w:val="24"/>
        </w:rPr>
        <w:t>方的通信系统及设备造成安全隐患，特殊情况下人员变动需经</w:t>
      </w:r>
      <w:r>
        <w:rPr>
          <w:rFonts w:hint="eastAsia" w:ascii="宋体" w:hAnsi="宋体" w:cs="宋体"/>
          <w:sz w:val="24"/>
          <w:lang w:eastAsia="zh-CN"/>
        </w:rPr>
        <w:t>采购</w:t>
      </w:r>
      <w:r>
        <w:rPr>
          <w:rFonts w:hint="eastAsia" w:ascii="宋体" w:hAnsi="宋体" w:cs="宋体"/>
          <w:sz w:val="24"/>
        </w:rPr>
        <w:t>方同意后方可变动，禁止未经</w:t>
      </w:r>
      <w:r>
        <w:rPr>
          <w:rFonts w:hint="eastAsia" w:ascii="宋体" w:hAnsi="宋体" w:cs="宋体"/>
          <w:sz w:val="24"/>
          <w:lang w:eastAsia="zh-CN"/>
        </w:rPr>
        <w:t>采购</w:t>
      </w:r>
      <w:r>
        <w:rPr>
          <w:rFonts w:hint="eastAsia" w:ascii="宋体" w:hAnsi="宋体" w:cs="宋体"/>
          <w:sz w:val="24"/>
        </w:rPr>
        <w:t>方同意直接变动人员。</w:t>
      </w:r>
    </w:p>
    <w:p w14:paraId="042C034C">
      <w:pPr>
        <w:spacing w:line="360" w:lineRule="auto"/>
        <w:outlineLvl w:val="1"/>
        <w:rPr>
          <w:rFonts w:ascii="宋体" w:hAnsi="宋体" w:cs="宋体"/>
          <w:b/>
          <w:bCs/>
          <w:sz w:val="32"/>
          <w:szCs w:val="32"/>
          <w:lang w:val="zh-CN"/>
        </w:rPr>
      </w:pPr>
      <w:r>
        <w:rPr>
          <w:rFonts w:hint="eastAsia" w:ascii="宋体" w:hAnsi="宋体" w:cs="宋体"/>
          <w:b/>
          <w:bCs/>
          <w:sz w:val="32"/>
          <w:szCs w:val="32"/>
        </w:rPr>
        <w:t>2.5.</w:t>
      </w:r>
      <w:r>
        <w:rPr>
          <w:rFonts w:hint="eastAsia" w:ascii="宋体" w:hAnsi="宋体" w:cs="宋体"/>
          <w:b/>
          <w:bCs/>
          <w:sz w:val="32"/>
          <w:szCs w:val="32"/>
          <w:lang w:val="zh-CN"/>
        </w:rPr>
        <w:t>服务地点及</w:t>
      </w:r>
      <w:r>
        <w:rPr>
          <w:rFonts w:hint="eastAsia" w:ascii="宋体" w:hAnsi="宋体" w:cs="宋体"/>
          <w:b/>
          <w:bCs/>
          <w:sz w:val="32"/>
          <w:szCs w:val="32"/>
        </w:rPr>
        <w:t>合同</w:t>
      </w:r>
      <w:r>
        <w:rPr>
          <w:rFonts w:hint="eastAsia" w:ascii="宋体" w:hAnsi="宋体" w:cs="宋体"/>
          <w:b/>
          <w:bCs/>
          <w:sz w:val="32"/>
          <w:szCs w:val="32"/>
          <w:lang w:val="zh-CN"/>
        </w:rPr>
        <w:t>有效期</w:t>
      </w:r>
    </w:p>
    <w:p w14:paraId="27872013">
      <w:pPr>
        <w:spacing w:line="360" w:lineRule="auto"/>
        <w:ind w:firstLine="424" w:firstLineChars="177"/>
        <w:rPr>
          <w:rFonts w:ascii="宋体" w:hAnsi="宋体" w:cs="Times New Roman"/>
          <w:kern w:val="0"/>
          <w:sz w:val="24"/>
          <w:lang w:val="zh-CN" w:bidi="ar"/>
        </w:rPr>
      </w:pPr>
      <w:r>
        <w:rPr>
          <w:rFonts w:hint="eastAsia" w:ascii="宋体" w:hAnsi="宋体" w:cs="Times New Roman"/>
          <w:kern w:val="0"/>
          <w:sz w:val="24"/>
          <w:lang w:val="zh-CN" w:bidi="ar"/>
        </w:rPr>
        <w:t>服务地点</w:t>
      </w:r>
      <w:r>
        <w:rPr>
          <w:rFonts w:ascii="宋体" w:hAnsi="宋体" w:cs="Times New Roman"/>
          <w:kern w:val="0"/>
          <w:sz w:val="24"/>
          <w:lang w:val="zh-CN" w:bidi="ar"/>
        </w:rPr>
        <w:t>：</w:t>
      </w:r>
      <w:r>
        <w:rPr>
          <w:rFonts w:hint="eastAsia" w:ascii="宋体" w:hAnsi="宋体" w:cs="Times New Roman"/>
          <w:kern w:val="0"/>
          <w:sz w:val="24"/>
          <w:lang w:val="zh-CN" w:bidi="ar"/>
        </w:rPr>
        <w:t>以合同签订为准；</w:t>
      </w:r>
    </w:p>
    <w:p w14:paraId="05E64BDA">
      <w:pPr>
        <w:spacing w:line="360" w:lineRule="auto"/>
        <w:ind w:firstLine="424" w:firstLineChars="177"/>
        <w:rPr>
          <w:rFonts w:ascii="宋体" w:hAnsi="宋体" w:cs="Times New Roman"/>
          <w:kern w:val="0"/>
          <w:sz w:val="24"/>
          <w:lang w:val="zh-CN" w:bidi="ar"/>
        </w:rPr>
      </w:pPr>
      <w:r>
        <w:rPr>
          <w:rFonts w:hint="eastAsia" w:ascii="宋体" w:hAnsi="宋体" w:cs="Times New Roman"/>
          <w:kern w:val="0"/>
          <w:sz w:val="24"/>
          <w:lang w:val="zh-CN" w:bidi="ar"/>
        </w:rPr>
        <w:t>合同有效期：以合同签订为准。</w:t>
      </w:r>
    </w:p>
    <w:p w14:paraId="6EF8A097">
      <w:pPr>
        <w:spacing w:line="360" w:lineRule="auto"/>
        <w:outlineLvl w:val="1"/>
        <w:rPr>
          <w:rFonts w:ascii="宋体" w:hAnsi="宋体" w:cs="宋体"/>
          <w:b/>
          <w:bCs/>
          <w:sz w:val="32"/>
          <w:szCs w:val="32"/>
        </w:rPr>
      </w:pPr>
      <w:r>
        <w:rPr>
          <w:rFonts w:hint="eastAsia" w:ascii="宋体" w:hAnsi="宋体" w:cs="宋体"/>
          <w:b/>
          <w:bCs/>
          <w:sz w:val="32"/>
          <w:szCs w:val="32"/>
        </w:rPr>
        <w:t>2.6.项目内容</w:t>
      </w:r>
    </w:p>
    <w:p w14:paraId="5335BC1D">
      <w:pPr>
        <w:keepNext/>
        <w:keepLines/>
        <w:spacing w:before="260" w:after="260" w:line="360" w:lineRule="auto"/>
        <w:outlineLvl w:val="2"/>
        <w:rPr>
          <w:rFonts w:ascii="Cambria" w:hAnsi="Cambria" w:cs="Times New Roman"/>
          <w:b/>
          <w:kern w:val="0"/>
          <w:sz w:val="30"/>
          <w:szCs w:val="30"/>
          <w:lang w:bidi="ar"/>
        </w:rPr>
      </w:pPr>
      <w:r>
        <w:rPr>
          <w:rFonts w:hint="eastAsia" w:ascii="Cambria" w:hAnsi="Cambria" w:cs="Times New Roman"/>
          <w:b/>
          <w:kern w:val="0"/>
          <w:sz w:val="30"/>
          <w:szCs w:val="30"/>
          <w:lang w:bidi="ar"/>
        </w:rPr>
        <w:t>2.6.1技术服务能力要求</w:t>
      </w:r>
    </w:p>
    <w:p w14:paraId="4F7E76BB">
      <w:pPr>
        <w:spacing w:line="360" w:lineRule="auto"/>
        <w:ind w:firstLine="424" w:firstLineChars="177"/>
        <w:rPr>
          <w:rFonts w:ascii="宋体" w:hAnsi="宋体" w:cs="Times New Roman"/>
          <w:kern w:val="0"/>
          <w:sz w:val="24"/>
          <w:lang w:val="zh-CN" w:bidi="ar"/>
        </w:rPr>
      </w:pPr>
      <w:r>
        <w:rPr>
          <w:rFonts w:hint="eastAsia" w:ascii="宋体" w:hAnsi="宋体" w:cs="Times New Roman"/>
          <w:kern w:val="0"/>
          <w:sz w:val="24"/>
          <w:lang w:val="zh-CN" w:bidi="ar"/>
        </w:rPr>
        <w:t>1、投标方需要提供合理的项目计划和实施方案。</w:t>
      </w:r>
    </w:p>
    <w:p w14:paraId="419DC7BD">
      <w:pPr>
        <w:spacing w:line="360" w:lineRule="auto"/>
        <w:ind w:firstLine="424" w:firstLineChars="177"/>
        <w:rPr>
          <w:rFonts w:ascii="宋体" w:hAnsi="宋体" w:cs="Times New Roman"/>
          <w:kern w:val="0"/>
          <w:sz w:val="24"/>
          <w:lang w:val="zh-CN" w:bidi="ar"/>
        </w:rPr>
      </w:pPr>
      <w:r>
        <w:rPr>
          <w:rFonts w:hint="eastAsia" w:ascii="宋体" w:hAnsi="宋体" w:cs="Times New Roman"/>
          <w:kern w:val="0"/>
          <w:sz w:val="24"/>
          <w:lang w:val="zh-CN" w:bidi="ar"/>
        </w:rPr>
        <w:t>2、 投标方需要提供必要和完善的服务质量保证措施。</w:t>
      </w:r>
    </w:p>
    <w:p w14:paraId="5D047566">
      <w:pPr>
        <w:spacing w:line="360" w:lineRule="auto"/>
        <w:ind w:firstLine="424" w:firstLineChars="177"/>
        <w:rPr>
          <w:rFonts w:ascii="宋体" w:hAnsi="宋体" w:cs="Times New Roman"/>
          <w:kern w:val="0"/>
          <w:sz w:val="24"/>
          <w:lang w:val="zh-CN" w:bidi="ar"/>
        </w:rPr>
      </w:pPr>
      <w:r>
        <w:rPr>
          <w:rFonts w:hint="eastAsia" w:ascii="宋体" w:hAnsi="宋体" w:cs="Times New Roman"/>
          <w:kern w:val="0"/>
          <w:sz w:val="24"/>
          <w:lang w:val="zh-CN" w:bidi="ar"/>
        </w:rPr>
        <w:t>3、 投标方需要按照实施方案中的要求进行实施，保证实施进度及质量。</w:t>
      </w:r>
    </w:p>
    <w:p w14:paraId="0F18BECC">
      <w:pPr>
        <w:keepNext/>
        <w:keepLines/>
        <w:spacing w:before="260" w:after="260" w:line="360" w:lineRule="auto"/>
        <w:outlineLvl w:val="2"/>
        <w:rPr>
          <w:rFonts w:ascii="Cambria" w:hAnsi="Cambria" w:cs="Times New Roman"/>
          <w:b/>
          <w:kern w:val="0"/>
          <w:sz w:val="30"/>
          <w:szCs w:val="30"/>
          <w:lang w:val="zh-CN" w:bidi="ar"/>
        </w:rPr>
      </w:pPr>
      <w:r>
        <w:rPr>
          <w:rFonts w:hint="eastAsia" w:ascii="Cambria" w:hAnsi="Cambria" w:cs="Times New Roman"/>
          <w:b/>
          <w:kern w:val="0"/>
          <w:sz w:val="30"/>
          <w:szCs w:val="30"/>
          <w:lang w:bidi="ar"/>
        </w:rPr>
        <w:t>2.6.2技术服务内容</w:t>
      </w:r>
    </w:p>
    <w:p w14:paraId="435C4B6F">
      <w:pPr>
        <w:spacing w:line="360" w:lineRule="auto"/>
        <w:ind w:firstLine="424" w:firstLineChars="177"/>
        <w:rPr>
          <w:rFonts w:ascii="宋体" w:hAnsi="宋体" w:cs="Times New Roman"/>
          <w:kern w:val="0"/>
          <w:sz w:val="24"/>
          <w:lang w:val="zh-CN" w:bidi="ar"/>
        </w:rPr>
      </w:pPr>
      <w:r>
        <w:rPr>
          <w:rFonts w:hint="eastAsia" w:ascii="宋体" w:hAnsi="宋体" w:cs="Times New Roman"/>
          <w:kern w:val="0"/>
          <w:sz w:val="24"/>
          <w:lang w:val="zh-CN" w:bidi="ar"/>
        </w:rPr>
        <w:t xml:space="preserve">要求投标方为本工程提供以下技术服务： </w:t>
      </w:r>
    </w:p>
    <w:p w14:paraId="46C6CB6C">
      <w:pPr>
        <w:spacing w:line="360" w:lineRule="auto"/>
        <w:ind w:firstLine="424" w:firstLineChars="177"/>
        <w:rPr>
          <w:rFonts w:ascii="宋体" w:hAnsi="宋体" w:cs="Times New Roman"/>
          <w:kern w:val="0"/>
          <w:sz w:val="24"/>
          <w:lang w:val="zh-CN" w:bidi="ar"/>
        </w:rPr>
      </w:pPr>
      <w:r>
        <w:rPr>
          <w:rFonts w:hint="eastAsia" w:ascii="宋体" w:hAnsi="宋体" w:cs="Times New Roman"/>
          <w:kern w:val="0"/>
          <w:sz w:val="24"/>
          <w:lang w:val="zh-CN" w:bidi="ar"/>
        </w:rPr>
        <w:t>1、按照通信专线起止点的具体位置，出具科学合理的通讯链路安全接入测试方案。</w:t>
      </w:r>
    </w:p>
    <w:p w14:paraId="5376CFDD">
      <w:pPr>
        <w:spacing w:line="360" w:lineRule="auto"/>
        <w:ind w:firstLine="424" w:firstLineChars="177"/>
        <w:rPr>
          <w:rFonts w:ascii="宋体" w:hAnsi="宋体" w:cs="Times New Roman"/>
          <w:kern w:val="0"/>
          <w:sz w:val="24"/>
          <w:lang w:val="zh-CN" w:bidi="ar"/>
        </w:rPr>
      </w:pPr>
      <w:r>
        <w:rPr>
          <w:rFonts w:hint="eastAsia" w:ascii="宋体" w:hAnsi="宋体" w:cs="Times New Roman"/>
          <w:kern w:val="0"/>
          <w:sz w:val="24"/>
          <w:lang w:val="zh-CN" w:bidi="ar"/>
        </w:rPr>
        <w:t>2、通信链路检测方案符合通信网和其他相关要求规定。</w:t>
      </w:r>
    </w:p>
    <w:p w14:paraId="10114521">
      <w:pPr>
        <w:spacing w:line="360" w:lineRule="auto"/>
        <w:ind w:firstLine="424" w:firstLineChars="177"/>
        <w:rPr>
          <w:rFonts w:ascii="宋体" w:hAnsi="宋体" w:cs="Times New Roman"/>
          <w:kern w:val="0"/>
          <w:sz w:val="24"/>
          <w:lang w:val="zh-CN" w:bidi="ar"/>
        </w:rPr>
      </w:pPr>
      <w:r>
        <w:rPr>
          <w:rFonts w:hint="eastAsia" w:ascii="宋体" w:hAnsi="宋体" w:cs="Times New Roman"/>
          <w:kern w:val="0"/>
          <w:sz w:val="24"/>
          <w:lang w:val="zh-CN" w:bidi="ar"/>
        </w:rPr>
        <w:t>3、按照上述技术要求提供满足技术条件要求的监测服务。</w:t>
      </w:r>
    </w:p>
    <w:p w14:paraId="0195AF6D">
      <w:pPr>
        <w:spacing w:line="360" w:lineRule="auto"/>
        <w:ind w:firstLine="424" w:firstLineChars="177"/>
        <w:rPr>
          <w:rFonts w:ascii="宋体" w:hAnsi="宋体" w:cs="Times New Roman"/>
          <w:kern w:val="0"/>
          <w:sz w:val="24"/>
          <w:lang w:val="zh-CN" w:bidi="ar"/>
        </w:rPr>
      </w:pPr>
      <w:r>
        <w:rPr>
          <w:rFonts w:hint="eastAsia" w:ascii="宋体" w:hAnsi="宋体" w:cs="Times New Roman"/>
          <w:kern w:val="0"/>
          <w:sz w:val="24"/>
          <w:lang w:val="zh-CN" w:bidi="ar"/>
        </w:rPr>
        <w:t>4、按照采购方要求开展业务接入、调试，为满足采购方调试和使用要求需要加入的辅助设备由投标方自行购置。</w:t>
      </w:r>
    </w:p>
    <w:p w14:paraId="1404C997">
      <w:pPr>
        <w:keepNext/>
        <w:keepLines/>
        <w:spacing w:before="260" w:after="260" w:line="360" w:lineRule="auto"/>
        <w:outlineLvl w:val="2"/>
        <w:rPr>
          <w:rFonts w:ascii="Cambria" w:hAnsi="Cambria" w:cs="Times New Roman"/>
          <w:b/>
          <w:kern w:val="0"/>
          <w:sz w:val="30"/>
          <w:szCs w:val="30"/>
          <w:lang w:bidi="ar"/>
        </w:rPr>
      </w:pPr>
      <w:r>
        <w:rPr>
          <w:rFonts w:hint="eastAsia" w:ascii="Cambria" w:hAnsi="Cambria" w:cs="Times New Roman"/>
          <w:b/>
          <w:kern w:val="0"/>
          <w:sz w:val="30"/>
          <w:szCs w:val="30"/>
          <w:lang w:bidi="ar"/>
        </w:rPr>
        <w:t>2.6.3服务要求</w:t>
      </w:r>
    </w:p>
    <w:p w14:paraId="16B65C55">
      <w:pPr>
        <w:spacing w:line="360" w:lineRule="auto"/>
        <w:ind w:firstLine="424" w:firstLineChars="177"/>
        <w:rPr>
          <w:rFonts w:ascii="宋体" w:hAnsi="宋体" w:cs="Times New Roman"/>
          <w:kern w:val="0"/>
          <w:sz w:val="24"/>
          <w:lang w:val="zh-CN" w:bidi="ar"/>
        </w:rPr>
      </w:pPr>
      <w:r>
        <w:rPr>
          <w:rFonts w:hint="eastAsia" w:ascii="宋体" w:hAnsi="宋体" w:cs="Times New Roman"/>
          <w:kern w:val="0"/>
          <w:sz w:val="24"/>
          <w:lang w:val="zh-CN" w:bidi="ar"/>
        </w:rPr>
        <w:t>1、投标方在广东省应有固定的服务团队。</w:t>
      </w:r>
    </w:p>
    <w:p w14:paraId="6D00DE60">
      <w:pPr>
        <w:spacing w:line="360" w:lineRule="auto"/>
        <w:ind w:firstLine="424" w:firstLineChars="177"/>
        <w:rPr>
          <w:rFonts w:ascii="宋体" w:hAnsi="宋体" w:cs="Times New Roman"/>
          <w:kern w:val="0"/>
          <w:sz w:val="24"/>
          <w:lang w:val="zh-CN" w:bidi="ar"/>
        </w:rPr>
      </w:pPr>
      <w:r>
        <w:rPr>
          <w:rFonts w:hint="eastAsia" w:ascii="宋体" w:hAnsi="宋体" w:cs="Times New Roman"/>
          <w:kern w:val="0"/>
          <w:sz w:val="24"/>
          <w:lang w:val="zh-CN" w:bidi="ar"/>
        </w:rPr>
        <w:t xml:space="preserve">2、投标方提供7*24小时服务热线，随时响应采购方故障报警。 </w:t>
      </w:r>
    </w:p>
    <w:p w14:paraId="555FFD3D">
      <w:pPr>
        <w:spacing w:line="360" w:lineRule="auto"/>
        <w:ind w:firstLine="424" w:firstLineChars="177"/>
        <w:rPr>
          <w:rFonts w:ascii="宋体" w:hAnsi="宋体" w:cs="Times New Roman"/>
          <w:kern w:val="0"/>
          <w:sz w:val="24"/>
          <w:lang w:val="zh-CN" w:bidi="ar"/>
        </w:rPr>
      </w:pPr>
      <w:r>
        <w:rPr>
          <w:rFonts w:hint="eastAsia" w:ascii="宋体" w:hAnsi="宋体" w:cs="Times New Roman"/>
          <w:kern w:val="0"/>
          <w:sz w:val="24"/>
          <w:lang w:val="zh-CN" w:bidi="ar"/>
        </w:rPr>
        <w:t>3、投标方需向采购方提供日常技术咨询服务。</w:t>
      </w:r>
    </w:p>
    <w:p w14:paraId="5E82EA72">
      <w:pPr>
        <w:spacing w:line="360" w:lineRule="auto"/>
        <w:ind w:firstLine="424" w:firstLineChars="177"/>
        <w:rPr>
          <w:rFonts w:ascii="宋体" w:hAnsi="宋体" w:cs="Times New Roman"/>
          <w:kern w:val="0"/>
          <w:sz w:val="24"/>
          <w:lang w:val="zh-CN" w:bidi="ar"/>
        </w:rPr>
      </w:pPr>
      <w:r>
        <w:rPr>
          <w:rFonts w:hint="eastAsia" w:ascii="宋体" w:hAnsi="宋体" w:cs="Times New Roman"/>
          <w:kern w:val="0"/>
          <w:sz w:val="24"/>
          <w:lang w:val="zh-CN" w:bidi="ar"/>
        </w:rPr>
        <w:t xml:space="preserve">4、投标方在接到采购方故障报警后，应30分钟内响应，12小时内恢复网络；一般故障7天内解决，紧急故障24小时内解决，不可抗力等原因与采购方协商解决时限。 </w:t>
      </w:r>
    </w:p>
    <w:p w14:paraId="5F68F6B9">
      <w:pPr>
        <w:spacing w:line="360" w:lineRule="auto"/>
        <w:ind w:firstLine="424" w:firstLineChars="177"/>
        <w:rPr>
          <w:rFonts w:ascii="宋体" w:hAnsi="宋体" w:cs="Times New Roman"/>
          <w:kern w:val="0"/>
          <w:sz w:val="24"/>
          <w:lang w:val="zh-CN" w:bidi="ar"/>
        </w:rPr>
      </w:pPr>
      <w:r>
        <w:rPr>
          <w:rFonts w:hint="eastAsia" w:ascii="宋体" w:hAnsi="宋体" w:cs="Times New Roman"/>
          <w:kern w:val="0"/>
          <w:sz w:val="24"/>
          <w:lang w:val="zh-CN" w:bidi="ar"/>
        </w:rPr>
        <w:t>紧急故障：是指造成通道中断的故障。</w:t>
      </w:r>
    </w:p>
    <w:p w14:paraId="58CDF2D8">
      <w:pPr>
        <w:spacing w:line="360" w:lineRule="auto"/>
        <w:ind w:firstLine="424" w:firstLineChars="177"/>
        <w:rPr>
          <w:rFonts w:ascii="宋体" w:hAnsi="宋体" w:cs="Times New Roman"/>
          <w:kern w:val="0"/>
          <w:sz w:val="24"/>
          <w:lang w:val="zh-CN" w:bidi="ar"/>
        </w:rPr>
      </w:pPr>
      <w:r>
        <w:rPr>
          <w:rFonts w:hint="eastAsia" w:ascii="宋体" w:hAnsi="宋体" w:cs="Times New Roman"/>
          <w:kern w:val="0"/>
          <w:sz w:val="24"/>
          <w:lang w:val="zh-CN" w:bidi="ar"/>
        </w:rPr>
        <w:t>一般故障：是指不影响业务运行，但对稳定运行有潜在影响。</w:t>
      </w:r>
    </w:p>
    <w:p w14:paraId="6FEA27ED">
      <w:pPr>
        <w:keepNext/>
        <w:keepLines/>
        <w:spacing w:before="260" w:after="260" w:line="360" w:lineRule="auto"/>
        <w:outlineLvl w:val="2"/>
        <w:rPr>
          <w:rFonts w:cs="Times New Roman"/>
          <w:b/>
          <w:kern w:val="0"/>
          <w:sz w:val="28"/>
          <w:szCs w:val="28"/>
        </w:rPr>
      </w:pPr>
      <w:r>
        <w:rPr>
          <w:rFonts w:hint="eastAsia" w:cs="Times New Roman"/>
          <w:b/>
          <w:kern w:val="0"/>
          <w:sz w:val="28"/>
          <w:szCs w:val="28"/>
          <w:lang w:bidi="ar"/>
        </w:rPr>
        <w:t>2.6.4机房接入数据安全监测要求</w:t>
      </w:r>
    </w:p>
    <w:p w14:paraId="050A98AD">
      <w:pPr>
        <w:adjustRightInd w:val="0"/>
        <w:spacing w:line="360" w:lineRule="auto"/>
        <w:ind w:firstLine="480" w:firstLineChars="200"/>
        <w:textAlignment w:val="baseline"/>
        <w:rPr>
          <w:rFonts w:ascii="宋体" w:hAnsi="宋体" w:cs="宋体"/>
          <w:kern w:val="0"/>
          <w:sz w:val="24"/>
        </w:rPr>
      </w:pPr>
      <w:r>
        <w:rPr>
          <w:rFonts w:hint="eastAsia" w:ascii="宋体" w:hAnsi="宋体" w:cs="宋体"/>
          <w:kern w:val="0"/>
          <w:sz w:val="24"/>
        </w:rPr>
        <w:t xml:space="preserve">1、投标方应建立通道资源台账，并妥善保管、及时更新。 </w:t>
      </w:r>
    </w:p>
    <w:p w14:paraId="028FD5C8">
      <w:pPr>
        <w:adjustRightInd w:val="0"/>
        <w:spacing w:line="360" w:lineRule="auto"/>
        <w:ind w:firstLine="480" w:firstLineChars="200"/>
        <w:textAlignment w:val="baseline"/>
        <w:rPr>
          <w:rFonts w:ascii="宋体" w:hAnsi="宋体" w:cs="宋体"/>
          <w:kern w:val="0"/>
          <w:sz w:val="24"/>
        </w:rPr>
      </w:pPr>
      <w:r>
        <w:rPr>
          <w:rFonts w:hint="eastAsia" w:ascii="宋体" w:hAnsi="宋体" w:cs="宋体"/>
          <w:kern w:val="0"/>
          <w:sz w:val="24"/>
        </w:rPr>
        <w:t>2、投标方应统计通道计划性中断（如缺陷、检修等原因需提前3天书面通知</w:t>
      </w:r>
      <w:r>
        <w:rPr>
          <w:rFonts w:hint="eastAsia" w:ascii="宋体" w:hAnsi="宋体" w:cs="宋体"/>
          <w:kern w:val="0"/>
          <w:sz w:val="24"/>
          <w:lang w:eastAsia="zh-CN"/>
        </w:rPr>
        <w:t>采购</w:t>
      </w:r>
      <w:r>
        <w:rPr>
          <w:rFonts w:hint="eastAsia" w:ascii="宋体" w:hAnsi="宋体" w:cs="宋体"/>
          <w:kern w:val="0"/>
          <w:sz w:val="24"/>
        </w:rPr>
        <w:t>方中断范围及中断时长。</w:t>
      </w:r>
      <w:r>
        <w:rPr>
          <w:rFonts w:hint="eastAsia" w:ascii="宋体" w:hAnsi="宋体" w:cs="宋体"/>
          <w:kern w:val="0"/>
          <w:sz w:val="24"/>
          <w:lang w:eastAsia="zh-CN"/>
        </w:rPr>
        <w:t>采购</w:t>
      </w:r>
      <w:r>
        <w:rPr>
          <w:rFonts w:hint="eastAsia" w:ascii="宋体" w:hAnsi="宋体" w:cs="宋体"/>
          <w:kern w:val="0"/>
          <w:sz w:val="24"/>
        </w:rPr>
        <w:t>方接到通知2天内回复意见。如同意中断，投标方应严格按同意的中断范围和中断时长开展工作，超期时长计入通道运行率考核。通道计划性中断或故障中断均纳入通道可用率考核。如不同意中断，投标方应另行安排中断时间并再次通知</w:t>
      </w:r>
      <w:r>
        <w:rPr>
          <w:rFonts w:hint="eastAsia" w:ascii="宋体" w:hAnsi="宋体" w:cs="宋体"/>
          <w:kern w:val="0"/>
          <w:sz w:val="24"/>
          <w:lang w:eastAsia="zh-CN"/>
        </w:rPr>
        <w:t>采购</w:t>
      </w:r>
      <w:r>
        <w:rPr>
          <w:rFonts w:hint="eastAsia" w:ascii="宋体" w:hAnsi="宋体" w:cs="宋体"/>
          <w:kern w:val="0"/>
          <w:sz w:val="24"/>
        </w:rPr>
        <w:t>方。</w:t>
      </w:r>
    </w:p>
    <w:p w14:paraId="6308FE38">
      <w:pPr>
        <w:adjustRightInd w:val="0"/>
        <w:spacing w:line="360" w:lineRule="auto"/>
        <w:ind w:firstLine="480" w:firstLineChars="200"/>
        <w:textAlignment w:val="baseline"/>
        <w:rPr>
          <w:rFonts w:ascii="宋体" w:hAnsi="宋体" w:cs="宋体"/>
          <w:kern w:val="0"/>
          <w:sz w:val="24"/>
        </w:rPr>
      </w:pPr>
      <w:r>
        <w:rPr>
          <w:rFonts w:hint="eastAsia" w:ascii="宋体" w:hAnsi="宋体" w:cs="宋体"/>
          <w:kern w:val="0"/>
          <w:sz w:val="24"/>
        </w:rPr>
        <w:t>3、投标方与</w:t>
      </w:r>
      <w:r>
        <w:rPr>
          <w:rFonts w:hint="eastAsia" w:ascii="宋体" w:hAnsi="宋体" w:cs="宋体"/>
          <w:kern w:val="0"/>
          <w:sz w:val="24"/>
          <w:lang w:eastAsia="zh-CN"/>
        </w:rPr>
        <w:t>采购</w:t>
      </w:r>
      <w:r>
        <w:rPr>
          <w:rFonts w:hint="eastAsia" w:ascii="宋体" w:hAnsi="宋体" w:cs="宋体"/>
          <w:kern w:val="0"/>
          <w:sz w:val="24"/>
        </w:rPr>
        <w:t>方的责任分工界面以投标方接入设备物理接口为界。</w:t>
      </w:r>
    </w:p>
    <w:p w14:paraId="6B0D9CC2">
      <w:pPr>
        <w:keepNext/>
        <w:keepLines/>
        <w:spacing w:before="260" w:after="260" w:line="360" w:lineRule="auto"/>
        <w:outlineLvl w:val="2"/>
        <w:rPr>
          <w:rFonts w:cs="Times New Roman"/>
          <w:b/>
          <w:kern w:val="0"/>
          <w:sz w:val="28"/>
          <w:szCs w:val="28"/>
          <w:lang w:bidi="ar"/>
        </w:rPr>
      </w:pPr>
      <w:r>
        <w:rPr>
          <w:rFonts w:hint="eastAsia" w:cs="Times New Roman"/>
          <w:b/>
          <w:kern w:val="0"/>
          <w:sz w:val="28"/>
          <w:szCs w:val="28"/>
          <w:lang w:bidi="ar"/>
        </w:rPr>
        <w:t>2.6.5监测技术要求</w:t>
      </w:r>
    </w:p>
    <w:tbl>
      <w:tblPr>
        <w:tblStyle w:val="15"/>
        <w:tblW w:w="47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44"/>
        <w:gridCol w:w="797"/>
        <w:gridCol w:w="798"/>
        <w:gridCol w:w="1054"/>
        <w:gridCol w:w="951"/>
        <w:gridCol w:w="951"/>
        <w:gridCol w:w="960"/>
        <w:gridCol w:w="785"/>
      </w:tblGrid>
      <w:tr w14:paraId="014F2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jc w:val="center"/>
        </w:trPr>
        <w:tc>
          <w:tcPr>
            <w:tcW w:w="1085" w:type="pct"/>
            <w:vAlign w:val="center"/>
          </w:tcPr>
          <w:p w14:paraId="0443BD56">
            <w:pPr>
              <w:pStyle w:val="2"/>
              <w:spacing w:line="360" w:lineRule="auto"/>
              <w:jc w:val="center"/>
              <w:rPr>
                <w:rFonts w:ascii="宋体" w:hAnsi="宋体" w:cs="宋体"/>
                <w:kern w:val="0"/>
                <w:sz w:val="24"/>
              </w:rPr>
            </w:pPr>
            <w:r>
              <w:rPr>
                <w:rFonts w:hint="eastAsia" w:ascii="宋体" w:hAnsi="宋体" w:cs="宋体"/>
                <w:kern w:val="0"/>
                <w:sz w:val="24"/>
              </w:rPr>
              <w:t>标的物名称</w:t>
            </w:r>
          </w:p>
        </w:tc>
        <w:tc>
          <w:tcPr>
            <w:tcW w:w="496" w:type="pct"/>
            <w:vAlign w:val="center"/>
          </w:tcPr>
          <w:p w14:paraId="2524CB6C">
            <w:pPr>
              <w:pStyle w:val="2"/>
              <w:spacing w:line="360" w:lineRule="auto"/>
              <w:jc w:val="center"/>
              <w:rPr>
                <w:rFonts w:hint="eastAsia" w:ascii="宋体" w:hAnsi="宋体" w:cs="宋体"/>
                <w:kern w:val="0"/>
                <w:sz w:val="24"/>
              </w:rPr>
            </w:pPr>
            <w:r>
              <w:rPr>
                <w:rFonts w:hint="eastAsia" w:ascii="宋体" w:hAnsi="宋体" w:cs="宋体"/>
                <w:kern w:val="0"/>
                <w:sz w:val="24"/>
              </w:rPr>
              <w:t>端口</w:t>
            </w:r>
          </w:p>
        </w:tc>
        <w:tc>
          <w:tcPr>
            <w:tcW w:w="3418" w:type="pct"/>
            <w:gridSpan w:val="6"/>
            <w:vAlign w:val="center"/>
          </w:tcPr>
          <w:p w14:paraId="04511B39">
            <w:pPr>
              <w:pStyle w:val="2"/>
              <w:spacing w:line="360" w:lineRule="auto"/>
              <w:jc w:val="center"/>
              <w:rPr>
                <w:rFonts w:hint="eastAsia" w:ascii="宋体" w:hAnsi="宋体" w:cs="宋体"/>
                <w:kern w:val="0"/>
                <w:sz w:val="24"/>
              </w:rPr>
            </w:pPr>
            <w:r>
              <w:rPr>
                <w:rFonts w:hint="eastAsia" w:ascii="宋体" w:hAnsi="宋体" w:cs="宋体"/>
                <w:kern w:val="0"/>
                <w:sz w:val="24"/>
              </w:rPr>
              <w:t>监测内容</w:t>
            </w:r>
          </w:p>
        </w:tc>
      </w:tr>
      <w:tr w14:paraId="01370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jc w:val="center"/>
        </w:trPr>
        <w:tc>
          <w:tcPr>
            <w:tcW w:w="1085" w:type="pct"/>
            <w:vAlign w:val="center"/>
          </w:tcPr>
          <w:p w14:paraId="54419E75">
            <w:pPr>
              <w:pStyle w:val="2"/>
              <w:spacing w:line="360" w:lineRule="auto"/>
              <w:jc w:val="center"/>
              <w:rPr>
                <w:rFonts w:ascii="宋体" w:hAnsi="宋体" w:cs="宋体"/>
                <w:kern w:val="0"/>
                <w:sz w:val="24"/>
              </w:rPr>
            </w:pPr>
            <w:r>
              <w:rPr>
                <w:rFonts w:hint="eastAsia" w:ascii="宋体" w:hAnsi="宋体" w:cs="宋体"/>
                <w:kern w:val="0"/>
                <w:sz w:val="24"/>
              </w:rPr>
              <w:t>南方电网电动汽车服务有限公司机房通信数据安全监测技术服务项目</w:t>
            </w:r>
          </w:p>
        </w:tc>
        <w:tc>
          <w:tcPr>
            <w:tcW w:w="496" w:type="pct"/>
            <w:vAlign w:val="center"/>
          </w:tcPr>
          <w:p w14:paraId="0B304409">
            <w:pPr>
              <w:jc w:val="center"/>
              <w:rPr>
                <w:rFonts w:hint="eastAsia" w:ascii="宋体" w:hAnsi="宋体" w:cs="宋体"/>
                <w:kern w:val="0"/>
                <w:sz w:val="24"/>
              </w:rPr>
            </w:pPr>
            <w:r>
              <w:rPr>
                <w:rFonts w:hint="eastAsia" w:ascii="宋体" w:hAnsi="宋体" w:cs="宋体"/>
                <w:kern w:val="0"/>
                <w:sz w:val="24"/>
              </w:rPr>
              <w:t>以太网光口</w:t>
            </w:r>
          </w:p>
        </w:tc>
        <w:tc>
          <w:tcPr>
            <w:tcW w:w="496" w:type="pct"/>
            <w:vAlign w:val="center"/>
          </w:tcPr>
          <w:p w14:paraId="76196FBA">
            <w:pPr>
              <w:jc w:val="center"/>
              <w:rPr>
                <w:rFonts w:ascii="仿宋" w:hAnsi="仿宋" w:eastAsia="仿宋" w:cs="仿宋"/>
                <w:sz w:val="28"/>
                <w:szCs w:val="28"/>
              </w:rPr>
            </w:pPr>
            <w:r>
              <w:rPr>
                <w:rFonts w:hint="eastAsia" w:ascii="宋体" w:hAnsi="宋体" w:cs="宋体"/>
                <w:kern w:val="0"/>
                <w:sz w:val="24"/>
              </w:rPr>
              <w:t>传输速率</w:t>
            </w:r>
          </w:p>
        </w:tc>
        <w:tc>
          <w:tcPr>
            <w:tcW w:w="655" w:type="pct"/>
            <w:vAlign w:val="center"/>
          </w:tcPr>
          <w:p w14:paraId="48E02895">
            <w:pPr>
              <w:pStyle w:val="2"/>
              <w:spacing w:line="360" w:lineRule="auto"/>
              <w:jc w:val="center"/>
              <w:rPr>
                <w:rFonts w:ascii="宋体" w:hAnsi="宋体" w:cs="宋体"/>
                <w:kern w:val="0"/>
                <w:sz w:val="24"/>
              </w:rPr>
            </w:pPr>
            <w:r>
              <w:rPr>
                <w:rFonts w:hint="eastAsia" w:ascii="宋体" w:hAnsi="宋体" w:cs="宋体"/>
                <w:kern w:val="0"/>
                <w:sz w:val="24"/>
              </w:rPr>
              <w:t>通道时延</w:t>
            </w:r>
          </w:p>
        </w:tc>
        <w:tc>
          <w:tcPr>
            <w:tcW w:w="591" w:type="pct"/>
            <w:vAlign w:val="center"/>
          </w:tcPr>
          <w:p w14:paraId="5A81B943">
            <w:pPr>
              <w:pStyle w:val="2"/>
              <w:spacing w:line="360" w:lineRule="auto"/>
              <w:jc w:val="center"/>
              <w:rPr>
                <w:rFonts w:ascii="宋体" w:hAnsi="宋体" w:cs="宋体"/>
                <w:kern w:val="0"/>
                <w:sz w:val="24"/>
              </w:rPr>
            </w:pPr>
            <w:r>
              <w:rPr>
                <w:rFonts w:hint="eastAsia" w:ascii="宋体" w:hAnsi="宋体" w:cs="宋体"/>
                <w:kern w:val="0"/>
                <w:sz w:val="24"/>
              </w:rPr>
              <w:t>误码率</w:t>
            </w:r>
          </w:p>
        </w:tc>
        <w:tc>
          <w:tcPr>
            <w:tcW w:w="591" w:type="pct"/>
            <w:vAlign w:val="center"/>
          </w:tcPr>
          <w:p w14:paraId="3DAD3713">
            <w:pPr>
              <w:pStyle w:val="2"/>
              <w:spacing w:line="360" w:lineRule="auto"/>
              <w:jc w:val="center"/>
              <w:rPr>
                <w:rFonts w:ascii="宋体" w:hAnsi="宋体" w:cs="宋体"/>
                <w:kern w:val="0"/>
                <w:sz w:val="24"/>
              </w:rPr>
            </w:pPr>
            <w:r>
              <w:rPr>
                <w:rFonts w:hint="eastAsia" w:ascii="宋体" w:hAnsi="宋体" w:cs="宋体"/>
                <w:kern w:val="0"/>
                <w:sz w:val="24"/>
              </w:rPr>
              <w:t>丢包率</w:t>
            </w:r>
          </w:p>
        </w:tc>
        <w:tc>
          <w:tcPr>
            <w:tcW w:w="597" w:type="pct"/>
            <w:vAlign w:val="center"/>
          </w:tcPr>
          <w:p w14:paraId="3926B7C8">
            <w:pPr>
              <w:pStyle w:val="2"/>
              <w:spacing w:line="360" w:lineRule="auto"/>
              <w:jc w:val="center"/>
              <w:rPr>
                <w:rFonts w:ascii="宋体" w:hAnsi="宋体" w:cs="宋体"/>
                <w:kern w:val="0"/>
                <w:sz w:val="24"/>
              </w:rPr>
            </w:pPr>
            <w:r>
              <w:rPr>
                <w:rFonts w:hint="eastAsia" w:ascii="宋体" w:hAnsi="宋体" w:cs="宋体"/>
                <w:kern w:val="0"/>
                <w:sz w:val="24"/>
              </w:rPr>
              <w:t>可用率</w:t>
            </w:r>
          </w:p>
        </w:tc>
        <w:tc>
          <w:tcPr>
            <w:tcW w:w="486" w:type="pct"/>
            <w:vAlign w:val="center"/>
          </w:tcPr>
          <w:p w14:paraId="1D65525E">
            <w:pPr>
              <w:pStyle w:val="2"/>
              <w:spacing w:line="360" w:lineRule="auto"/>
              <w:jc w:val="center"/>
              <w:rPr>
                <w:rFonts w:ascii="宋体" w:hAnsi="宋体" w:cs="宋体"/>
                <w:kern w:val="0"/>
                <w:sz w:val="24"/>
              </w:rPr>
            </w:pPr>
            <w:r>
              <w:rPr>
                <w:rFonts w:hint="eastAsia" w:ascii="宋体" w:hAnsi="宋体" w:cs="宋体"/>
                <w:kern w:val="0"/>
                <w:sz w:val="24"/>
              </w:rPr>
              <w:t>数量</w:t>
            </w:r>
          </w:p>
        </w:tc>
      </w:tr>
    </w:tbl>
    <w:p w14:paraId="37C05443">
      <w:pPr>
        <w:pStyle w:val="2"/>
        <w:rPr>
          <w:lang w:val="zh-CN"/>
        </w:rPr>
      </w:pPr>
      <w:bookmarkStart w:id="0" w:name="_GoBack"/>
      <w:bookmarkEnd w:id="0"/>
    </w:p>
    <w:p w14:paraId="686D5B5D">
      <w:pPr>
        <w:keepNext/>
        <w:keepLines/>
        <w:spacing w:before="260" w:after="260" w:line="360" w:lineRule="auto"/>
        <w:outlineLvl w:val="2"/>
        <w:rPr>
          <w:rFonts w:ascii="Cambria" w:hAnsi="Cambria" w:cs="Times New Roman"/>
          <w:b/>
          <w:kern w:val="0"/>
          <w:sz w:val="30"/>
          <w:szCs w:val="30"/>
          <w:lang w:val="zh-CN"/>
        </w:rPr>
      </w:pPr>
      <w:r>
        <w:rPr>
          <w:rFonts w:hint="eastAsia" w:ascii="Cambria" w:hAnsi="Cambria" w:cs="Times New Roman"/>
          <w:b/>
          <w:kern w:val="0"/>
          <w:sz w:val="30"/>
          <w:szCs w:val="30"/>
          <w:lang w:bidi="ar"/>
        </w:rPr>
        <w:t>2.6.6数据安全要求</w:t>
      </w:r>
    </w:p>
    <w:p w14:paraId="4656FFF6">
      <w:pPr>
        <w:adjustRightInd w:val="0"/>
        <w:spacing w:line="360" w:lineRule="auto"/>
        <w:ind w:firstLine="480" w:firstLineChars="200"/>
        <w:textAlignment w:val="baseline"/>
        <w:rPr>
          <w:rFonts w:ascii="宋体" w:hAnsi="宋体" w:cs="宋体"/>
          <w:kern w:val="0"/>
          <w:sz w:val="24"/>
        </w:rPr>
      </w:pPr>
      <w:r>
        <w:rPr>
          <w:rFonts w:hint="eastAsia" w:ascii="宋体" w:hAnsi="宋体" w:cs="宋体"/>
          <w:kern w:val="0"/>
          <w:sz w:val="24"/>
        </w:rPr>
        <w:t>1、投标方提供的服务应满足国家信息安全相关要求。</w:t>
      </w:r>
    </w:p>
    <w:p w14:paraId="12A65FE7">
      <w:pPr>
        <w:adjustRightInd w:val="0"/>
        <w:spacing w:line="360" w:lineRule="auto"/>
        <w:ind w:firstLine="480" w:firstLineChars="200"/>
        <w:textAlignment w:val="baseline"/>
        <w:rPr>
          <w:rFonts w:ascii="宋体" w:hAnsi="宋体" w:cs="宋体"/>
          <w:kern w:val="0"/>
          <w:sz w:val="24"/>
        </w:rPr>
      </w:pPr>
      <w:r>
        <w:rPr>
          <w:rFonts w:hint="eastAsia" w:ascii="宋体" w:hAnsi="宋体" w:cs="宋体"/>
          <w:kern w:val="0"/>
          <w:sz w:val="24"/>
        </w:rPr>
        <w:t xml:space="preserve">2、投标方应保证服务过程中的数据的保密性、真实性和完整性，不被窃听、篡改、删除等。 </w:t>
      </w:r>
    </w:p>
    <w:p w14:paraId="13B9EB1A">
      <w:pPr>
        <w:adjustRightInd w:val="0"/>
        <w:spacing w:line="360" w:lineRule="auto"/>
        <w:ind w:firstLine="480" w:firstLineChars="200"/>
        <w:textAlignment w:val="baseline"/>
        <w:rPr>
          <w:rFonts w:ascii="宋体" w:hAnsi="宋体" w:cs="宋体"/>
          <w:kern w:val="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D"/>
    <w:multiLevelType w:val="multilevel"/>
    <w:tmpl w:val="0000001D"/>
    <w:lvl w:ilvl="0" w:tentative="0">
      <w:start w:val="1"/>
      <w:numFmt w:val="decimal"/>
      <w:pStyle w:val="3"/>
      <w:lvlText w:val="%1"/>
      <w:lvlJc w:val="left"/>
      <w:pPr>
        <w:ind w:left="858" w:hanging="432"/>
      </w:pPr>
    </w:lvl>
    <w:lvl w:ilvl="1" w:tentative="0">
      <w:start w:val="1"/>
      <w:numFmt w:val="decimal"/>
      <w:pStyle w:val="5"/>
      <w:lvlText w:val="%1.%2"/>
      <w:lvlJc w:val="left"/>
      <w:pPr>
        <w:ind w:left="576" w:hanging="576"/>
      </w:pPr>
    </w:lvl>
    <w:lvl w:ilvl="2" w:tentative="0">
      <w:start w:val="1"/>
      <w:numFmt w:val="decimal"/>
      <w:lvlText w:val="%1.%2.%3"/>
      <w:lvlJc w:val="left"/>
      <w:pPr>
        <w:ind w:left="720" w:hanging="720"/>
      </w:pPr>
    </w:lvl>
    <w:lvl w:ilvl="3" w:tentative="0">
      <w:start w:val="1"/>
      <w:numFmt w:val="decimal"/>
      <w:lvlText w:val="%1.%2.%3.%4"/>
      <w:lvlJc w:val="left"/>
      <w:pPr>
        <w:ind w:left="3275" w:hanging="864"/>
      </w:pPr>
    </w:lvl>
    <w:lvl w:ilvl="4" w:tentative="0">
      <w:start w:val="1"/>
      <w:numFmt w:val="decimal"/>
      <w:lvlText w:val="%1.%2.%3.%4.%5"/>
      <w:lvlJc w:val="left"/>
      <w:pPr>
        <w:ind w:left="1008" w:hanging="1008"/>
      </w:pPr>
    </w:lvl>
    <w:lvl w:ilvl="5" w:tentative="0">
      <w:start w:val="1"/>
      <w:numFmt w:val="decimal"/>
      <w:lvlText w:val="%1.%2.%3.%4.%5.%6"/>
      <w:lvlJc w:val="left"/>
      <w:pPr>
        <w:ind w:left="1152" w:hanging="1152"/>
      </w:p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abstractNum w:abstractNumId="1">
    <w:nsid w:val="3B685594"/>
    <w:multiLevelType w:val="multilevel"/>
    <w:tmpl w:val="3B685594"/>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rPr>
        <w:rFonts w:hint="default" w:ascii="Arial" w:hAnsi="Arial" w:eastAsia="黑体"/>
        <w:b/>
        <w:i w:val="0"/>
        <w:sz w:val="30"/>
        <w:szCs w:val="30"/>
      </w:rPr>
    </w:lvl>
    <w:lvl w:ilvl="2" w:tentative="0">
      <w:start w:val="1"/>
      <w:numFmt w:val="decimal"/>
      <w:pStyle w:val="6"/>
      <w:lvlText w:val="%1.%2.%3"/>
      <w:lvlJc w:val="left"/>
      <w:pPr>
        <w:tabs>
          <w:tab w:val="left" w:pos="720"/>
        </w:tabs>
        <w:ind w:left="720" w:hanging="720"/>
      </w:pPr>
      <w:rPr>
        <w:rFonts w:hint="default" w:ascii="Arial" w:hAnsi="Arial" w:eastAsia="黑体"/>
        <w:b/>
        <w:i w:val="0"/>
        <w:sz w:val="28"/>
        <w:szCs w:val="28"/>
      </w:rPr>
    </w:lvl>
    <w:lvl w:ilvl="3" w:tentative="0">
      <w:start w:val="1"/>
      <w:numFmt w:val="decimal"/>
      <w:lvlText w:val="%1.%2.%3.%4"/>
      <w:lvlJc w:val="left"/>
      <w:pPr>
        <w:tabs>
          <w:tab w:val="left" w:pos="864"/>
        </w:tabs>
        <w:ind w:left="864" w:hanging="864"/>
      </w:pPr>
      <w:rPr>
        <w:rFonts w:hint="default" w:ascii="Arial" w:hAnsi="Arial" w:eastAsia="黑体"/>
        <w:b/>
        <w:i w:val="0"/>
        <w:sz w:val="24"/>
        <w:szCs w:val="24"/>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czM2FlYmVmMTE4MWY1YmE4MWM3ZmY2Njg3MjE1YzMifQ=="/>
  </w:docVars>
  <w:rsids>
    <w:rsidRoot w:val="00455AC8"/>
    <w:rsid w:val="00061DE0"/>
    <w:rsid w:val="000873EE"/>
    <w:rsid w:val="002E09EE"/>
    <w:rsid w:val="002E66C4"/>
    <w:rsid w:val="0038056D"/>
    <w:rsid w:val="00384893"/>
    <w:rsid w:val="00395AAD"/>
    <w:rsid w:val="00455AC8"/>
    <w:rsid w:val="00475DF8"/>
    <w:rsid w:val="004B5DF6"/>
    <w:rsid w:val="004D2DCA"/>
    <w:rsid w:val="00662B00"/>
    <w:rsid w:val="006B3CD5"/>
    <w:rsid w:val="006C3498"/>
    <w:rsid w:val="006E4494"/>
    <w:rsid w:val="006F380E"/>
    <w:rsid w:val="00733849"/>
    <w:rsid w:val="007B0E6D"/>
    <w:rsid w:val="007B12C2"/>
    <w:rsid w:val="007C3F6F"/>
    <w:rsid w:val="00816CBC"/>
    <w:rsid w:val="00832268"/>
    <w:rsid w:val="008903F1"/>
    <w:rsid w:val="0089638C"/>
    <w:rsid w:val="008E2D48"/>
    <w:rsid w:val="0095592C"/>
    <w:rsid w:val="009944E8"/>
    <w:rsid w:val="009B268E"/>
    <w:rsid w:val="00AE4755"/>
    <w:rsid w:val="00B228C8"/>
    <w:rsid w:val="00B3273D"/>
    <w:rsid w:val="00B6693C"/>
    <w:rsid w:val="00B81EB5"/>
    <w:rsid w:val="00C139BD"/>
    <w:rsid w:val="00C64EE0"/>
    <w:rsid w:val="00D84CBB"/>
    <w:rsid w:val="00F36A8F"/>
    <w:rsid w:val="00FB455F"/>
    <w:rsid w:val="03513D40"/>
    <w:rsid w:val="03C36ABD"/>
    <w:rsid w:val="05BE1FE7"/>
    <w:rsid w:val="07173C0C"/>
    <w:rsid w:val="07CD5F38"/>
    <w:rsid w:val="093222D3"/>
    <w:rsid w:val="0A045E29"/>
    <w:rsid w:val="0A94080A"/>
    <w:rsid w:val="0BD04920"/>
    <w:rsid w:val="0FE43A8A"/>
    <w:rsid w:val="12203E6A"/>
    <w:rsid w:val="125052B4"/>
    <w:rsid w:val="13A86677"/>
    <w:rsid w:val="14853F3C"/>
    <w:rsid w:val="18F945BB"/>
    <w:rsid w:val="1A963A39"/>
    <w:rsid w:val="1C400EC9"/>
    <w:rsid w:val="1CD57014"/>
    <w:rsid w:val="20897C8E"/>
    <w:rsid w:val="25FC0336"/>
    <w:rsid w:val="274A43D0"/>
    <w:rsid w:val="29455732"/>
    <w:rsid w:val="2AFF2FC7"/>
    <w:rsid w:val="2E7F32BF"/>
    <w:rsid w:val="324D0B12"/>
    <w:rsid w:val="328642C7"/>
    <w:rsid w:val="34132C68"/>
    <w:rsid w:val="36183E27"/>
    <w:rsid w:val="3A61325F"/>
    <w:rsid w:val="3B240BF9"/>
    <w:rsid w:val="3B521B0A"/>
    <w:rsid w:val="3F722C8B"/>
    <w:rsid w:val="3F8735D5"/>
    <w:rsid w:val="46061ECD"/>
    <w:rsid w:val="460C770E"/>
    <w:rsid w:val="496637DE"/>
    <w:rsid w:val="49B42A2C"/>
    <w:rsid w:val="4A091121"/>
    <w:rsid w:val="4A2C1561"/>
    <w:rsid w:val="4BD33D55"/>
    <w:rsid w:val="4E837B07"/>
    <w:rsid w:val="50D50EB6"/>
    <w:rsid w:val="51307878"/>
    <w:rsid w:val="556936CF"/>
    <w:rsid w:val="55B91659"/>
    <w:rsid w:val="566110E2"/>
    <w:rsid w:val="56E82905"/>
    <w:rsid w:val="57DF1EB1"/>
    <w:rsid w:val="58026032"/>
    <w:rsid w:val="5AAF6DAE"/>
    <w:rsid w:val="5AB525C3"/>
    <w:rsid w:val="5C712121"/>
    <w:rsid w:val="5E06575A"/>
    <w:rsid w:val="5ECA3645"/>
    <w:rsid w:val="5FF74987"/>
    <w:rsid w:val="60605096"/>
    <w:rsid w:val="62284F30"/>
    <w:rsid w:val="627264CA"/>
    <w:rsid w:val="62BD44D9"/>
    <w:rsid w:val="639B44CB"/>
    <w:rsid w:val="649560FA"/>
    <w:rsid w:val="654871EC"/>
    <w:rsid w:val="66B8054F"/>
    <w:rsid w:val="6AFE40A4"/>
    <w:rsid w:val="6B2C4E62"/>
    <w:rsid w:val="6CEE398E"/>
    <w:rsid w:val="6E4E6B3A"/>
    <w:rsid w:val="6F233CF9"/>
    <w:rsid w:val="71E75AF9"/>
    <w:rsid w:val="7360433F"/>
    <w:rsid w:val="77BE24D9"/>
    <w:rsid w:val="7B46261F"/>
    <w:rsid w:val="7E667DC7"/>
    <w:rsid w:val="7F3E6D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Calibri"/>
      <w:kern w:val="2"/>
      <w:sz w:val="21"/>
      <w:szCs w:val="24"/>
      <w:lang w:val="en-US" w:eastAsia="zh-CN" w:bidi="ar-SA"/>
    </w:rPr>
  </w:style>
  <w:style w:type="paragraph" w:styleId="3">
    <w:name w:val="heading 1"/>
    <w:basedOn w:val="1"/>
    <w:next w:val="4"/>
    <w:qFormat/>
    <w:uiPriority w:val="0"/>
    <w:pPr>
      <w:numPr>
        <w:ilvl w:val="0"/>
        <w:numId w:val="1"/>
      </w:numPr>
      <w:tabs>
        <w:tab w:val="left" w:pos="567"/>
      </w:tabs>
      <w:autoSpaceDE w:val="0"/>
      <w:autoSpaceDN w:val="0"/>
      <w:adjustRightInd w:val="0"/>
      <w:spacing w:before="120" w:beforeLines="50" w:after="120" w:afterLines="50" w:line="360" w:lineRule="auto"/>
      <w:ind w:left="420"/>
      <w:jc w:val="left"/>
      <w:outlineLvl w:val="0"/>
    </w:pPr>
    <w:rPr>
      <w:rFonts w:ascii="宋体" w:hAnsi="Arial" w:eastAsia="黑体" w:cs="Arial"/>
      <w:b/>
      <w:snapToGrid w:val="0"/>
      <w:color w:val="000000"/>
      <w:kern w:val="0"/>
      <w:sz w:val="32"/>
      <w:szCs w:val="32"/>
      <w:lang w:val="en-GB"/>
    </w:rPr>
  </w:style>
  <w:style w:type="paragraph" w:styleId="5">
    <w:name w:val="heading 2"/>
    <w:basedOn w:val="1"/>
    <w:next w:val="1"/>
    <w:qFormat/>
    <w:uiPriority w:val="0"/>
    <w:pPr>
      <w:keepNext/>
      <w:keepLines/>
      <w:numPr>
        <w:ilvl w:val="1"/>
        <w:numId w:val="1"/>
      </w:numPr>
      <w:spacing w:line="360" w:lineRule="auto"/>
      <w:ind w:left="420"/>
      <w:outlineLvl w:val="1"/>
    </w:pPr>
    <w:rPr>
      <w:rFonts w:ascii="宋体" w:hAnsi="宋体" w:eastAsia="黑体" w:cs="宋体"/>
      <w:b/>
      <w:iCs/>
      <w:color w:val="000000"/>
      <w:kern w:val="0"/>
      <w:sz w:val="30"/>
      <w:lang w:val="zh-CN"/>
    </w:rPr>
  </w:style>
  <w:style w:type="paragraph" w:styleId="6">
    <w:name w:val="heading 3"/>
    <w:basedOn w:val="1"/>
    <w:next w:val="1"/>
    <w:semiHidden/>
    <w:unhideWhenUsed/>
    <w:qFormat/>
    <w:uiPriority w:val="0"/>
    <w:pPr>
      <w:keepNext/>
      <w:keepLines/>
      <w:numPr>
        <w:ilvl w:val="2"/>
        <w:numId w:val="2"/>
      </w:numPr>
      <w:spacing w:before="120" w:after="120" w:line="416" w:lineRule="auto"/>
      <w:ind w:left="420"/>
      <w:outlineLvl w:val="2"/>
    </w:pPr>
    <w:rPr>
      <w:rFonts w:ascii="宋体" w:hAnsi="宋体" w:eastAsia="黑体" w:cs="宋体"/>
      <w:b/>
      <w:color w:val="000000"/>
      <w:kern w:val="0"/>
      <w:sz w:val="28"/>
      <w:szCs w:val="28"/>
      <w:lang w:val="zh-CN"/>
    </w:rPr>
  </w:style>
  <w:style w:type="paragraph" w:styleId="7">
    <w:name w:val="heading 4"/>
    <w:basedOn w:val="1"/>
    <w:next w:val="1"/>
    <w:semiHidden/>
    <w:unhideWhenUsed/>
    <w:qFormat/>
    <w:uiPriority w:val="0"/>
    <w:pPr>
      <w:keepNext/>
      <w:keepLines/>
      <w:spacing w:before="280" w:after="290" w:line="372" w:lineRule="auto"/>
      <w:outlineLvl w:val="3"/>
    </w:pPr>
    <w:rPr>
      <w:rFonts w:ascii="Arial" w:hAnsi="Arial" w:eastAsia="黑体"/>
      <w:b/>
      <w:sz w:val="28"/>
    </w:rPr>
  </w:style>
  <w:style w:type="paragraph" w:styleId="8">
    <w:name w:val="heading 5"/>
    <w:basedOn w:val="1"/>
    <w:next w:val="1"/>
    <w:semiHidden/>
    <w:unhideWhenUsed/>
    <w:qFormat/>
    <w:uiPriority w:val="0"/>
    <w:pPr>
      <w:keepNext/>
      <w:keepLines/>
      <w:spacing w:before="280" w:after="290" w:line="372" w:lineRule="auto"/>
      <w:outlineLvl w:val="4"/>
    </w:pPr>
    <w:rPr>
      <w:b/>
      <w:sz w:val="28"/>
    </w:rPr>
  </w:style>
  <w:style w:type="character" w:default="1" w:styleId="17">
    <w:name w:val="Default Paragraph Font"/>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4">
    <w:name w:val="Normal Indent"/>
    <w:basedOn w:val="1"/>
    <w:qFormat/>
    <w:uiPriority w:val="0"/>
    <w:pPr>
      <w:tabs>
        <w:tab w:val="left" w:pos="1200"/>
      </w:tabs>
      <w:autoSpaceDE w:val="0"/>
      <w:autoSpaceDN w:val="0"/>
      <w:adjustRightInd w:val="0"/>
      <w:spacing w:line="360" w:lineRule="auto"/>
      <w:ind w:left="420" w:firstLine="420" w:firstLineChars="200"/>
      <w:jc w:val="left"/>
    </w:pPr>
    <w:rPr>
      <w:rFonts w:ascii="宋体" w:hAnsi="Arial" w:cs="宋体"/>
      <w:color w:val="000000"/>
      <w:kern w:val="0"/>
      <w:sz w:val="24"/>
      <w:lang w:val="zh-CN"/>
    </w:rPr>
  </w:style>
  <w:style w:type="paragraph" w:styleId="9">
    <w:name w:val="Body Text Indent"/>
    <w:basedOn w:val="1"/>
    <w:qFormat/>
    <w:uiPriority w:val="0"/>
    <w:pPr>
      <w:spacing w:after="120" w:line="360" w:lineRule="auto"/>
      <w:ind w:left="420" w:leftChars="200"/>
    </w:pPr>
    <w:rPr>
      <w:rFonts w:ascii="宋体" w:hAnsi="Times New Roman" w:cs="Times New Roman"/>
      <w:sz w:val="24"/>
    </w:rPr>
  </w:style>
  <w:style w:type="paragraph" w:styleId="10">
    <w:name w:val="footer"/>
    <w:basedOn w:val="1"/>
    <w:qFormat/>
    <w:uiPriority w:val="0"/>
    <w:pPr>
      <w:tabs>
        <w:tab w:val="left" w:pos="1200"/>
        <w:tab w:val="center" w:pos="4153"/>
        <w:tab w:val="right" w:pos="8306"/>
      </w:tabs>
      <w:autoSpaceDE w:val="0"/>
      <w:autoSpaceDN w:val="0"/>
      <w:adjustRightInd w:val="0"/>
      <w:snapToGrid w:val="0"/>
      <w:ind w:left="420"/>
      <w:jc w:val="left"/>
    </w:pPr>
    <w:rPr>
      <w:rFonts w:ascii="宋体" w:hAnsi="Arial" w:cs="宋体"/>
      <w:color w:val="000000"/>
      <w:kern w:val="0"/>
      <w:sz w:val="18"/>
      <w:lang w:val="zh-CN"/>
    </w:rPr>
  </w:style>
  <w:style w:type="paragraph" w:styleId="11">
    <w:name w:val="header"/>
    <w:basedOn w:val="1"/>
    <w:qFormat/>
    <w:uiPriority w:val="99"/>
    <w:pPr>
      <w:pBdr>
        <w:bottom w:val="single" w:color="auto" w:sz="6" w:space="1"/>
      </w:pBdr>
      <w:tabs>
        <w:tab w:val="center" w:pos="4153"/>
        <w:tab w:val="right" w:pos="8306"/>
      </w:tabs>
      <w:autoSpaceDE w:val="0"/>
      <w:autoSpaceDN w:val="0"/>
      <w:adjustRightInd w:val="0"/>
      <w:snapToGrid w:val="0"/>
      <w:spacing w:line="360" w:lineRule="auto"/>
      <w:ind w:left="420"/>
      <w:jc w:val="center"/>
    </w:pPr>
    <w:rPr>
      <w:rFonts w:ascii="宋体" w:hAnsi="Arial" w:cs="宋体"/>
      <w:color w:val="000000"/>
      <w:kern w:val="0"/>
      <w:sz w:val="18"/>
      <w:szCs w:val="18"/>
      <w:lang w:val="zh-CN"/>
    </w:rPr>
  </w:style>
  <w:style w:type="paragraph" w:styleId="12">
    <w:name w:val="toc 1"/>
    <w:basedOn w:val="1"/>
    <w:next w:val="1"/>
    <w:qFormat/>
    <w:uiPriority w:val="0"/>
    <w:pPr>
      <w:autoSpaceDE w:val="0"/>
      <w:autoSpaceDN w:val="0"/>
      <w:adjustRightInd w:val="0"/>
      <w:spacing w:before="120" w:after="120" w:line="360" w:lineRule="auto"/>
      <w:ind w:left="420"/>
      <w:jc w:val="left"/>
    </w:pPr>
    <w:rPr>
      <w:rFonts w:ascii="Times New Roman" w:hAnsi="Times New Roman" w:cs="Times New Roman"/>
      <w:b/>
      <w:bCs/>
      <w:caps/>
      <w:color w:val="000000"/>
      <w:kern w:val="0"/>
      <w:sz w:val="20"/>
      <w:szCs w:val="20"/>
      <w:lang w:val="zh-CN"/>
    </w:rPr>
  </w:style>
  <w:style w:type="paragraph" w:styleId="13">
    <w:name w:val="List"/>
    <w:basedOn w:val="1"/>
    <w:qFormat/>
    <w:uiPriority w:val="0"/>
    <w:pPr>
      <w:tabs>
        <w:tab w:val="left" w:pos="1200"/>
      </w:tabs>
      <w:autoSpaceDE w:val="0"/>
      <w:autoSpaceDN w:val="0"/>
      <w:adjustRightInd w:val="0"/>
      <w:ind w:left="200" w:hanging="200" w:hangingChars="200"/>
      <w:jc w:val="left"/>
    </w:pPr>
    <w:rPr>
      <w:rFonts w:ascii="宋体" w:hAnsi="Arial" w:cs="宋体"/>
      <w:color w:val="000000"/>
      <w:kern w:val="0"/>
      <w:lang w:val="zh-CN"/>
    </w:rPr>
  </w:style>
  <w:style w:type="paragraph" w:styleId="14">
    <w:name w:val="toc 2"/>
    <w:basedOn w:val="1"/>
    <w:next w:val="1"/>
    <w:qFormat/>
    <w:uiPriority w:val="0"/>
    <w:pPr>
      <w:autoSpaceDE w:val="0"/>
      <w:autoSpaceDN w:val="0"/>
      <w:adjustRightInd w:val="0"/>
      <w:spacing w:line="360" w:lineRule="auto"/>
      <w:ind w:left="240"/>
      <w:jc w:val="left"/>
    </w:pPr>
    <w:rPr>
      <w:rFonts w:ascii="Times New Roman" w:hAnsi="Times New Roman" w:cs="Times New Roman"/>
      <w:smallCaps/>
      <w:color w:val="000000"/>
      <w:kern w:val="0"/>
      <w:sz w:val="20"/>
      <w:szCs w:val="20"/>
      <w:lang w:val="zh-CN"/>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page number"/>
    <w:basedOn w:val="17"/>
    <w:qFormat/>
    <w:uiPriority w:val="0"/>
    <w:rPr>
      <w:rFonts w:ascii="Tahoma" w:hAnsi="Tahoma" w:eastAsia="宋体" w:cs="Times New Roman"/>
      <w:color w:val="auto"/>
      <w:kern w:val="2"/>
      <w:szCs w:val="20"/>
      <w:lang w:val="en-US"/>
    </w:rPr>
  </w:style>
  <w:style w:type="paragraph" w:customStyle="1" w:styleId="19">
    <w:name w:val="封面一级标题文字"/>
    <w:basedOn w:val="1"/>
    <w:qFormat/>
    <w:uiPriority w:val="0"/>
    <w:pPr>
      <w:spacing w:line="640" w:lineRule="exact"/>
      <w:jc w:val="center"/>
    </w:pPr>
    <w:rPr>
      <w:rFonts w:ascii="黑体" w:hAnsi="黑体" w:eastAsia="黑体"/>
      <w:b/>
      <w:bCs/>
      <w:sz w:val="52"/>
    </w:rPr>
  </w:style>
  <w:style w:type="character" w:customStyle="1" w:styleId="20">
    <w:name w:val="fontstyle01"/>
    <w:basedOn w:val="17"/>
    <w:qFormat/>
    <w:uiPriority w:val="0"/>
    <w:rPr>
      <w:rFonts w:ascii="宋体" w:hAnsi="宋体" w:eastAsia="宋体" w:cs="宋体"/>
      <w:color w:val="000000"/>
      <w:sz w:val="36"/>
      <w:szCs w:val="36"/>
    </w:rPr>
  </w:style>
  <w:style w:type="paragraph" w:customStyle="1" w:styleId="21">
    <w:name w:val="Char Char Char Char Char Char Char"/>
    <w:basedOn w:val="1"/>
    <w:qFormat/>
    <w:uiPriority w:val="0"/>
    <w:pPr>
      <w:ind w:left="420"/>
    </w:pPr>
    <w:rPr>
      <w:rFonts w:ascii="Tahoma" w:hAnsi="Tahoma" w:cs="Times New Roman"/>
      <w:sz w:val="24"/>
      <w:szCs w:val="20"/>
    </w:rPr>
  </w:style>
  <w:style w:type="paragraph" w:customStyle="1" w:styleId="22">
    <w:name w:val="封面：二级标题"/>
    <w:basedOn w:val="1"/>
    <w:qFormat/>
    <w:uiPriority w:val="0"/>
    <w:pPr>
      <w:tabs>
        <w:tab w:val="left" w:pos="1200"/>
      </w:tabs>
      <w:autoSpaceDE w:val="0"/>
      <w:autoSpaceDN w:val="0"/>
      <w:adjustRightInd w:val="0"/>
      <w:spacing w:line="360" w:lineRule="auto"/>
      <w:ind w:left="420"/>
      <w:jc w:val="center"/>
    </w:pPr>
    <w:rPr>
      <w:rFonts w:ascii="黑体" w:hAnsi="Arial" w:eastAsia="黑体" w:cs="宋体"/>
      <w:color w:val="000000"/>
      <w:kern w:val="0"/>
      <w:sz w:val="44"/>
      <w:lang w:val="zh-CN"/>
    </w:rPr>
  </w:style>
  <w:style w:type="paragraph" w:customStyle="1" w:styleId="23">
    <w:name w:val="封面副标题"/>
    <w:basedOn w:val="1"/>
    <w:qFormat/>
    <w:uiPriority w:val="0"/>
    <w:pPr>
      <w:spacing w:line="360" w:lineRule="auto"/>
      <w:ind w:left="420"/>
      <w:jc w:val="center"/>
    </w:pPr>
    <w:rPr>
      <w:rFonts w:ascii="宋体" w:hAnsi="Arial" w:eastAsia="黑体" w:cs="宋体"/>
      <w:b/>
      <w:color w:val="000000"/>
      <w:sz w:val="32"/>
      <w:szCs w:val="44"/>
    </w:rPr>
  </w:style>
  <w:style w:type="paragraph" w:customStyle="1" w:styleId="24">
    <w:name w:val="Table Paragraph"/>
    <w:basedOn w:val="1"/>
    <w:qFormat/>
    <w:uiPriority w:val="1"/>
    <w:pPr>
      <w:tabs>
        <w:tab w:val="left" w:pos="1200"/>
      </w:tabs>
      <w:autoSpaceDE w:val="0"/>
      <w:autoSpaceDN w:val="0"/>
      <w:adjustRightInd w:val="0"/>
      <w:spacing w:line="360" w:lineRule="auto"/>
      <w:ind w:left="420"/>
      <w:jc w:val="left"/>
    </w:pPr>
    <w:rPr>
      <w:rFonts w:ascii="宋体" w:hAnsi="Arial" w:cs="宋体"/>
      <w:color w:val="000000"/>
      <w:kern w:val="0"/>
      <w:sz w:val="24"/>
      <w:lang w:val="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39996-146B-4E4B-8D8B-E02EF113FD81}">
  <ds:schemaRefs/>
</ds:datastoreItem>
</file>

<file path=docProps/app.xml><?xml version="1.0" encoding="utf-8"?>
<Properties xmlns="http://schemas.openxmlformats.org/officeDocument/2006/extended-properties" xmlns:vt="http://schemas.openxmlformats.org/officeDocument/2006/docPropsVTypes">
  <Template>Normal.dotm</Template>
  <Pages>5</Pages>
  <Words>2421</Words>
  <Characters>2468</Characters>
  <Lines>18</Lines>
  <Paragraphs>5</Paragraphs>
  <TotalTime>11</TotalTime>
  <ScaleCrop>false</ScaleCrop>
  <LinksUpToDate>false</LinksUpToDate>
  <CharactersWithSpaces>2475</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2024-08-20T09:24:00Z</dcterms:created>
  <dc:creator>lubf</dc:creator>
  <cp:lastModifiedBy>李陶然</cp:lastModifiedBy>
  <dcterms:modified xsi:type="dcterms:W3CDTF">2024-08-22T07:49:59Z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36D61A9ADE444F578756E06D483C5CD6</vt:lpwstr>
  </property>
</Properties>
</file>