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hint="eastAsia" w:ascii="黑体" w:eastAsia="黑体"/>
          <w:b w:val="0"/>
          <w:sz w:val="44"/>
          <w:szCs w:val="44"/>
        </w:rPr>
      </w:pPr>
      <w:bookmarkStart w:id="0" w:name="_Toc424299129"/>
      <w:bookmarkStart w:id="1" w:name="_Toc32205"/>
      <w:bookmarkStart w:id="2" w:name="_Toc23351"/>
      <w:bookmarkStart w:id="3" w:name="_Toc14909"/>
      <w:bookmarkStart w:id="4" w:name="_Toc19504"/>
      <w:r>
        <w:rPr>
          <w:rFonts w:hint="eastAsia" w:ascii="黑体" w:eastAsia="黑体"/>
          <w:b w:val="0"/>
          <w:sz w:val="44"/>
          <w:szCs w:val="44"/>
        </w:rPr>
        <w:t>技术</w:t>
      </w:r>
      <w:bookmarkEnd w:id="0"/>
      <w:r>
        <w:rPr>
          <w:rFonts w:hint="eastAsia" w:ascii="黑体" w:eastAsia="黑体"/>
          <w:b w:val="0"/>
          <w:sz w:val="44"/>
          <w:szCs w:val="44"/>
        </w:rPr>
        <w:t>规范书</w:t>
      </w:r>
      <w:bookmarkEnd w:id="1"/>
      <w:bookmarkEnd w:id="2"/>
      <w:bookmarkEnd w:id="3"/>
      <w:bookmarkEnd w:id="4"/>
    </w:p>
    <w:p>
      <w:pPr>
        <w:pStyle w:val="2"/>
      </w:pPr>
    </w:p>
    <w:p>
      <w:pPr>
        <w:spacing w:line="400" w:lineRule="exact"/>
        <w:outlineLvl w:val="3"/>
        <w:rPr>
          <w:rFonts w:ascii="宋体" w:hAnsi="宋体" w:cs="宋体"/>
          <w:b/>
          <w:bCs/>
          <w:color w:val="FF0000"/>
          <w:sz w:val="28"/>
          <w:szCs w:val="28"/>
        </w:rPr>
      </w:pPr>
      <w:r>
        <w:rPr>
          <w:rFonts w:hint="eastAsia" w:ascii="宋体" w:hAnsi="宋体" w:cs="宋体"/>
          <w:b/>
          <w:bCs/>
          <w:sz w:val="28"/>
          <w:szCs w:val="28"/>
          <w:lang w:val="en-US" w:eastAsia="zh-CN"/>
        </w:rPr>
        <w:t>1</w:t>
      </w:r>
      <w:r>
        <w:rPr>
          <w:rFonts w:hint="eastAsia" w:ascii="宋体" w:hAnsi="宋体" w:cs="宋体"/>
          <w:b/>
          <w:bCs/>
          <w:sz w:val="28"/>
          <w:szCs w:val="28"/>
        </w:rPr>
        <w:t>.服务范围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1.1.1物业服务范围区域为：</w:t>
      </w:r>
    </w:p>
    <w:p>
      <w:pPr>
        <w:pStyle w:val="2"/>
        <w:rPr>
          <w:rFonts w:hint="eastAsia"/>
          <w:lang w:val="en-US" w:eastAsia="zh-CN"/>
        </w:rPr>
      </w:pPr>
    </w:p>
    <w:tbl>
      <w:tblPr>
        <w:tblStyle w:val="8"/>
        <w:tblW w:w="7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1579"/>
        <w:gridCol w:w="2305"/>
        <w:gridCol w:w="1078"/>
        <w:gridCol w:w="1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Align w:val="center"/>
          </w:tcPr>
          <w:p>
            <w:pPr>
              <w:spacing w:line="400" w:lineRule="exact"/>
              <w:jc w:val="center"/>
              <w:rPr>
                <w:rFonts w:ascii="宋体" w:hAnsi="宋体" w:cs="宋体"/>
                <w:sz w:val="21"/>
                <w:szCs w:val="21"/>
              </w:rPr>
            </w:pPr>
            <w:r>
              <w:rPr>
                <w:rFonts w:hint="eastAsia" w:ascii="宋体" w:hAnsi="宋体" w:cs="宋体"/>
                <w:sz w:val="21"/>
                <w:szCs w:val="21"/>
              </w:rPr>
              <w:t>序号</w:t>
            </w:r>
          </w:p>
        </w:tc>
        <w:tc>
          <w:tcPr>
            <w:tcW w:w="1579" w:type="dxa"/>
            <w:vAlign w:val="center"/>
          </w:tcPr>
          <w:p>
            <w:pPr>
              <w:spacing w:line="400" w:lineRule="exact"/>
              <w:jc w:val="center"/>
              <w:rPr>
                <w:rFonts w:ascii="宋体" w:hAnsi="宋体" w:cs="宋体"/>
                <w:sz w:val="21"/>
                <w:szCs w:val="21"/>
              </w:rPr>
            </w:pPr>
            <w:r>
              <w:rPr>
                <w:rFonts w:hint="eastAsia" w:ascii="宋体" w:hAnsi="宋体" w:cs="宋体"/>
                <w:sz w:val="21"/>
                <w:szCs w:val="21"/>
              </w:rPr>
              <w:t>区域</w:t>
            </w:r>
          </w:p>
        </w:tc>
        <w:tc>
          <w:tcPr>
            <w:tcW w:w="2305" w:type="dxa"/>
            <w:vAlign w:val="center"/>
          </w:tcPr>
          <w:p>
            <w:pPr>
              <w:spacing w:line="400" w:lineRule="exact"/>
              <w:jc w:val="center"/>
              <w:rPr>
                <w:rFonts w:ascii="宋体" w:hAnsi="宋体" w:cs="宋体"/>
                <w:sz w:val="21"/>
                <w:szCs w:val="21"/>
              </w:rPr>
            </w:pPr>
            <w:r>
              <w:rPr>
                <w:rFonts w:hint="eastAsia" w:ascii="宋体" w:hAnsi="宋体" w:cs="宋体"/>
                <w:sz w:val="21"/>
                <w:szCs w:val="21"/>
              </w:rPr>
              <w:t>坐落</w:t>
            </w:r>
          </w:p>
        </w:tc>
        <w:tc>
          <w:tcPr>
            <w:tcW w:w="1078" w:type="dxa"/>
          </w:tcPr>
          <w:p>
            <w:pPr>
              <w:spacing w:line="400" w:lineRule="exact"/>
              <w:jc w:val="center"/>
              <w:rPr>
                <w:rFonts w:ascii="宋体" w:hAnsi="宋体" w:cs="宋体"/>
                <w:sz w:val="21"/>
                <w:szCs w:val="21"/>
              </w:rPr>
            </w:pPr>
            <w:r>
              <w:rPr>
                <w:rFonts w:hint="eastAsia" w:ascii="宋体" w:hAnsi="宋体" w:cs="宋体"/>
                <w:sz w:val="21"/>
                <w:szCs w:val="21"/>
                <w:lang w:val="en-US" w:eastAsia="zh-CN"/>
              </w:rPr>
              <w:t>公共区域</w:t>
            </w:r>
            <w:r>
              <w:rPr>
                <w:rFonts w:hint="eastAsia" w:ascii="宋体" w:hAnsi="宋体" w:cs="宋体"/>
                <w:sz w:val="21"/>
                <w:szCs w:val="21"/>
              </w:rPr>
              <w:t>面积（m²）</w:t>
            </w:r>
          </w:p>
        </w:tc>
        <w:tc>
          <w:tcPr>
            <w:tcW w:w="1567" w:type="dxa"/>
            <w:vAlign w:val="center"/>
          </w:tcPr>
          <w:p>
            <w:pPr>
              <w:spacing w:line="400" w:lineRule="exact"/>
              <w:jc w:val="center"/>
              <w:rPr>
                <w:rFonts w:ascii="宋体" w:hAnsi="宋体" w:cs="宋体"/>
                <w:sz w:val="21"/>
                <w:szCs w:val="21"/>
              </w:rPr>
            </w:pPr>
            <w:r>
              <w:rPr>
                <w:rFonts w:hint="eastAsia" w:ascii="宋体" w:hAnsi="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Align w:val="center"/>
          </w:tcPr>
          <w:p>
            <w:pPr>
              <w:spacing w:line="240" w:lineRule="atLeast"/>
              <w:jc w:val="center"/>
              <w:rPr>
                <w:rFonts w:hint="eastAsia" w:ascii="宋体" w:hAnsi="宋体" w:cs="宋体"/>
                <w:sz w:val="21"/>
                <w:szCs w:val="21"/>
              </w:rPr>
            </w:pPr>
            <w:r>
              <w:rPr>
                <w:rFonts w:hint="eastAsia"/>
                <w:kern w:val="0"/>
                <w:sz w:val="21"/>
                <w:szCs w:val="21"/>
                <w:lang w:val="en-US" w:eastAsia="zh-CN"/>
              </w:rPr>
              <w:t>1</w:t>
            </w:r>
          </w:p>
        </w:tc>
        <w:tc>
          <w:tcPr>
            <w:tcW w:w="1579" w:type="dxa"/>
            <w:vAlign w:val="center"/>
          </w:tcPr>
          <w:p>
            <w:pPr>
              <w:spacing w:line="400" w:lineRule="exact"/>
              <w:jc w:val="center"/>
              <w:rPr>
                <w:rFonts w:hint="eastAsia" w:ascii="宋体" w:hAnsi="宋体" w:cs="宋体"/>
                <w:sz w:val="21"/>
                <w:szCs w:val="21"/>
              </w:rPr>
            </w:pPr>
            <w:r>
              <w:rPr>
                <w:rFonts w:hint="eastAsia" w:ascii="宋体" w:hAnsi="宋体" w:cs="宋体"/>
                <w:sz w:val="21"/>
                <w:szCs w:val="21"/>
                <w:lang w:val="en-US" w:eastAsia="zh-CN"/>
              </w:rPr>
              <w:t>消防标营地</w:t>
            </w:r>
          </w:p>
        </w:tc>
        <w:tc>
          <w:tcPr>
            <w:tcW w:w="2305" w:type="dxa"/>
            <w:vAlign w:val="center"/>
          </w:tcPr>
          <w:p>
            <w:pPr>
              <w:spacing w:line="400" w:lineRule="exact"/>
              <w:jc w:val="center"/>
              <w:rPr>
                <w:rFonts w:hint="eastAsia" w:ascii="宋体" w:hAnsi="宋体" w:cs="宋体"/>
                <w:sz w:val="21"/>
                <w:szCs w:val="21"/>
              </w:rPr>
            </w:pPr>
            <w:r>
              <w:rPr>
                <w:rFonts w:hint="eastAsia" w:ascii="宋体" w:hAnsi="宋体" w:cs="宋体"/>
                <w:sz w:val="21"/>
                <w:szCs w:val="21"/>
              </w:rPr>
              <w:t>海南省琼中黎族苗族自治县海南蓄能发电有限公司</w:t>
            </w:r>
          </w:p>
        </w:tc>
        <w:tc>
          <w:tcPr>
            <w:tcW w:w="1078" w:type="dxa"/>
            <w:vAlign w:val="center"/>
          </w:tcPr>
          <w:p>
            <w:pPr>
              <w:spacing w:line="400" w:lineRule="exact"/>
              <w:jc w:val="center"/>
              <w:rPr>
                <w:rFonts w:hint="eastAsia" w:ascii="宋体" w:hAnsi="宋体" w:cs="宋体"/>
                <w:sz w:val="21"/>
                <w:szCs w:val="21"/>
              </w:rPr>
            </w:pPr>
            <w:r>
              <w:rPr>
                <w:rFonts w:hint="eastAsia"/>
                <w:sz w:val="21"/>
                <w:szCs w:val="21"/>
                <w:lang w:val="en-US" w:eastAsia="zh-CN"/>
              </w:rPr>
              <w:t>1081</w:t>
            </w:r>
          </w:p>
        </w:tc>
        <w:tc>
          <w:tcPr>
            <w:tcW w:w="1567" w:type="dxa"/>
            <w:vMerge w:val="restart"/>
            <w:vAlign w:val="center"/>
          </w:tcPr>
          <w:p>
            <w:pPr>
              <w:spacing w:line="40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公区域面积包括楼道、公共洗手间及户外区域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Align w:val="center"/>
          </w:tcPr>
          <w:p>
            <w:pPr>
              <w:spacing w:line="240" w:lineRule="atLeast"/>
              <w:jc w:val="center"/>
              <w:rPr>
                <w:rFonts w:hint="eastAsia"/>
                <w:kern w:val="0"/>
                <w:sz w:val="21"/>
                <w:szCs w:val="21"/>
                <w:lang w:val="en-US" w:eastAsia="zh-CN"/>
              </w:rPr>
            </w:pPr>
            <w:r>
              <w:rPr>
                <w:rFonts w:hint="eastAsia"/>
                <w:kern w:val="0"/>
                <w:sz w:val="21"/>
                <w:szCs w:val="21"/>
                <w:lang w:val="en-US" w:eastAsia="zh-CN"/>
              </w:rPr>
              <w:t>2</w:t>
            </w:r>
          </w:p>
        </w:tc>
        <w:tc>
          <w:tcPr>
            <w:tcW w:w="1579" w:type="dxa"/>
            <w:vAlign w:val="center"/>
          </w:tcPr>
          <w:p>
            <w:pPr>
              <w:spacing w:line="400" w:lineRule="exact"/>
              <w:jc w:val="center"/>
              <w:rPr>
                <w:rFonts w:hint="eastAsia" w:ascii="宋体" w:hAnsi="宋体" w:cs="宋体"/>
                <w:sz w:val="21"/>
                <w:szCs w:val="21"/>
                <w:lang w:val="en-US" w:eastAsia="zh-CN"/>
              </w:rPr>
            </w:pPr>
            <w:r>
              <w:rPr>
                <w:rFonts w:hint="eastAsia" w:ascii="宋体" w:hAnsi="宋体" w:cs="宋体"/>
                <w:sz w:val="21"/>
                <w:szCs w:val="21"/>
                <w:lang w:val="en-US" w:eastAsia="zh-CN"/>
              </w:rPr>
              <w:t>七局机电营地</w:t>
            </w:r>
          </w:p>
        </w:tc>
        <w:tc>
          <w:tcPr>
            <w:tcW w:w="2305" w:type="dxa"/>
            <w:vAlign w:val="center"/>
          </w:tcPr>
          <w:p>
            <w:pPr>
              <w:spacing w:line="400" w:lineRule="exact"/>
              <w:jc w:val="center"/>
              <w:rPr>
                <w:rFonts w:hint="eastAsia" w:ascii="宋体" w:hAnsi="宋体" w:cs="宋体"/>
                <w:sz w:val="21"/>
                <w:szCs w:val="21"/>
              </w:rPr>
            </w:pPr>
            <w:r>
              <w:rPr>
                <w:rFonts w:hint="eastAsia" w:ascii="宋体" w:hAnsi="宋体" w:cs="宋体"/>
                <w:sz w:val="21"/>
                <w:szCs w:val="21"/>
              </w:rPr>
              <w:t>海南省琼中黎族苗族自治县海南蓄能发电有限公司</w:t>
            </w:r>
          </w:p>
        </w:tc>
        <w:tc>
          <w:tcPr>
            <w:tcW w:w="107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2218</w:t>
            </w:r>
          </w:p>
        </w:tc>
        <w:tc>
          <w:tcPr>
            <w:tcW w:w="1567" w:type="dxa"/>
            <w:vMerge w:val="continue"/>
            <w:tcBorders/>
            <w:vAlign w:val="center"/>
          </w:tcPr>
          <w:p>
            <w:pPr>
              <w:spacing w:line="400" w:lineRule="exact"/>
              <w:rPr>
                <w:rFonts w:hint="eastAsia"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Align w:val="center"/>
          </w:tcPr>
          <w:p>
            <w:pPr>
              <w:spacing w:line="240" w:lineRule="atLeast"/>
              <w:jc w:val="center"/>
              <w:rPr>
                <w:rFonts w:hint="eastAsia"/>
                <w:kern w:val="0"/>
                <w:sz w:val="21"/>
                <w:szCs w:val="21"/>
                <w:lang w:val="en-US" w:eastAsia="zh-CN"/>
              </w:rPr>
            </w:pPr>
          </w:p>
        </w:tc>
        <w:tc>
          <w:tcPr>
            <w:tcW w:w="1579" w:type="dxa"/>
            <w:vAlign w:val="center"/>
          </w:tcPr>
          <w:p>
            <w:pPr>
              <w:spacing w:line="400" w:lineRule="exact"/>
              <w:jc w:val="center"/>
              <w:rPr>
                <w:rFonts w:hint="eastAsia" w:ascii="宋体" w:hAnsi="宋体" w:cs="宋体"/>
                <w:sz w:val="21"/>
                <w:szCs w:val="21"/>
                <w:lang w:val="en-US" w:eastAsia="zh-CN"/>
              </w:rPr>
            </w:pPr>
          </w:p>
        </w:tc>
        <w:tc>
          <w:tcPr>
            <w:tcW w:w="2305" w:type="dxa"/>
            <w:vAlign w:val="center"/>
          </w:tcPr>
          <w:p>
            <w:pPr>
              <w:spacing w:line="400" w:lineRule="exact"/>
              <w:jc w:val="center"/>
              <w:rPr>
                <w:rFonts w:hint="eastAsia" w:ascii="宋体" w:hAnsi="宋体" w:cs="宋体" w:eastAsiaTheme="minorEastAsia"/>
                <w:sz w:val="21"/>
                <w:szCs w:val="21"/>
                <w:lang w:val="en-US" w:eastAsia="zh-CN"/>
              </w:rPr>
            </w:pPr>
            <w:r>
              <w:rPr>
                <w:rFonts w:hint="eastAsia" w:ascii="宋体" w:hAnsi="宋体" w:cs="宋体"/>
                <w:sz w:val="21"/>
                <w:szCs w:val="21"/>
                <w:lang w:val="en-US" w:eastAsia="zh-CN"/>
              </w:rPr>
              <w:t>合计</w:t>
            </w:r>
          </w:p>
        </w:tc>
        <w:tc>
          <w:tcPr>
            <w:tcW w:w="1078" w:type="dxa"/>
            <w:vAlign w:val="center"/>
          </w:tcPr>
          <w:p>
            <w:pPr>
              <w:spacing w:line="400" w:lineRule="exact"/>
              <w:jc w:val="center"/>
              <w:rPr>
                <w:rFonts w:hint="default"/>
                <w:sz w:val="21"/>
                <w:szCs w:val="21"/>
                <w:lang w:val="en-US" w:eastAsia="zh-CN"/>
              </w:rPr>
            </w:pPr>
            <w:r>
              <w:rPr>
                <w:rFonts w:hint="eastAsia"/>
                <w:sz w:val="21"/>
                <w:szCs w:val="21"/>
                <w:lang w:val="en-US" w:eastAsia="zh-CN"/>
              </w:rPr>
              <w:t>3299</w:t>
            </w:r>
          </w:p>
        </w:tc>
        <w:tc>
          <w:tcPr>
            <w:tcW w:w="1567" w:type="dxa"/>
            <w:vAlign w:val="center"/>
          </w:tcPr>
          <w:p>
            <w:pPr>
              <w:spacing w:line="400" w:lineRule="exact"/>
              <w:rPr>
                <w:rFonts w:hint="eastAsia" w:ascii="宋体" w:hAnsi="宋体" w:cs="宋体"/>
                <w:sz w:val="21"/>
                <w:szCs w:val="21"/>
              </w:rPr>
            </w:pPr>
          </w:p>
        </w:tc>
      </w:tr>
    </w:tbl>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outlineLvl w:val="3"/>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服务内容和标准</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default" w:eastAsia="宋体"/>
          <w:b w:val="0"/>
          <w:bCs w:val="0"/>
          <w:sz w:val="21"/>
          <w:szCs w:val="21"/>
          <w:lang w:val="en-US" w:eastAsia="zh-CN"/>
        </w:rPr>
      </w:pPr>
      <w:r>
        <w:rPr>
          <w:rFonts w:hint="eastAsia"/>
          <w:b w:val="0"/>
          <w:bCs w:val="0"/>
          <w:sz w:val="21"/>
          <w:szCs w:val="21"/>
          <w:lang w:val="en-US" w:eastAsia="zh-CN"/>
        </w:rPr>
        <w:t>服务内容主要包括</w:t>
      </w:r>
      <w:r>
        <w:rPr>
          <w:rFonts w:hint="eastAsia" w:asciiTheme="minorEastAsia" w:hAnsiTheme="minorEastAsia" w:cstheme="minorEastAsia"/>
          <w:b w:val="0"/>
          <w:bCs w:val="0"/>
          <w:sz w:val="21"/>
          <w:szCs w:val="21"/>
          <w:lang w:val="en-US" w:eastAsia="zh-CN"/>
        </w:rPr>
        <w:t>建筑物构筑物及其附属设备设施日常巡视维护服务、保洁服务、警卫消防服务等。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2.1建筑物构筑物及其附属设备设施日常巡视维护服务内容和标准</w:t>
      </w:r>
    </w:p>
    <w:tbl>
      <w:tblPr>
        <w:tblW w:w="809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040"/>
        <w:gridCol w:w="1080"/>
        <w:gridCol w:w="1410"/>
        <w:gridCol w:w="1420"/>
        <w:gridCol w:w="1970"/>
        <w:gridCol w:w="11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04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位置</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项目</w:t>
            </w:r>
          </w:p>
        </w:tc>
        <w:tc>
          <w:tcPr>
            <w:tcW w:w="14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服务内容</w:t>
            </w:r>
          </w:p>
        </w:tc>
        <w:tc>
          <w:tcPr>
            <w:tcW w:w="14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服务标准</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质量标准</w:t>
            </w:r>
          </w:p>
        </w:tc>
        <w:tc>
          <w:tcPr>
            <w:tcW w:w="117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04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原七局机电营地、</w:t>
            </w:r>
            <w:r>
              <w:rPr>
                <w:rFonts w:hint="eastAsia" w:ascii="宋体" w:hAnsi="宋体" w:eastAsia="宋体" w:cs="宋体"/>
                <w:i w:val="0"/>
                <w:iCs w:val="0"/>
                <w:color w:val="000000"/>
                <w:kern w:val="0"/>
                <w:sz w:val="21"/>
                <w:szCs w:val="21"/>
                <w:u w:val="none"/>
                <w:bdr w:val="none" w:color="auto" w:sz="0" w:space="0"/>
                <w:lang w:val="en-US" w:eastAsia="zh-CN" w:bidi="ar"/>
              </w:rPr>
              <w:br w:type="textWrapping"/>
            </w:r>
            <w:r>
              <w:rPr>
                <w:rFonts w:hint="eastAsia" w:ascii="宋体" w:hAnsi="宋体" w:eastAsia="宋体" w:cs="宋体"/>
                <w:i w:val="0"/>
                <w:iCs w:val="0"/>
                <w:color w:val="000000"/>
                <w:kern w:val="0"/>
                <w:sz w:val="21"/>
                <w:szCs w:val="21"/>
                <w:u w:val="none"/>
                <w:bdr w:val="none" w:color="auto" w:sz="0" w:space="0"/>
                <w:lang w:val="en-US" w:eastAsia="zh-CN" w:bidi="ar"/>
              </w:rPr>
              <w:t>原消防标营地</w:t>
            </w: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建筑物本体巡视维护</w:t>
            </w:r>
          </w:p>
        </w:tc>
        <w:tc>
          <w:tcPr>
            <w:tcW w:w="14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主体结构、屋面、外墙、基础、女儿墙等巡视维护</w:t>
            </w:r>
          </w:p>
        </w:tc>
        <w:tc>
          <w:tcPr>
            <w:tcW w:w="14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1次/月；</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不发生隐患未发现的情况；</w:t>
            </w:r>
          </w:p>
        </w:tc>
        <w:tc>
          <w:tcPr>
            <w:tcW w:w="1173" w:type="dxa"/>
            <w:vMerge w:val="restart"/>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8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接到降雨量大于50毫米的暴雨预警信息以及暴雨过后，分别进行一次特维特巡。</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发现的紧急缺陷1小时内到现场处置；</w:t>
            </w:r>
          </w:p>
        </w:tc>
        <w:tc>
          <w:tcPr>
            <w:tcW w:w="1173"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1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发现的一般缺陷纳入流程管控，并按时消缺。</w:t>
            </w:r>
          </w:p>
        </w:tc>
        <w:tc>
          <w:tcPr>
            <w:tcW w:w="1173"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建筑物内部结构巡视维护</w:t>
            </w:r>
          </w:p>
        </w:tc>
        <w:tc>
          <w:tcPr>
            <w:tcW w:w="14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楼道栏杆、扶手，门、窗、内墙、地板、天花等设施巡视维护；</w:t>
            </w:r>
          </w:p>
        </w:tc>
        <w:tc>
          <w:tcPr>
            <w:tcW w:w="14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1次/月；</w:t>
            </w:r>
            <w:bookmarkStart w:id="5" w:name="_GoBack"/>
            <w:bookmarkEnd w:id="5"/>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不发生隐患未发现的情况；</w:t>
            </w:r>
          </w:p>
        </w:tc>
        <w:tc>
          <w:tcPr>
            <w:tcW w:w="1173"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楼道扶手、栏杆等低耗品损坏，需要更换的：☑乙方负责，单项维修费用500元以上的费用据实结算；单项维修费用500元以下的，费用总额包干。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发现的紧急缺陷1小时内到现场处置；</w:t>
            </w:r>
          </w:p>
        </w:tc>
        <w:tc>
          <w:tcPr>
            <w:tcW w:w="1173"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发现的一般缺陷纳入流程管控，并按时消缺。</w:t>
            </w:r>
          </w:p>
        </w:tc>
        <w:tc>
          <w:tcPr>
            <w:tcW w:w="1173"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构筑物巡视维护</w:t>
            </w:r>
          </w:p>
        </w:tc>
        <w:tc>
          <w:tcPr>
            <w:tcW w:w="14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道路、路牙、排水沟、电缆沟、围墙、栏杆、水池、天桥、过道、平台、爬梯等巡视维护。</w:t>
            </w:r>
          </w:p>
        </w:tc>
        <w:tc>
          <w:tcPr>
            <w:tcW w:w="14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1次/月；</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不发生隐患未发现的情况；</w:t>
            </w:r>
          </w:p>
        </w:tc>
        <w:tc>
          <w:tcPr>
            <w:tcW w:w="1173" w:type="dxa"/>
            <w:vMerge w:val="restart"/>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接到降雨量大于50毫米的暴雨预警信息以及暴雨过后，分别进行一次特维特巡。</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发现的紧急缺陷1小时内到现场处置；</w:t>
            </w:r>
          </w:p>
        </w:tc>
        <w:tc>
          <w:tcPr>
            <w:tcW w:w="1173"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发现的一般缺陷纳入流程管控，并按时消缺。</w:t>
            </w:r>
          </w:p>
        </w:tc>
        <w:tc>
          <w:tcPr>
            <w:tcW w:w="1173"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restart"/>
            <w:tcBorders>
              <w:top w:val="single" w:color="000000" w:sz="4" w:space="0"/>
              <w:left w:val="single" w:color="000000" w:sz="4" w:space="0"/>
              <w:bottom w:val="nil"/>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照明巡视维护</w:t>
            </w:r>
          </w:p>
        </w:tc>
        <w:tc>
          <w:tcPr>
            <w:tcW w:w="14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路灯系统巡视维护</w:t>
            </w:r>
          </w:p>
        </w:tc>
        <w:tc>
          <w:tcPr>
            <w:tcW w:w="14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1次</w:t>
            </w:r>
            <w:r>
              <w:rPr>
                <w:rFonts w:hint="default" w:ascii="Times New Roman" w:hAnsi="Times New Roman" w:eastAsia="宋体" w:cs="Times New Roman"/>
                <w:i w:val="0"/>
                <w:iCs w:val="0"/>
                <w:color w:val="000000"/>
                <w:kern w:val="0"/>
                <w:sz w:val="21"/>
                <w:szCs w:val="21"/>
                <w:u w:val="none"/>
                <w:bdr w:val="none" w:color="auto" w:sz="0" w:space="0"/>
                <w:lang w:val="en-US" w:eastAsia="zh-CN" w:bidi="ar"/>
              </w:rPr>
              <w:t>/</w:t>
            </w:r>
            <w:r>
              <w:rPr>
                <w:rFonts w:hint="eastAsia" w:ascii="宋体" w:hAnsi="宋体" w:eastAsia="宋体" w:cs="宋体"/>
                <w:i w:val="0"/>
                <w:iCs w:val="0"/>
                <w:color w:val="000000"/>
                <w:kern w:val="0"/>
                <w:sz w:val="21"/>
                <w:szCs w:val="21"/>
                <w:u w:val="none"/>
                <w:bdr w:val="none" w:color="auto" w:sz="0" w:space="0"/>
                <w:lang w:val="en-US" w:eastAsia="zh-CN" w:bidi="ar"/>
              </w:rPr>
              <w:t>月；</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发现的灯泡损坏不亮、灯罩破损，10天内完成更换；</w:t>
            </w:r>
          </w:p>
        </w:tc>
        <w:tc>
          <w:tcPr>
            <w:tcW w:w="1173"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☑乙方负责，单项维修费用500元以上的费用据实结算；单项维修费用500元以下的，费用总额包干。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6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nil"/>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发现的线路故障，纳入流程管控，并按时消缺。</w:t>
            </w:r>
          </w:p>
        </w:tc>
        <w:tc>
          <w:tcPr>
            <w:tcW w:w="1173"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给排水系统巡视维护</w:t>
            </w:r>
          </w:p>
        </w:tc>
        <w:tc>
          <w:tcPr>
            <w:tcW w:w="14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给水、排水管路、阀门、水泵、绿化管道等巡视维护</w:t>
            </w:r>
          </w:p>
        </w:tc>
        <w:tc>
          <w:tcPr>
            <w:tcW w:w="14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1次/月；</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不发生隐患未发现的情况；</w:t>
            </w:r>
          </w:p>
        </w:tc>
        <w:tc>
          <w:tcPr>
            <w:tcW w:w="1173" w:type="dxa"/>
            <w:vMerge w:val="restart"/>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发现的缺陷1小时内到现场处置，并按时限消缺。</w:t>
            </w:r>
          </w:p>
        </w:tc>
        <w:tc>
          <w:tcPr>
            <w:tcW w:w="1173"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62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净化水系统（含生活用水池、供水管道）巡视维护</w:t>
            </w:r>
          </w:p>
        </w:tc>
        <w:tc>
          <w:tcPr>
            <w:tcW w:w="14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按照净化水系统说明书等要要求进行日常巡检、反冲洗操作、定期更换滤芯、滤膜、石英砂、活性炭、添加消毒剂等；管道巡视：1次/季度；</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设备正常运转，出水符合要求、水质符合饮用水标准；</w:t>
            </w:r>
          </w:p>
        </w:tc>
        <w:tc>
          <w:tcPr>
            <w:tcW w:w="1173" w:type="dxa"/>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生活水池清洗：1次/3个月。</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生活水池、供水管道正常，无漏水。</w:t>
            </w:r>
          </w:p>
        </w:tc>
        <w:tc>
          <w:tcPr>
            <w:tcW w:w="117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☑乙方负责，费用总额包干。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水表抄表</w:t>
            </w:r>
          </w:p>
        </w:tc>
        <w:tc>
          <w:tcPr>
            <w:tcW w:w="14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1次/月</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数据准确无误，汇总分析数据按要求报送业主。</w:t>
            </w:r>
          </w:p>
        </w:tc>
        <w:tc>
          <w:tcPr>
            <w:tcW w:w="1173" w:type="dxa"/>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供电系统巡视维护</w:t>
            </w:r>
          </w:p>
        </w:tc>
        <w:tc>
          <w:tcPr>
            <w:tcW w:w="14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电表抄表</w:t>
            </w:r>
          </w:p>
        </w:tc>
        <w:tc>
          <w:tcPr>
            <w:tcW w:w="14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1次/月</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数据准确无误，汇总分析数据按要求报送业主。</w:t>
            </w:r>
          </w:p>
        </w:tc>
        <w:tc>
          <w:tcPr>
            <w:tcW w:w="1173" w:type="dxa"/>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消防系统巡视维护</w:t>
            </w:r>
          </w:p>
        </w:tc>
        <w:tc>
          <w:tcPr>
            <w:tcW w:w="14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移动式灭火器；消火栓；防火门、逃生通道；火灾逃生标识等巡视维护</w:t>
            </w:r>
          </w:p>
        </w:tc>
        <w:tc>
          <w:tcPr>
            <w:tcW w:w="14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1次/月</w:t>
            </w: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不发生隐患未发现的情况；</w:t>
            </w:r>
          </w:p>
        </w:tc>
        <w:tc>
          <w:tcPr>
            <w:tcW w:w="1173"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非生产区域移动式灭火器需要更换的：☑乙方负责，费用总额包干；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40" w:hRule="atLeast"/>
        </w:trPr>
        <w:tc>
          <w:tcPr>
            <w:tcW w:w="1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1"/>
                <w:szCs w:val="21"/>
                <w:u w:val="none"/>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c>
          <w:tcPr>
            <w:tcW w:w="19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发现的不符合项，3天内组织恢复。</w:t>
            </w:r>
          </w:p>
        </w:tc>
        <w:tc>
          <w:tcPr>
            <w:tcW w:w="1173"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21"/>
                <w:szCs w:val="21"/>
                <w:u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2.2保洁服务内容和标准</w:t>
      </w:r>
    </w:p>
    <w:tbl>
      <w:tblPr>
        <w:tblStyle w:val="7"/>
        <w:tblW w:w="809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3"/>
        <w:gridCol w:w="1060"/>
        <w:gridCol w:w="1440"/>
        <w:gridCol w:w="1420"/>
        <w:gridCol w:w="1960"/>
        <w:gridCol w:w="11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位置</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服务内容</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服务标准</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质量标准</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43"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原</w:t>
            </w:r>
            <w:r>
              <w:rPr>
                <w:rFonts w:hint="eastAsia" w:ascii="宋体" w:hAnsi="宋体" w:eastAsia="宋体" w:cs="宋体"/>
                <w:i w:val="0"/>
                <w:iCs w:val="0"/>
                <w:color w:val="000000"/>
                <w:kern w:val="0"/>
                <w:sz w:val="21"/>
                <w:szCs w:val="21"/>
                <w:u w:val="none"/>
                <w:lang w:val="en-US" w:eastAsia="zh-CN" w:bidi="ar"/>
              </w:rPr>
              <w:t>七局机电营地、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原</w:t>
            </w:r>
            <w:r>
              <w:rPr>
                <w:rFonts w:hint="eastAsia" w:ascii="宋体" w:hAnsi="宋体" w:eastAsia="宋体" w:cs="宋体"/>
                <w:i w:val="0"/>
                <w:iCs w:val="0"/>
                <w:color w:val="000000"/>
                <w:kern w:val="0"/>
                <w:sz w:val="21"/>
                <w:szCs w:val="21"/>
                <w:u w:val="none"/>
                <w:lang w:val="en-US" w:eastAsia="zh-CN" w:bidi="ar"/>
              </w:rPr>
              <w:t>消防标营地</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公共区域</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照明灯具除尘</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w:t>
            </w:r>
            <w:r>
              <w:rPr>
                <w:rFonts w:hint="eastAsia" w:ascii="宋体" w:hAnsi="宋体" w:cs="宋体"/>
                <w:i w:val="0"/>
                <w:iCs w:val="0"/>
                <w:color w:val="000000"/>
                <w:kern w:val="0"/>
                <w:sz w:val="21"/>
                <w:szCs w:val="21"/>
                <w:u w:val="none"/>
                <w:lang w:val="en-US" w:eastAsia="zh-CN" w:bidi="ar"/>
              </w:rPr>
              <w:t>3个月</w:t>
            </w:r>
            <w:r>
              <w:rPr>
                <w:rFonts w:hint="eastAsia" w:ascii="宋体" w:hAnsi="宋体" w:eastAsia="宋体" w:cs="宋体"/>
                <w:i w:val="0"/>
                <w:iCs w:val="0"/>
                <w:color w:val="000000"/>
                <w:kern w:val="0"/>
                <w:sz w:val="21"/>
                <w:szCs w:val="21"/>
                <w:u w:val="none"/>
                <w:lang w:val="en-US" w:eastAsia="zh-CN" w:bidi="ar"/>
              </w:rPr>
              <w:t>；</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无污渍、无蜘蛛网。</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地面、墙面、天花、扶手、栏杆，墙面开关、消防器材、标识标牌等保洁</w:t>
            </w:r>
          </w:p>
        </w:tc>
        <w:tc>
          <w:tcPr>
            <w:tcW w:w="142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周；</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地面无纸屑、烟头、杂物等废弃物；</w:t>
            </w:r>
          </w:p>
        </w:tc>
        <w:tc>
          <w:tcPr>
            <w:tcW w:w="11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left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墙面、天花、门窗、扶手、栏杆洁净，无污渍、无灰尘、无蜘蛛网；</w:t>
            </w: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家具、办公设备、开关、消防器材、标识标牌等洁净，无污渍、无灰尘。</w:t>
            </w: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内墙玻璃保洁</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月；</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无水垢，无污渍，光洁明亮。</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建筑物外墙</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楼宇外立面玻璃和石材清洗</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w:t>
            </w:r>
            <w:r>
              <w:rPr>
                <w:rFonts w:hint="eastAsia" w:ascii="宋体" w:hAnsi="宋体" w:cs="宋体"/>
                <w:i w:val="0"/>
                <w:iCs w:val="0"/>
                <w:color w:val="000000"/>
                <w:kern w:val="0"/>
                <w:sz w:val="21"/>
                <w:szCs w:val="21"/>
                <w:u w:val="none"/>
                <w:lang w:val="en-US" w:eastAsia="zh-CN" w:bidi="ar"/>
              </w:rPr>
              <w:t>3个月</w:t>
            </w:r>
            <w:r>
              <w:rPr>
                <w:rFonts w:hint="eastAsia" w:ascii="宋体" w:hAnsi="宋体" w:eastAsia="宋体" w:cs="宋体"/>
                <w:i w:val="0"/>
                <w:iCs w:val="0"/>
                <w:color w:val="000000"/>
                <w:kern w:val="0"/>
                <w:sz w:val="21"/>
                <w:szCs w:val="21"/>
                <w:u w:val="none"/>
                <w:lang w:val="en-US" w:eastAsia="zh-CN" w:bidi="ar"/>
              </w:rPr>
              <w:t>；</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无水垢，无污渍，干净明亮。</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公共洗手间</w:t>
            </w:r>
          </w:p>
        </w:tc>
        <w:tc>
          <w:tcPr>
            <w:tcW w:w="14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地面、墙面、天花，厕具、洗手台、梳妆镜、隔板等保洁</w:t>
            </w:r>
          </w:p>
        </w:tc>
        <w:tc>
          <w:tcPr>
            <w:tcW w:w="142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周；</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地面、墙面、厕具、手盆、台面、梳妆镜光亮洁净；</w:t>
            </w:r>
          </w:p>
        </w:tc>
        <w:tc>
          <w:tcPr>
            <w:tcW w:w="11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left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地面、墙面干爽，无污渍；</w:t>
            </w: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天花无蜘蛛网；</w:t>
            </w: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c>
          <w:tcPr>
            <w:tcW w:w="1420"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空气清新，无异味。</w:t>
            </w: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w:t>
            </w:r>
          </w:p>
        </w:tc>
        <w:tc>
          <w:tcPr>
            <w:tcW w:w="14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屋面、道路、广场、停车场、排水沟、室外消防栓、垃圾池等保洁</w:t>
            </w:r>
          </w:p>
        </w:tc>
        <w:tc>
          <w:tcPr>
            <w:tcW w:w="142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周；</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地面无纸屑、烟头、杂物等废弃物；</w:t>
            </w:r>
          </w:p>
        </w:tc>
        <w:tc>
          <w:tcPr>
            <w:tcW w:w="11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1420" w:type="dxa"/>
            <w:vMerge w:val="continue"/>
            <w:tcBorders>
              <w:left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设备设施表面无明显污渍、无灰尘、无蜘蛛；</w:t>
            </w: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c>
          <w:tcPr>
            <w:tcW w:w="1420"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无积水。</w:t>
            </w: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4"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室外宣传栏及标识标牌等保洁</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周；</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无蜘蛛网、无灰尘、无污渍。</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路灯保洁</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w:t>
            </w:r>
            <w:r>
              <w:rPr>
                <w:rFonts w:hint="eastAsia" w:ascii="宋体" w:hAnsi="宋体" w:cs="宋体"/>
                <w:i w:val="0"/>
                <w:iCs w:val="0"/>
                <w:color w:val="000000"/>
                <w:kern w:val="0"/>
                <w:sz w:val="21"/>
                <w:szCs w:val="21"/>
                <w:u w:val="none"/>
                <w:lang w:val="en-US" w:eastAsia="zh-CN" w:bidi="ar"/>
              </w:rPr>
              <w:t>3个月</w:t>
            </w:r>
            <w:r>
              <w:rPr>
                <w:rFonts w:hint="eastAsia" w:ascii="宋体" w:hAnsi="宋体" w:eastAsia="宋体" w:cs="宋体"/>
                <w:i w:val="0"/>
                <w:iCs w:val="0"/>
                <w:color w:val="000000"/>
                <w:kern w:val="0"/>
                <w:sz w:val="21"/>
                <w:szCs w:val="21"/>
                <w:u w:val="none"/>
                <w:lang w:val="en-US" w:eastAsia="zh-CN" w:bidi="ar"/>
              </w:rPr>
              <w:t>；</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灯罩外无污渍、灯罩内无杂物，灯杆无蜘蛛网。</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垃圾桶/篓/箱更换、清理及垃圾集中</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垃圾桶/篓/箱更换</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按需，各区域垃圾桶/篓/箱根据需求更换。</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配置合理，投放方便，符合垃圾分类要求。</w:t>
            </w:r>
          </w:p>
        </w:tc>
        <w:tc>
          <w:tcPr>
            <w:tcW w:w="117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6"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垃圾桶/篓/箱清理保洁</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日；</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垃圾桶/篓/箱干净，垃圾不超过2/3。</w:t>
            </w:r>
          </w:p>
        </w:tc>
        <w:tc>
          <w:tcPr>
            <w:tcW w:w="1170" w:type="dxa"/>
            <w:vMerge w:val="continue"/>
            <w:tcBorders>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043"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垃圾集中</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w:t>
            </w: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日，每天收集清理至垃圾集中点。</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垃圾密封袋装，清运及时。</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43"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化粪池清理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化粪池清理、排污等</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1次/</w:t>
            </w:r>
            <w:r>
              <w:rPr>
                <w:rFonts w:hint="eastAsia" w:ascii="宋体" w:hAnsi="宋体" w:cs="宋体"/>
                <w:i w:val="0"/>
                <w:iCs w:val="0"/>
                <w:color w:val="000000"/>
                <w:kern w:val="0"/>
                <w:sz w:val="21"/>
                <w:szCs w:val="21"/>
                <w:u w:val="none"/>
                <w:lang w:val="en-US" w:eastAsia="zh-CN" w:bidi="ar"/>
              </w:rPr>
              <w:t>3个月</w:t>
            </w:r>
            <w:r>
              <w:rPr>
                <w:rFonts w:hint="eastAsia" w:ascii="宋体" w:hAnsi="宋体" w:eastAsia="宋体" w:cs="宋体"/>
                <w:i w:val="0"/>
                <w:iCs w:val="0"/>
                <w:color w:val="000000"/>
                <w:kern w:val="0"/>
                <w:sz w:val="21"/>
                <w:szCs w:val="21"/>
                <w:u w:val="none"/>
                <w:lang w:val="en-US" w:eastAsia="zh-CN" w:bidi="ar"/>
              </w:rPr>
              <w:t>；</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利用抽粪车、排污泵、人工等对化粪池内部（包括池壁、底部）进行清理，确保清理到位</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21"/>
                <w:szCs w:val="21"/>
                <w:u w:val="none"/>
              </w:rPr>
            </w:pPr>
          </w:p>
        </w:tc>
      </w:tr>
    </w:tbl>
    <w:p>
      <w:pPr>
        <w:keepNext w:val="0"/>
        <w:keepLines w:val="0"/>
        <w:pageBreakBefore w:val="0"/>
        <w:widowControl/>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cs="宋体"/>
          <w:b/>
          <w:bCs/>
          <w:sz w:val="28"/>
          <w:szCs w:val="28"/>
          <w:lang w:val="en-US" w:eastAsia="zh-CN"/>
        </w:rPr>
      </w:pPr>
      <w:r>
        <w:rPr>
          <w:rFonts w:hint="eastAsia" w:ascii="宋体" w:hAnsi="宋体" w:cs="宋体"/>
          <w:b/>
          <w:bCs/>
          <w:sz w:val="28"/>
          <w:szCs w:val="28"/>
          <w:lang w:val="en-US" w:eastAsia="zh-CN"/>
        </w:rPr>
        <w:t>2.3警卫消防服务内容和标准</w:t>
      </w:r>
    </w:p>
    <w:tbl>
      <w:tblPr>
        <w:tblStyle w:val="7"/>
        <w:tblpPr w:leftFromText="181" w:rightFromText="181" w:vertAnchor="text" w:horzAnchor="page" w:tblpXSpec="center" w:tblpY="1"/>
        <w:tblOverlap w:val="never"/>
        <w:tblW w:w="8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1050"/>
        <w:gridCol w:w="1450"/>
        <w:gridCol w:w="1420"/>
        <w:gridCol w:w="1960"/>
        <w:gridCol w:w="1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vAlign w:val="center"/>
          </w:tcPr>
          <w:p>
            <w:pPr>
              <w:spacing w:line="320" w:lineRule="exact"/>
              <w:jc w:val="center"/>
              <w:rPr>
                <w:rFonts w:hint="eastAsia" w:ascii="宋体" w:hAnsi="宋体" w:eastAsia="宋体" w:cs="宋体"/>
                <w:szCs w:val="21"/>
                <w:lang w:val="en-US" w:eastAsia="zh-CN"/>
              </w:rPr>
            </w:pPr>
            <w:r>
              <w:rPr>
                <w:rFonts w:hint="eastAsia" w:ascii="宋体" w:hAnsi="宋体" w:cs="宋体"/>
                <w:szCs w:val="21"/>
                <w:lang w:val="en-US" w:eastAsia="zh-CN"/>
              </w:rPr>
              <w:t>位置</w:t>
            </w:r>
          </w:p>
        </w:tc>
        <w:tc>
          <w:tcPr>
            <w:tcW w:w="1050" w:type="dxa"/>
            <w:vAlign w:val="center"/>
          </w:tcPr>
          <w:p>
            <w:pPr>
              <w:spacing w:line="320" w:lineRule="exact"/>
              <w:jc w:val="center"/>
              <w:rPr>
                <w:rFonts w:ascii="宋体" w:hAnsi="宋体" w:cs="宋体"/>
                <w:szCs w:val="21"/>
              </w:rPr>
            </w:pPr>
            <w:r>
              <w:rPr>
                <w:rFonts w:hint="eastAsia" w:ascii="宋体" w:hAnsi="宋体" w:cs="宋体"/>
                <w:szCs w:val="21"/>
              </w:rPr>
              <w:t>项目</w:t>
            </w:r>
          </w:p>
        </w:tc>
        <w:tc>
          <w:tcPr>
            <w:tcW w:w="1450" w:type="dxa"/>
            <w:vAlign w:val="center"/>
          </w:tcPr>
          <w:p>
            <w:pPr>
              <w:spacing w:line="320" w:lineRule="exact"/>
              <w:jc w:val="center"/>
              <w:rPr>
                <w:rFonts w:ascii="宋体" w:hAnsi="宋体" w:cs="宋体"/>
                <w:szCs w:val="21"/>
              </w:rPr>
            </w:pPr>
            <w:r>
              <w:rPr>
                <w:rFonts w:hint="eastAsia" w:ascii="宋体" w:hAnsi="宋体" w:cs="宋体"/>
                <w:szCs w:val="21"/>
              </w:rPr>
              <w:t>服务内容</w:t>
            </w:r>
          </w:p>
        </w:tc>
        <w:tc>
          <w:tcPr>
            <w:tcW w:w="1420" w:type="dxa"/>
            <w:vAlign w:val="center"/>
          </w:tcPr>
          <w:p>
            <w:pPr>
              <w:spacing w:line="320" w:lineRule="exact"/>
              <w:jc w:val="center"/>
              <w:rPr>
                <w:rFonts w:ascii="宋体" w:hAnsi="宋体" w:cs="宋体"/>
                <w:szCs w:val="21"/>
              </w:rPr>
            </w:pPr>
            <w:r>
              <w:rPr>
                <w:rFonts w:hint="eastAsia" w:ascii="宋体" w:hAnsi="宋体" w:cs="宋体"/>
                <w:szCs w:val="21"/>
              </w:rPr>
              <w:t>服务标准</w:t>
            </w:r>
          </w:p>
        </w:tc>
        <w:tc>
          <w:tcPr>
            <w:tcW w:w="1960" w:type="dxa"/>
            <w:vAlign w:val="center"/>
          </w:tcPr>
          <w:p>
            <w:pPr>
              <w:spacing w:line="320" w:lineRule="exact"/>
              <w:jc w:val="center"/>
              <w:rPr>
                <w:rFonts w:ascii="宋体" w:hAnsi="宋体" w:cs="宋体"/>
                <w:szCs w:val="21"/>
              </w:rPr>
            </w:pPr>
            <w:r>
              <w:rPr>
                <w:rFonts w:hint="eastAsia" w:ascii="宋体" w:hAnsi="宋体" w:cs="宋体"/>
                <w:szCs w:val="21"/>
              </w:rPr>
              <w:t>质量标准</w:t>
            </w:r>
          </w:p>
        </w:tc>
        <w:tc>
          <w:tcPr>
            <w:tcW w:w="1170" w:type="dxa"/>
            <w:vAlign w:val="center"/>
          </w:tcPr>
          <w:p>
            <w:pPr>
              <w:spacing w:line="320" w:lineRule="exact"/>
              <w:jc w:val="center"/>
              <w:rPr>
                <w:rFonts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vMerge w:val="restart"/>
            <w:vAlign w:val="center"/>
          </w:tcPr>
          <w:p>
            <w:pPr>
              <w:spacing w:line="300" w:lineRule="exact"/>
              <w:jc w:val="left"/>
              <w:rPr>
                <w:rFonts w:hint="eastAsia" w:ascii="宋体" w:hAnsi="宋体" w:cs="宋体"/>
                <w:szCs w:val="21"/>
              </w:rPr>
            </w:pPr>
            <w:r>
              <w:rPr>
                <w:rFonts w:hint="eastAsia" w:ascii="宋体" w:hAnsi="宋体" w:cs="宋体"/>
                <w:i w:val="0"/>
                <w:iCs w:val="0"/>
                <w:color w:val="000000"/>
                <w:kern w:val="0"/>
                <w:sz w:val="21"/>
                <w:szCs w:val="21"/>
                <w:u w:val="none"/>
                <w:lang w:val="en-US" w:eastAsia="zh-CN" w:bidi="ar"/>
              </w:rPr>
              <w:t>原</w:t>
            </w:r>
            <w:r>
              <w:rPr>
                <w:rFonts w:hint="eastAsia" w:ascii="宋体" w:hAnsi="宋体" w:eastAsia="宋体" w:cs="宋体"/>
                <w:i w:val="0"/>
                <w:iCs w:val="0"/>
                <w:color w:val="000000"/>
                <w:kern w:val="0"/>
                <w:sz w:val="21"/>
                <w:szCs w:val="21"/>
                <w:u w:val="none"/>
                <w:lang w:val="en-US" w:eastAsia="zh-CN" w:bidi="ar"/>
              </w:rPr>
              <w:t>七局机电营地、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原</w:t>
            </w:r>
            <w:r>
              <w:rPr>
                <w:rFonts w:hint="eastAsia" w:ascii="宋体" w:hAnsi="宋体" w:eastAsia="宋体" w:cs="宋体"/>
                <w:i w:val="0"/>
                <w:iCs w:val="0"/>
                <w:color w:val="000000"/>
                <w:kern w:val="0"/>
                <w:sz w:val="21"/>
                <w:szCs w:val="21"/>
                <w:u w:val="none"/>
                <w:lang w:val="en-US" w:eastAsia="zh-CN" w:bidi="ar"/>
              </w:rPr>
              <w:t>消防标营地</w:t>
            </w:r>
          </w:p>
        </w:tc>
        <w:tc>
          <w:tcPr>
            <w:tcW w:w="1050" w:type="dxa"/>
            <w:vAlign w:val="center"/>
          </w:tcPr>
          <w:p>
            <w:pPr>
              <w:spacing w:line="300" w:lineRule="exact"/>
              <w:jc w:val="left"/>
              <w:rPr>
                <w:rFonts w:ascii="宋体" w:hAnsi="宋体" w:cs="宋体"/>
                <w:szCs w:val="21"/>
              </w:rPr>
            </w:pPr>
            <w:r>
              <w:rPr>
                <w:rFonts w:hint="eastAsia" w:ascii="宋体" w:hAnsi="宋体" w:cs="宋体"/>
                <w:szCs w:val="21"/>
              </w:rPr>
              <w:t>治安巡查及设备设施巡查</w:t>
            </w:r>
          </w:p>
        </w:tc>
        <w:tc>
          <w:tcPr>
            <w:tcW w:w="1450" w:type="dxa"/>
            <w:vAlign w:val="center"/>
          </w:tcPr>
          <w:p>
            <w:pPr>
              <w:spacing w:line="300" w:lineRule="exact"/>
              <w:jc w:val="left"/>
              <w:rPr>
                <w:rFonts w:ascii="宋体" w:hAnsi="宋体" w:cs="宋体"/>
                <w:szCs w:val="21"/>
              </w:rPr>
            </w:pPr>
            <w:r>
              <w:rPr>
                <w:rFonts w:hint="eastAsia" w:ascii="宋体" w:hAnsi="宋体" w:cs="宋体"/>
                <w:szCs w:val="21"/>
              </w:rPr>
              <w:t>治安巡查及设备设施巡查</w:t>
            </w:r>
          </w:p>
        </w:tc>
        <w:tc>
          <w:tcPr>
            <w:tcW w:w="1420" w:type="dxa"/>
            <w:vAlign w:val="center"/>
          </w:tcPr>
          <w:p>
            <w:pP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2</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次/</w:t>
            </w:r>
            <w:r>
              <w:rPr>
                <w:rFonts w:hint="eastAsia" w:ascii="宋体" w:hAnsi="宋体" w:cs="宋体"/>
                <w:color w:val="000000" w:themeColor="text1"/>
                <w:szCs w:val="21"/>
                <w:highlight w:val="none"/>
                <w:lang w:val="en-US" w:eastAsia="zh-CN"/>
                <w14:textFill>
                  <w14:solidFill>
                    <w14:schemeClr w14:val="tx1"/>
                  </w14:solidFill>
                </w14:textFill>
              </w:rPr>
              <w:t>天</w:t>
            </w:r>
            <w:r>
              <w:rPr>
                <w:rFonts w:hint="eastAsia" w:ascii="宋体" w:hAnsi="宋体" w:cs="宋体"/>
                <w:color w:val="000000" w:themeColor="text1"/>
                <w:szCs w:val="21"/>
                <w:highlight w:val="none"/>
                <w14:textFill>
                  <w14:solidFill>
                    <w14:schemeClr w14:val="tx1"/>
                  </w14:solidFill>
                </w14:textFill>
              </w:rPr>
              <w:t>的频次，</w:t>
            </w:r>
            <w:r>
              <w:rPr>
                <w:rFonts w:hint="eastAsia" w:ascii="宋体" w:hAnsi="宋体" w:cs="宋体"/>
                <w:color w:val="000000" w:themeColor="text1"/>
                <w:szCs w:val="21"/>
                <w:highlight w:val="none"/>
                <w:lang w:val="en-US" w:eastAsia="zh-CN"/>
                <w14:textFill>
                  <w14:solidFill>
                    <w14:schemeClr w14:val="tx1"/>
                  </w14:solidFill>
                </w14:textFill>
              </w:rPr>
              <w:t>且根据甲方需求，</w:t>
            </w:r>
            <w:r>
              <w:rPr>
                <w:rFonts w:hint="eastAsia" w:ascii="宋体" w:hAnsi="宋体" w:cs="宋体"/>
                <w:color w:val="000000" w:themeColor="text1"/>
                <w:szCs w:val="21"/>
                <w:highlight w:val="none"/>
                <w14:textFill>
                  <w14:solidFill>
                    <w14:schemeClr w14:val="tx1"/>
                  </w14:solidFill>
                </w14:textFill>
              </w:rPr>
              <w:t>根据制定的巡逻路线，安排安保人员进行巡查，对服务区域内的发现的可疑人员、损坏的防盗设施、安保技防设施、明显异常的设备设施（如倾斜的树木、爆水的管路、倒塌的围墙等）按规定处置或报告。</w:t>
            </w:r>
          </w:p>
        </w:tc>
        <w:tc>
          <w:tcPr>
            <w:tcW w:w="1960" w:type="dxa"/>
            <w:vAlign w:val="center"/>
          </w:tcPr>
          <w:p>
            <w:pPr>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不发生明显异常未发现的情况；</w:t>
            </w:r>
          </w:p>
          <w:p>
            <w:pP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发现的异常第一时间妥善处置。</w:t>
            </w:r>
          </w:p>
        </w:tc>
        <w:tc>
          <w:tcPr>
            <w:tcW w:w="1170" w:type="dxa"/>
            <w:vAlign w:val="center"/>
          </w:tcPr>
          <w:p>
            <w:pPr>
              <w:spacing w:line="3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vMerge w:val="continue"/>
            <w:tcBorders/>
            <w:vAlign w:val="center"/>
          </w:tcPr>
          <w:p>
            <w:pPr>
              <w:spacing w:line="300" w:lineRule="exact"/>
              <w:jc w:val="left"/>
              <w:rPr>
                <w:rFonts w:hint="eastAsia" w:ascii="宋体" w:hAnsi="宋体" w:cs="宋体"/>
                <w:szCs w:val="21"/>
              </w:rPr>
            </w:pPr>
          </w:p>
        </w:tc>
        <w:tc>
          <w:tcPr>
            <w:tcW w:w="1050" w:type="dxa"/>
            <w:vAlign w:val="center"/>
          </w:tcPr>
          <w:p>
            <w:pPr>
              <w:spacing w:line="300" w:lineRule="exact"/>
              <w:jc w:val="left"/>
              <w:rPr>
                <w:rFonts w:ascii="宋体" w:hAnsi="宋体" w:cs="宋体"/>
                <w:szCs w:val="21"/>
              </w:rPr>
            </w:pPr>
            <w:r>
              <w:rPr>
                <w:rFonts w:hint="eastAsia" w:ascii="宋体" w:hAnsi="宋体" w:cs="宋体"/>
                <w:szCs w:val="21"/>
              </w:rPr>
              <w:t>异常事件处置/应急抢险</w:t>
            </w:r>
          </w:p>
        </w:tc>
        <w:tc>
          <w:tcPr>
            <w:tcW w:w="1450" w:type="dxa"/>
            <w:vAlign w:val="center"/>
          </w:tcPr>
          <w:p>
            <w:pPr>
              <w:spacing w:line="300" w:lineRule="exact"/>
              <w:jc w:val="left"/>
              <w:rPr>
                <w:rFonts w:ascii="宋体" w:hAnsi="宋体" w:cs="宋体"/>
                <w:szCs w:val="21"/>
              </w:rPr>
            </w:pPr>
            <w:r>
              <w:rPr>
                <w:rFonts w:hint="eastAsia" w:ascii="宋体" w:hAnsi="宋体" w:cs="宋体"/>
                <w:szCs w:val="21"/>
              </w:rPr>
              <w:t>异常事件处置/应急抢险</w:t>
            </w:r>
          </w:p>
        </w:tc>
        <w:tc>
          <w:tcPr>
            <w:tcW w:w="1420" w:type="dxa"/>
            <w:vAlign w:val="center"/>
          </w:tcPr>
          <w:p>
            <w:pPr>
              <w:spacing w:line="300" w:lineRule="exact"/>
              <w:jc w:val="left"/>
            </w:pPr>
            <w:r>
              <w:rPr>
                <w:rFonts w:hint="eastAsia"/>
              </w:rPr>
              <w:t>发生信访、失窃、冲卡</w:t>
            </w:r>
            <w:r>
              <w:rPr>
                <w:rFonts w:hint="eastAsia"/>
                <w:lang w:eastAsia="zh-CN"/>
              </w:rPr>
              <w:t>、</w:t>
            </w:r>
            <w:r>
              <w:rPr>
                <w:rFonts w:hint="eastAsia"/>
                <w:lang w:val="en-US" w:eastAsia="zh-CN"/>
              </w:rPr>
              <w:t>恐怖袭击</w:t>
            </w:r>
            <w:r>
              <w:rPr>
                <w:rFonts w:hint="eastAsia"/>
              </w:rPr>
              <w:t>等异常事件或应急抢险，按照甲方预案等进行处置，每次不少于5人。</w:t>
            </w:r>
          </w:p>
        </w:tc>
        <w:tc>
          <w:tcPr>
            <w:tcW w:w="1960" w:type="dxa"/>
            <w:vAlign w:val="center"/>
          </w:tcPr>
          <w:p>
            <w:pPr>
              <w:spacing w:line="300" w:lineRule="exact"/>
              <w:jc w:val="left"/>
              <w:rPr>
                <w:rFonts w:ascii="宋体" w:hAnsi="宋体" w:cs="宋体"/>
                <w:szCs w:val="21"/>
              </w:rPr>
            </w:pPr>
            <w:r>
              <w:rPr>
                <w:rFonts w:hint="eastAsia" w:ascii="宋体" w:hAnsi="宋体" w:cs="宋体"/>
                <w:szCs w:val="21"/>
              </w:rPr>
              <w:t>发现的异常第一时间妥善处置。</w:t>
            </w:r>
          </w:p>
        </w:tc>
        <w:tc>
          <w:tcPr>
            <w:tcW w:w="1170" w:type="dxa"/>
            <w:vAlign w:val="center"/>
          </w:tcPr>
          <w:p>
            <w:pPr>
              <w:spacing w:line="3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vMerge w:val="continue"/>
            <w:tcBorders/>
            <w:vAlign w:val="center"/>
          </w:tcPr>
          <w:p>
            <w:pPr>
              <w:spacing w:line="300" w:lineRule="exact"/>
              <w:jc w:val="left"/>
              <w:rPr>
                <w:rFonts w:hint="eastAsia" w:ascii="宋体" w:hAnsi="宋体" w:cs="宋体"/>
                <w:color w:val="auto"/>
                <w:kern w:val="0"/>
                <w:szCs w:val="21"/>
              </w:rPr>
            </w:pPr>
          </w:p>
        </w:tc>
        <w:tc>
          <w:tcPr>
            <w:tcW w:w="1050" w:type="dxa"/>
            <w:vAlign w:val="center"/>
          </w:tcPr>
          <w:p>
            <w:pPr>
              <w:spacing w:line="300" w:lineRule="exact"/>
              <w:jc w:val="left"/>
              <w:rPr>
                <w:rFonts w:hint="eastAsia" w:ascii="宋体" w:hAnsi="宋体" w:cs="宋体"/>
                <w:szCs w:val="21"/>
              </w:rPr>
            </w:pPr>
            <w:r>
              <w:rPr>
                <w:rFonts w:hint="eastAsia" w:ascii="宋体" w:hAnsi="宋体" w:cs="宋体"/>
                <w:color w:val="auto"/>
                <w:kern w:val="0"/>
                <w:szCs w:val="21"/>
              </w:rPr>
              <w:t>特殊期间加强巡视</w:t>
            </w:r>
          </w:p>
        </w:tc>
        <w:tc>
          <w:tcPr>
            <w:tcW w:w="1450" w:type="dxa"/>
            <w:vAlign w:val="center"/>
          </w:tcPr>
          <w:p>
            <w:pPr>
              <w:spacing w:line="300" w:lineRule="exact"/>
              <w:jc w:val="left"/>
              <w:rPr>
                <w:rFonts w:hint="eastAsia" w:ascii="宋体" w:hAnsi="宋体" w:cs="宋体"/>
                <w:szCs w:val="21"/>
              </w:rPr>
            </w:pPr>
            <w:r>
              <w:rPr>
                <w:rFonts w:hint="eastAsia" w:ascii="宋体" w:hAnsi="宋体" w:cs="宋体"/>
                <w:color w:val="auto"/>
                <w:kern w:val="0"/>
                <w:szCs w:val="21"/>
              </w:rPr>
              <w:t>在春节、两会、五一、国庆保供电期间及其他由甲方指定的需要加强巡视的</w:t>
            </w:r>
            <w:r>
              <w:rPr>
                <w:rFonts w:hint="eastAsia" w:ascii="宋体" w:hAnsi="宋体" w:cs="宋体"/>
                <w:color w:val="auto"/>
                <w:kern w:val="0"/>
                <w:szCs w:val="21"/>
                <w:lang w:val="en-US" w:eastAsia="zh-CN"/>
              </w:rPr>
              <w:t>时间</w:t>
            </w:r>
            <w:r>
              <w:rPr>
                <w:rFonts w:hint="eastAsia" w:ascii="宋体" w:hAnsi="宋体" w:cs="宋体"/>
                <w:color w:val="auto"/>
                <w:kern w:val="0"/>
                <w:szCs w:val="21"/>
              </w:rPr>
              <w:t>，安保巡视由</w:t>
            </w:r>
            <w:r>
              <w:rPr>
                <w:rFonts w:hint="eastAsia" w:ascii="宋体" w:hAnsi="宋体" w:cs="宋体"/>
                <w:color w:val="000000" w:themeColor="text1"/>
                <w:szCs w:val="21"/>
                <w:highlight w:val="none"/>
                <w:u w:val="single"/>
                <w:lang w:val="en-US" w:eastAsia="zh-CN"/>
                <w14:textFill>
                  <w14:solidFill>
                    <w14:schemeClr w14:val="tx1"/>
                  </w14:solidFill>
                </w14:textFill>
              </w:rPr>
              <w:t>2</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次/</w:t>
            </w:r>
            <w:r>
              <w:rPr>
                <w:rFonts w:hint="eastAsia" w:ascii="宋体" w:hAnsi="宋体" w:cs="宋体"/>
                <w:color w:val="000000" w:themeColor="text1"/>
                <w:szCs w:val="21"/>
                <w:highlight w:val="none"/>
                <w:lang w:val="en-US" w:eastAsia="zh-CN"/>
                <w14:textFill>
                  <w14:solidFill>
                    <w14:schemeClr w14:val="tx1"/>
                  </w14:solidFill>
                </w14:textFill>
              </w:rPr>
              <w:t>天增加到4次/天</w:t>
            </w:r>
            <w:r>
              <w:rPr>
                <w:rFonts w:hint="eastAsia" w:ascii="宋体" w:hAnsi="宋体" w:cs="宋体"/>
                <w:color w:val="auto"/>
                <w:kern w:val="0"/>
                <w:szCs w:val="21"/>
              </w:rPr>
              <w:t>。</w:t>
            </w:r>
          </w:p>
        </w:tc>
        <w:tc>
          <w:tcPr>
            <w:tcW w:w="1420" w:type="dxa"/>
            <w:vAlign w:val="center"/>
          </w:tcPr>
          <w:p>
            <w:pPr>
              <w:spacing w:line="300" w:lineRule="exact"/>
              <w:jc w:val="left"/>
              <w:rPr>
                <w:rFonts w:hint="eastAsia"/>
              </w:rPr>
            </w:pPr>
            <w:r>
              <w:rPr>
                <w:rFonts w:hint="eastAsia" w:ascii="宋体" w:hAnsi="宋体" w:cs="宋体"/>
                <w:color w:val="auto"/>
                <w:kern w:val="0"/>
                <w:szCs w:val="21"/>
              </w:rPr>
              <w:t>项/随时（30分钟内响应）</w:t>
            </w:r>
          </w:p>
        </w:tc>
        <w:tc>
          <w:tcPr>
            <w:tcW w:w="1960" w:type="dxa"/>
            <w:vAlign w:val="center"/>
          </w:tcPr>
          <w:p>
            <w:pPr>
              <w:spacing w:line="300" w:lineRule="exact"/>
              <w:jc w:val="left"/>
              <w:rPr>
                <w:rFonts w:hint="eastAsia" w:ascii="宋体" w:hAnsi="宋体" w:cs="宋体"/>
                <w:szCs w:val="21"/>
              </w:rPr>
            </w:pPr>
            <w:r>
              <w:rPr>
                <w:rFonts w:hint="eastAsia" w:ascii="宋体" w:hAnsi="宋体" w:cs="宋体"/>
                <w:color w:val="auto"/>
                <w:szCs w:val="21"/>
              </w:rPr>
              <w:t>圆满完成特殊保供电期间加强巡视任务。</w:t>
            </w:r>
          </w:p>
        </w:tc>
        <w:tc>
          <w:tcPr>
            <w:tcW w:w="1170" w:type="dxa"/>
            <w:vAlign w:val="center"/>
          </w:tcPr>
          <w:p>
            <w:pPr>
              <w:spacing w:line="3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jc w:val="center"/>
        </w:trPr>
        <w:tc>
          <w:tcPr>
            <w:tcW w:w="1208" w:type="dxa"/>
            <w:vMerge w:val="continue"/>
            <w:tcBorders/>
            <w:vAlign w:val="center"/>
          </w:tcPr>
          <w:p>
            <w:pPr>
              <w:spacing w:line="300" w:lineRule="exact"/>
              <w:jc w:val="left"/>
              <w:rPr>
                <w:rFonts w:hint="eastAsia" w:ascii="宋体" w:hAnsi="宋体" w:cs="宋体"/>
                <w:szCs w:val="21"/>
              </w:rPr>
            </w:pPr>
          </w:p>
        </w:tc>
        <w:tc>
          <w:tcPr>
            <w:tcW w:w="1050" w:type="dxa"/>
            <w:vAlign w:val="center"/>
          </w:tcPr>
          <w:p>
            <w:pPr>
              <w:spacing w:line="300" w:lineRule="exact"/>
              <w:jc w:val="left"/>
              <w:rPr>
                <w:rFonts w:ascii="宋体" w:hAnsi="宋体" w:cs="宋体"/>
                <w:szCs w:val="21"/>
              </w:rPr>
            </w:pPr>
            <w:r>
              <w:rPr>
                <w:rFonts w:hint="eastAsia" w:ascii="宋体" w:hAnsi="宋体" w:cs="宋体"/>
                <w:szCs w:val="21"/>
              </w:rPr>
              <w:t>停车场管理</w:t>
            </w:r>
          </w:p>
        </w:tc>
        <w:tc>
          <w:tcPr>
            <w:tcW w:w="1450" w:type="dxa"/>
            <w:vAlign w:val="center"/>
          </w:tcPr>
          <w:p>
            <w:pPr>
              <w:spacing w:line="300" w:lineRule="exact"/>
              <w:jc w:val="left"/>
              <w:rPr>
                <w:rFonts w:ascii="宋体" w:hAnsi="宋体" w:cs="宋体"/>
                <w:szCs w:val="21"/>
              </w:rPr>
            </w:pPr>
            <w:r>
              <w:rPr>
                <w:rFonts w:hint="eastAsia" w:ascii="宋体" w:hAnsi="宋体" w:cs="宋体"/>
                <w:szCs w:val="21"/>
              </w:rPr>
              <w:t>地面车辆停放指挥协调和社会车辆停放工作</w:t>
            </w:r>
          </w:p>
        </w:tc>
        <w:tc>
          <w:tcPr>
            <w:tcW w:w="1420" w:type="dxa"/>
            <w:vAlign w:val="center"/>
          </w:tcPr>
          <w:p>
            <w:pPr>
              <w:spacing w:line="300" w:lineRule="exact"/>
              <w:jc w:val="left"/>
              <w:rPr>
                <w:rFonts w:ascii="宋体" w:hAnsi="宋体" w:cs="宋体"/>
                <w:szCs w:val="21"/>
              </w:rPr>
            </w:pPr>
            <w:r>
              <w:rPr>
                <w:rFonts w:hint="eastAsia" w:ascii="宋体" w:hAnsi="宋体" w:cs="宋体"/>
                <w:szCs w:val="21"/>
              </w:rPr>
              <w:t xml:space="preserve">24小时 </w:t>
            </w:r>
          </w:p>
        </w:tc>
        <w:tc>
          <w:tcPr>
            <w:tcW w:w="1960" w:type="dxa"/>
            <w:vAlign w:val="center"/>
          </w:tcPr>
          <w:p>
            <w:pPr>
              <w:spacing w:line="300" w:lineRule="exact"/>
              <w:jc w:val="left"/>
              <w:rPr>
                <w:rFonts w:ascii="宋体" w:hAnsi="宋体" w:cs="宋体"/>
                <w:szCs w:val="21"/>
              </w:rPr>
            </w:pPr>
            <w:r>
              <w:rPr>
                <w:rFonts w:hint="eastAsia" w:ascii="宋体" w:hAnsi="宋体" w:cs="宋体"/>
                <w:szCs w:val="21"/>
              </w:rPr>
              <w:t>车辆停放有序。</w:t>
            </w:r>
          </w:p>
        </w:tc>
        <w:tc>
          <w:tcPr>
            <w:tcW w:w="1170" w:type="dxa"/>
            <w:vAlign w:val="center"/>
          </w:tcPr>
          <w:p>
            <w:pPr>
              <w:spacing w:line="300" w:lineRule="exact"/>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1208" w:type="dxa"/>
            <w:vMerge w:val="continue"/>
            <w:tcBorders/>
            <w:vAlign w:val="center"/>
          </w:tcPr>
          <w:p>
            <w:pPr>
              <w:spacing w:line="300" w:lineRule="exact"/>
              <w:jc w:val="left"/>
              <w:rPr>
                <w:rFonts w:hint="eastAsia" w:ascii="宋体" w:hAnsi="宋体" w:cs="宋体"/>
                <w:szCs w:val="21"/>
              </w:rPr>
            </w:pPr>
          </w:p>
        </w:tc>
        <w:tc>
          <w:tcPr>
            <w:tcW w:w="1050" w:type="dxa"/>
            <w:vAlign w:val="center"/>
          </w:tcPr>
          <w:p>
            <w:pPr>
              <w:spacing w:line="300" w:lineRule="exact"/>
              <w:jc w:val="left"/>
              <w:rPr>
                <w:rFonts w:ascii="宋体" w:hAnsi="宋体" w:cs="宋体"/>
                <w:szCs w:val="21"/>
              </w:rPr>
            </w:pPr>
            <w:r>
              <w:rPr>
                <w:rFonts w:hint="eastAsia" w:ascii="宋体" w:hAnsi="宋体" w:cs="宋体"/>
                <w:szCs w:val="21"/>
              </w:rPr>
              <w:t>消防应急</w:t>
            </w:r>
          </w:p>
        </w:tc>
        <w:tc>
          <w:tcPr>
            <w:tcW w:w="1450" w:type="dxa"/>
            <w:vAlign w:val="center"/>
          </w:tcPr>
          <w:p>
            <w:pPr>
              <w:spacing w:line="300" w:lineRule="exact"/>
              <w:jc w:val="left"/>
              <w:rPr>
                <w:rFonts w:ascii="宋体" w:hAnsi="宋体" w:cs="宋体"/>
                <w:szCs w:val="21"/>
              </w:rPr>
            </w:pPr>
            <w:r>
              <w:rPr>
                <w:rFonts w:hint="eastAsia" w:ascii="宋体" w:hAnsi="宋体" w:cs="宋体"/>
                <w:szCs w:val="21"/>
              </w:rPr>
              <w:t>消防应急处置</w:t>
            </w:r>
          </w:p>
        </w:tc>
        <w:tc>
          <w:tcPr>
            <w:tcW w:w="1420" w:type="dxa"/>
            <w:vAlign w:val="center"/>
          </w:tcPr>
          <w:p>
            <w:pPr>
              <w:spacing w:line="300" w:lineRule="exact"/>
              <w:jc w:val="left"/>
              <w:rPr>
                <w:rFonts w:ascii="宋体" w:hAnsi="宋体" w:cs="宋体"/>
                <w:szCs w:val="21"/>
              </w:rPr>
            </w:pPr>
            <w:r>
              <w:rPr>
                <w:rFonts w:hint="eastAsia" w:ascii="宋体" w:hAnsi="宋体" w:cs="宋体"/>
                <w:szCs w:val="21"/>
              </w:rPr>
              <w:t>按甲方应急预案进行处置。</w:t>
            </w:r>
          </w:p>
        </w:tc>
        <w:tc>
          <w:tcPr>
            <w:tcW w:w="1960" w:type="dxa"/>
            <w:vAlign w:val="center"/>
          </w:tcPr>
          <w:p>
            <w:pPr>
              <w:spacing w:line="300" w:lineRule="exact"/>
              <w:jc w:val="left"/>
              <w:rPr>
                <w:rFonts w:ascii="宋体" w:hAnsi="宋体" w:cs="宋体"/>
                <w:szCs w:val="21"/>
              </w:rPr>
            </w:pPr>
            <w:r>
              <w:rPr>
                <w:rFonts w:hint="eastAsia" w:ascii="宋体" w:hAnsi="宋体" w:cs="宋体"/>
                <w:szCs w:val="21"/>
              </w:rPr>
              <w:t>应急及时、得当。</w:t>
            </w:r>
          </w:p>
        </w:tc>
        <w:tc>
          <w:tcPr>
            <w:tcW w:w="1170" w:type="dxa"/>
            <w:vAlign w:val="center"/>
          </w:tcPr>
          <w:p>
            <w:pPr>
              <w:spacing w:line="320" w:lineRule="exact"/>
              <w:rPr>
                <w:rFonts w:ascii="宋体" w:hAnsi="宋体" w:cs="宋体"/>
                <w:szCs w:val="21"/>
              </w:rPr>
            </w:pPr>
          </w:p>
        </w:tc>
      </w:tr>
    </w:tbl>
    <w:p>
      <w:pPr>
        <w:pStyle w:val="2"/>
        <w:jc w:val="both"/>
        <w:rPr>
          <w:rFonts w:hint="default"/>
          <w:lang w:val="en-US" w:eastAsia="zh-CN"/>
        </w:rPr>
      </w:pPr>
    </w:p>
    <w:p>
      <w:pPr>
        <w:keepNext w:val="0"/>
        <w:keepLines w:val="0"/>
        <w:pageBreakBefore w:val="0"/>
        <w:widowControl/>
        <w:kinsoku/>
        <w:wordWrap/>
        <w:overflowPunct/>
        <w:topLinePunct w:val="0"/>
        <w:autoSpaceDE/>
        <w:autoSpaceDN/>
        <w:bidi w:val="0"/>
        <w:adjustRightInd/>
        <w:snapToGrid/>
        <w:spacing w:line="360" w:lineRule="auto"/>
        <w:ind w:right="0" w:rightChars="0"/>
        <w:jc w:val="left"/>
        <w:textAlignment w:val="auto"/>
        <w:outlineLvl w:val="9"/>
        <w:rPr>
          <w:rFonts w:ascii="宋体" w:hAnsi="宋体" w:cs="宋体"/>
          <w:b/>
          <w:bCs/>
          <w:sz w:val="28"/>
          <w:szCs w:val="28"/>
        </w:rPr>
      </w:pPr>
      <w:r>
        <w:rPr>
          <w:rFonts w:hint="eastAsia" w:ascii="宋体" w:hAnsi="宋体" w:cs="宋体"/>
          <w:b/>
          <w:bCs/>
          <w:sz w:val="28"/>
          <w:szCs w:val="28"/>
          <w:lang w:val="en-US" w:eastAsia="zh-CN"/>
        </w:rPr>
        <w:t>3.</w:t>
      </w:r>
      <w:r>
        <w:rPr>
          <w:rFonts w:hint="eastAsia" w:ascii="宋体" w:hAnsi="宋体" w:cs="宋体"/>
          <w:b/>
          <w:bCs/>
          <w:sz w:val="28"/>
          <w:szCs w:val="28"/>
        </w:rPr>
        <w:t>人员和资质要求</w:t>
      </w:r>
    </w:p>
    <w:p>
      <w:pPr>
        <w:spacing w:line="400" w:lineRule="exact"/>
        <w:outlineLvl w:val="4"/>
        <w:rPr>
          <w:rFonts w:ascii="宋体" w:hAnsi="宋体" w:cs="宋体"/>
          <w:b/>
          <w:bCs/>
          <w:sz w:val="24"/>
          <w:szCs w:val="24"/>
        </w:rPr>
      </w:pPr>
      <w:r>
        <w:rPr>
          <w:rFonts w:hint="eastAsia" w:ascii="宋体" w:hAnsi="宋体" w:cs="宋体"/>
          <w:b/>
          <w:bCs/>
          <w:sz w:val="24"/>
          <w:szCs w:val="24"/>
          <w:lang w:val="en-US" w:eastAsia="zh-CN"/>
        </w:rPr>
        <w:t>3.1</w:t>
      </w:r>
      <w:r>
        <w:rPr>
          <w:rFonts w:hint="eastAsia" w:ascii="宋体" w:hAnsi="宋体" w:cs="宋体"/>
          <w:b/>
          <w:bCs/>
          <w:sz w:val="24"/>
          <w:szCs w:val="24"/>
        </w:rPr>
        <w:t>巡视维护人员和资质要求</w:t>
      </w:r>
    </w:p>
    <w:p>
      <w:pPr>
        <w:spacing w:line="400" w:lineRule="exact"/>
        <w:ind w:firstLine="420" w:firstLineChars="200"/>
        <w:rPr>
          <w:rFonts w:ascii="宋体" w:hAnsi="宋体"/>
          <w:color w:val="000000"/>
          <w:szCs w:val="21"/>
        </w:rPr>
      </w:pPr>
      <w:r>
        <w:rPr>
          <w:rFonts w:hint="eastAsia" w:ascii="宋体" w:hAnsi="宋体"/>
          <w:color w:val="000000"/>
          <w:szCs w:val="21"/>
        </w:rPr>
        <w:t>（1） 乙方应根据建筑物构筑物及其附属设备设施日常巡视维护需求配置人员，人员上岗时着装整齐、统一、规范，工作服整洁干净。</w:t>
      </w:r>
    </w:p>
    <w:p>
      <w:pPr>
        <w:spacing w:line="400" w:lineRule="exact"/>
        <w:ind w:firstLine="420" w:firstLineChars="200"/>
        <w:rPr>
          <w:rFonts w:ascii="宋体" w:hAnsi="宋体"/>
          <w:color w:val="000000"/>
          <w:szCs w:val="21"/>
        </w:rPr>
      </w:pPr>
      <w:r>
        <w:rPr>
          <w:rFonts w:hint="eastAsia" w:ascii="宋体" w:hAnsi="宋体"/>
          <w:color w:val="000000"/>
          <w:szCs w:val="21"/>
        </w:rPr>
        <w:t>（2） 服务人员必须经过培训合格方可上岗，涉及电工、焊接、高处作业等特种作业必须取得国家认可资质方可上岗，对达不到工作要求的员工，乙方必须及时调换。</w:t>
      </w:r>
    </w:p>
    <w:p>
      <w:pPr>
        <w:spacing w:line="400" w:lineRule="exact"/>
        <w:ind w:firstLine="420" w:firstLineChars="200"/>
        <w:rPr>
          <w:rFonts w:ascii="宋体" w:hAnsi="宋体"/>
          <w:color w:val="000000"/>
          <w:szCs w:val="21"/>
        </w:rPr>
      </w:pPr>
      <w:r>
        <w:rPr>
          <w:rFonts w:hint="eastAsia" w:ascii="宋体" w:hAnsi="宋体"/>
          <w:color w:val="000000"/>
          <w:szCs w:val="21"/>
        </w:rPr>
        <w:t>（3）乙方应根据建筑物构筑物及其附属设备设施日常巡视维护需求配置人员、工具和物资，规范安全使用，不得引发设备设施安全事件。</w:t>
      </w:r>
    </w:p>
    <w:p>
      <w:pPr>
        <w:spacing w:line="400" w:lineRule="exact"/>
        <w:ind w:firstLine="420" w:firstLineChars="200"/>
        <w:rPr>
          <w:rFonts w:ascii="宋体" w:hAnsi="宋体"/>
          <w:color w:val="000000"/>
          <w:szCs w:val="21"/>
        </w:rPr>
      </w:pPr>
      <w:r>
        <w:rPr>
          <w:rFonts w:hint="eastAsia" w:ascii="宋体" w:hAnsi="宋体"/>
          <w:color w:val="000000"/>
          <w:szCs w:val="21"/>
        </w:rPr>
        <w:t>（4）乙方应建立异常事件应急处置机制，如停水、停电、水管爆裂、电梯困人等。</w:t>
      </w:r>
    </w:p>
    <w:p>
      <w:pPr>
        <w:spacing w:line="400" w:lineRule="exact"/>
        <w:ind w:firstLine="420" w:firstLineChars="200"/>
        <w:rPr>
          <w:rFonts w:ascii="宋体" w:hAnsi="宋体"/>
          <w:color w:val="000000"/>
          <w:szCs w:val="21"/>
        </w:rPr>
      </w:pPr>
      <w:r>
        <w:rPr>
          <w:rFonts w:hint="eastAsia" w:ascii="宋体" w:hAnsi="宋体"/>
          <w:color w:val="000000"/>
          <w:szCs w:val="21"/>
        </w:rPr>
        <w:t>（5）乙方进入生产区域开展巡视维护服务应接受甲方安全规程考核合格，并按规定办理工作票等许可手续。</w:t>
      </w:r>
    </w:p>
    <w:p>
      <w:pPr>
        <w:spacing w:line="400" w:lineRule="exact"/>
        <w:outlineLvl w:val="4"/>
        <w:rPr>
          <w:rFonts w:ascii="宋体" w:hAnsi="宋体" w:cs="宋体"/>
          <w:b/>
          <w:bCs/>
          <w:sz w:val="24"/>
          <w:szCs w:val="24"/>
        </w:rPr>
      </w:pPr>
      <w:r>
        <w:rPr>
          <w:rFonts w:hint="eastAsia" w:ascii="宋体" w:hAnsi="宋体" w:cs="宋体"/>
          <w:b/>
          <w:bCs/>
          <w:sz w:val="24"/>
          <w:szCs w:val="24"/>
          <w:lang w:val="en-US" w:eastAsia="zh-CN"/>
        </w:rPr>
        <w:t>3.2</w:t>
      </w:r>
      <w:r>
        <w:rPr>
          <w:rFonts w:hint="eastAsia" w:ascii="宋体" w:hAnsi="宋体" w:cs="宋体"/>
          <w:b/>
          <w:bCs/>
          <w:sz w:val="24"/>
          <w:szCs w:val="24"/>
        </w:rPr>
        <w:t>保洁服务人员和资质要求</w:t>
      </w:r>
    </w:p>
    <w:p>
      <w:pPr>
        <w:spacing w:line="400" w:lineRule="exact"/>
        <w:ind w:firstLine="420" w:firstLineChars="200"/>
        <w:rPr>
          <w:rFonts w:ascii="宋体" w:hAnsi="宋体"/>
          <w:color w:val="000000"/>
          <w:szCs w:val="21"/>
        </w:rPr>
      </w:pPr>
      <w:r>
        <w:rPr>
          <w:rFonts w:hint="eastAsia" w:ascii="宋体" w:hAnsi="宋体"/>
          <w:color w:val="000000"/>
          <w:szCs w:val="21"/>
        </w:rPr>
        <w:t>（1）乙方应根据保洁需求配置保洁人员，保洁人员上岗时着装整齐、统一、规范，工作服整洁干净。</w:t>
      </w:r>
    </w:p>
    <w:p>
      <w:pPr>
        <w:spacing w:line="400" w:lineRule="exact"/>
        <w:ind w:firstLine="420" w:firstLineChars="200"/>
        <w:rPr>
          <w:rFonts w:ascii="宋体" w:hAnsi="宋体"/>
          <w:color w:val="000000"/>
          <w:szCs w:val="21"/>
        </w:rPr>
      </w:pPr>
      <w:r>
        <w:rPr>
          <w:rFonts w:hint="eastAsia" w:ascii="宋体" w:hAnsi="宋体"/>
          <w:color w:val="000000"/>
          <w:szCs w:val="21"/>
        </w:rPr>
        <w:t>（2）保洁人员必须经过专业培训，合格后方可上岗，对达不到工作要求的员工，乙方必须及时调换。</w:t>
      </w:r>
    </w:p>
    <w:p>
      <w:pPr>
        <w:spacing w:line="400" w:lineRule="exact"/>
        <w:ind w:firstLine="420" w:firstLineChars="200"/>
        <w:rPr>
          <w:rFonts w:ascii="宋体" w:hAnsi="宋体"/>
          <w:color w:val="000000"/>
          <w:szCs w:val="21"/>
        </w:rPr>
      </w:pPr>
      <w:r>
        <w:rPr>
          <w:rFonts w:hint="eastAsia" w:ascii="宋体" w:hAnsi="宋体"/>
          <w:color w:val="000000"/>
          <w:szCs w:val="21"/>
        </w:rPr>
        <w:t>（3）乙方应根据需求配置设备，规范操作，按照固体废弃物、垃圾分类等规定妥善处理垃圾、污水和害虫尸体，不得引发环保事件。</w:t>
      </w:r>
    </w:p>
    <w:p>
      <w:pPr>
        <w:spacing w:line="400" w:lineRule="exact"/>
        <w:ind w:firstLine="420" w:firstLineChars="200"/>
        <w:rPr>
          <w:rFonts w:ascii="宋体" w:hAnsi="宋体"/>
          <w:color w:val="000000"/>
          <w:szCs w:val="21"/>
        </w:rPr>
      </w:pPr>
      <w:r>
        <w:rPr>
          <w:rFonts w:hint="eastAsia" w:ascii="宋体" w:hAnsi="宋体"/>
          <w:color w:val="000000"/>
          <w:szCs w:val="21"/>
        </w:rPr>
        <w:t>（4）乙方进入生产区域开展保洁服务应接受甲方安全规程考核合格，并按规定办理工作票等许可手续。</w:t>
      </w:r>
    </w:p>
    <w:p>
      <w:pPr>
        <w:spacing w:line="400" w:lineRule="exact"/>
        <w:outlineLvl w:val="4"/>
        <w:rPr>
          <w:rFonts w:hint="eastAsia" w:ascii="宋体" w:hAnsi="宋体" w:cs="宋体"/>
          <w:b/>
          <w:bCs/>
          <w:sz w:val="24"/>
          <w:szCs w:val="24"/>
          <w:lang w:val="en-US" w:eastAsia="zh-CN"/>
        </w:rPr>
      </w:pPr>
      <w:r>
        <w:rPr>
          <w:rFonts w:hint="eastAsia" w:ascii="宋体" w:hAnsi="宋体" w:cs="宋体"/>
          <w:b/>
          <w:bCs/>
          <w:sz w:val="24"/>
          <w:szCs w:val="24"/>
          <w:lang w:val="en-US" w:eastAsia="zh-CN"/>
        </w:rPr>
        <w:t>3.3警卫消防服务人员和资质要求</w:t>
      </w:r>
    </w:p>
    <w:p>
      <w:pPr>
        <w:spacing w:line="400" w:lineRule="exact"/>
        <w:ind w:firstLine="420" w:firstLineChars="200"/>
        <w:jc w:val="left"/>
        <w:rPr>
          <w:rFonts w:ascii="宋体" w:hAnsi="宋体"/>
          <w:b w:val="0"/>
          <w:bCs w:val="0"/>
          <w:color w:val="000000"/>
          <w:szCs w:val="21"/>
          <w:u w:val="none"/>
        </w:rPr>
      </w:pPr>
      <w:r>
        <w:rPr>
          <w:rFonts w:hint="eastAsia" w:ascii="宋体" w:hAnsi="宋体"/>
          <w:b w:val="0"/>
          <w:bCs w:val="0"/>
          <w:color w:val="000000"/>
          <w:szCs w:val="21"/>
          <w:u w:val="none"/>
        </w:rPr>
        <w:t>（1）乙方应根据公共秩序维护需求配置人员，人员上岗时着装整齐、统一、规范，工作服整洁干净。</w:t>
      </w:r>
    </w:p>
    <w:p>
      <w:pPr>
        <w:spacing w:line="400" w:lineRule="exact"/>
        <w:ind w:firstLine="420" w:firstLineChars="200"/>
        <w:jc w:val="left"/>
        <w:rPr>
          <w:rFonts w:ascii="宋体" w:hAnsi="宋体"/>
          <w:b w:val="0"/>
          <w:bCs w:val="0"/>
          <w:color w:val="000000"/>
          <w:szCs w:val="21"/>
          <w:u w:val="none"/>
        </w:rPr>
      </w:pPr>
      <w:r>
        <w:rPr>
          <w:rFonts w:hint="eastAsia" w:ascii="宋体" w:hAnsi="宋体"/>
          <w:b w:val="0"/>
          <w:bCs w:val="0"/>
          <w:color w:val="000000"/>
          <w:szCs w:val="21"/>
          <w:u w:val="none"/>
        </w:rPr>
        <w:t>（2）服务人员必须经过培训合格方可上岗，涉及消防设施操作、警卫消防值班、消防车驾驶等必须取得国家认可资质方可上岗，对达不到工作要求的员工，乙方必须及时调换。</w:t>
      </w:r>
    </w:p>
    <w:p>
      <w:pPr>
        <w:spacing w:line="400" w:lineRule="exact"/>
        <w:ind w:firstLine="420" w:firstLineChars="200"/>
        <w:jc w:val="left"/>
        <w:rPr>
          <w:rFonts w:ascii="宋体" w:hAnsi="宋体"/>
          <w:b w:val="0"/>
          <w:bCs w:val="0"/>
          <w:color w:val="000000"/>
          <w:szCs w:val="21"/>
          <w:u w:val="none"/>
        </w:rPr>
      </w:pPr>
      <w:r>
        <w:rPr>
          <w:rFonts w:hint="eastAsia" w:ascii="宋体" w:hAnsi="宋体"/>
          <w:b w:val="0"/>
          <w:bCs w:val="0"/>
          <w:color w:val="000000"/>
          <w:szCs w:val="21"/>
          <w:u w:val="none"/>
        </w:rPr>
        <w:t>（3）乙方应根据需求配置公共秩序维护器械，并规范使用。</w:t>
      </w:r>
    </w:p>
    <w:p>
      <w:pPr>
        <w:spacing w:line="400" w:lineRule="exact"/>
        <w:ind w:firstLine="420" w:firstLineChars="200"/>
        <w:jc w:val="left"/>
        <w:rPr>
          <w:rFonts w:hint="default"/>
          <w:lang w:val="en-US" w:eastAsia="zh-CN"/>
        </w:rPr>
      </w:pPr>
      <w:r>
        <w:rPr>
          <w:rFonts w:hint="eastAsia" w:ascii="宋体" w:hAnsi="宋体"/>
          <w:b w:val="0"/>
          <w:bCs w:val="0"/>
          <w:color w:val="000000"/>
          <w:szCs w:val="21"/>
          <w:u w:val="none"/>
        </w:rPr>
        <w:t>（4）根据地方消防部门管理要求，如涉及“多合一”办公场所（物业权属不同，但共用一套消防系统，消防责任归属不清、职责不明的办公场所），应另行签订《消防责任界面认定书》，进一步明确相关方消防责任。</w:t>
      </w: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olor w:val="000000"/>
          <w:szCs w:val="21"/>
          <w:u w:val="none"/>
          <w:lang w:val="en-US" w:eastAsia="zh-CN"/>
        </w:rPr>
      </w:pPr>
      <w:r>
        <w:rPr>
          <w:rFonts w:hint="eastAsia" w:ascii="宋体" w:hAnsi="宋体"/>
          <w:color w:val="000000"/>
          <w:szCs w:val="21"/>
          <w:u w:val="none"/>
          <w:lang w:val="en-US" w:eastAsia="zh-CN"/>
        </w:rPr>
        <w:t>4.履约评价及扣分说明</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cs="Times New Roman"/>
          <w:b w:val="0"/>
          <w:bCs w:val="0"/>
          <w:color w:val="000000"/>
          <w:kern w:val="2"/>
          <w:sz w:val="21"/>
          <w:szCs w:val="21"/>
          <w:lang w:val="en-US" w:eastAsia="zh-CN" w:bidi="ar-SA"/>
        </w:rPr>
      </w:pPr>
      <w:r>
        <w:rPr>
          <w:rFonts w:hint="eastAsia" w:ascii="宋体" w:hAnsi="宋体" w:eastAsia="宋体" w:cs="Times New Roman"/>
          <w:b w:val="0"/>
          <w:bCs w:val="0"/>
          <w:color w:val="000000"/>
          <w:kern w:val="2"/>
          <w:sz w:val="21"/>
          <w:szCs w:val="21"/>
          <w:lang w:val="en-US" w:eastAsia="zh-CN" w:bidi="ar-SA"/>
        </w:rPr>
        <w:t>4.1各业务模块考核标准见</w:t>
      </w:r>
      <w:r>
        <w:rPr>
          <w:rFonts w:hint="eastAsia" w:ascii="宋体" w:hAnsi="宋体" w:cs="Times New Roman"/>
          <w:b w:val="0"/>
          <w:bCs w:val="0"/>
          <w:color w:val="000000"/>
          <w:kern w:val="2"/>
          <w:sz w:val="21"/>
          <w:szCs w:val="21"/>
          <w:lang w:val="en-US" w:eastAsia="zh-CN" w:bidi="ar-SA"/>
        </w:rPr>
        <w:t>附件1。</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cs="Times New Roman"/>
          <w:b w:val="0"/>
          <w:bCs w:val="0"/>
          <w:color w:val="000000"/>
          <w:kern w:val="2"/>
          <w:sz w:val="21"/>
          <w:szCs w:val="21"/>
          <w:lang w:val="en-US" w:eastAsia="zh-CN" w:bidi="ar-SA"/>
        </w:rPr>
      </w:pPr>
      <w:r>
        <w:rPr>
          <w:rFonts w:hint="eastAsia" w:ascii="宋体" w:hAnsi="宋体" w:cs="Times New Roman"/>
          <w:b w:val="0"/>
          <w:bCs w:val="0"/>
          <w:color w:val="000000"/>
          <w:kern w:val="2"/>
          <w:sz w:val="21"/>
          <w:szCs w:val="21"/>
          <w:lang w:val="en-US" w:eastAsia="zh-CN" w:bidi="ar-SA"/>
        </w:rPr>
        <w:t>4.2如出现乙方出现违反附件1需承担违约责任的，则甲方发出违约责任通知单，由乙方将款项缴纳至甲方指定对公账户。乙方如有异议，应在收到违约通知单3个工作日内提出，异议成立的，甲方撤回违约责任通知单；甲方认为异议不成立的，乙方应按违约责任通知单承担违约责任，如乙方仍有异议，可以按照争议解决条款进行处理，但应先按要求缴纳违约金。乙方拒不缴纳违约金的，甲方有权在最后一次付款时予以扣除。</w:t>
      </w:r>
    </w:p>
    <w:p>
      <w:pPr>
        <w:keepNext w:val="0"/>
        <w:keepLines w:val="0"/>
        <w:pageBreakBefore w:val="0"/>
        <w:widowControl/>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cs="宋体"/>
          <w:b/>
          <w:bCs/>
          <w:sz w:val="28"/>
          <w:szCs w:val="28"/>
          <w:lang w:val="en-US" w:eastAsia="zh-CN"/>
        </w:rPr>
      </w:pPr>
      <w:r>
        <w:rPr>
          <w:rFonts w:hint="eastAsia" w:ascii="宋体" w:hAnsi="宋体" w:cs="宋体"/>
          <w:b/>
          <w:bCs/>
          <w:sz w:val="28"/>
          <w:szCs w:val="28"/>
          <w:lang w:val="en-US" w:eastAsia="zh-CN"/>
        </w:rPr>
        <w:t>5.附件</w:t>
      </w:r>
    </w:p>
    <w:p>
      <w:pPr>
        <w:spacing w:line="400" w:lineRule="exact"/>
        <w:outlineLvl w:val="4"/>
        <w:rPr>
          <w:rFonts w:hint="eastAsia" w:ascii="宋体" w:hAnsi="宋体" w:cs="宋体"/>
          <w:b/>
          <w:bCs/>
          <w:sz w:val="24"/>
          <w:szCs w:val="24"/>
          <w:lang w:val="en-US" w:eastAsia="zh-CN"/>
        </w:rPr>
      </w:pPr>
      <w:r>
        <w:rPr>
          <w:rFonts w:hint="eastAsia" w:ascii="宋体" w:hAnsi="宋体" w:cs="宋体"/>
          <w:b/>
          <w:bCs/>
          <w:sz w:val="24"/>
          <w:szCs w:val="24"/>
          <w:lang w:val="en-US" w:eastAsia="zh-CN"/>
        </w:rPr>
        <w:t>5.1附件1</w:t>
      </w:r>
    </w:p>
    <w:p>
      <w:pPr>
        <w:pStyle w:val="2"/>
        <w:rPr>
          <w:rFonts w:hint="default"/>
          <w:lang w:val="en-US" w:eastAsia="zh-CN"/>
        </w:rPr>
      </w:pPr>
      <w:r>
        <w:rPr>
          <w:rFonts w:hint="eastAsia"/>
          <w:lang w:val="en-US" w:eastAsia="zh-CN"/>
        </w:rPr>
        <w:t>物业服务违约考核条款</w:t>
      </w:r>
    </w:p>
    <w:tbl>
      <w:tblPr>
        <w:tblStyle w:val="7"/>
        <w:tblW w:w="878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0"/>
        <w:gridCol w:w="5596"/>
        <w:gridCol w:w="7"/>
        <w:gridCol w:w="2016"/>
        <w:gridCol w:w="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 w:type="dxa"/>
          <w:trHeight w:val="1960" w:hRule="atLeast"/>
        </w:trPr>
        <w:tc>
          <w:tcPr>
            <w:tcW w:w="1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物业维修维护（建筑物构筑物维护）</w:t>
            </w:r>
          </w:p>
        </w:tc>
        <w:tc>
          <w:tcPr>
            <w:tcW w:w="5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1.乙方施工作业过程中发生事故的，按事故调查结果，承担相应违约责任：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发生有责任的人身事故：较轻人身事故，每项次承担违约金1000元；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一般以上人身事故，每项次承担违约金3000元；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较大及以上人身事故，每项次承担违约金5000元-200000元。</w:t>
            </w:r>
          </w:p>
        </w:tc>
        <w:tc>
          <w:tcPr>
            <w:tcW w:w="2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 w:type="dxa"/>
          <w:trHeight w:val="5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2.乙方维护不当或不到位，导致甲方受到政府监管部门处罚的，由乙方承担赔偿责任。</w:t>
            </w:r>
          </w:p>
        </w:tc>
        <w:tc>
          <w:tcPr>
            <w:tcW w:w="2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 w:type="dxa"/>
          <w:trHeight w:val="5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3.乙方施工作业过程中发生中国南方电网公司所列A、B类施工作业违章行为的。</w:t>
            </w:r>
          </w:p>
        </w:tc>
        <w:tc>
          <w:tcPr>
            <w:tcW w:w="2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 w:type="dxa"/>
          <w:trHeight w:val="84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4.乙方施工作业人员资质不满足要求，违反特种作业要求，施工作业过程中存在中国南方电网公司所列A、B类以外施工作业违章行为的。</w:t>
            </w:r>
          </w:p>
        </w:tc>
        <w:tc>
          <w:tcPr>
            <w:tcW w:w="2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 w:type="dxa"/>
          <w:trHeight w:val="5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5.乙方施工作业不规范造成甲方损害或第三方损害的，由乙方承担赔偿责任。</w:t>
            </w:r>
          </w:p>
        </w:tc>
        <w:tc>
          <w:tcPr>
            <w:tcW w:w="2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gridAfter w:val="1"/>
          <w:wAfter w:w="9" w:type="dxa"/>
          <w:trHeight w:val="5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6.乙方所提供的物资质量不满足要求，出现以次充好、“三无”产品等；或造成甲方投诉的。</w:t>
            </w:r>
          </w:p>
        </w:tc>
        <w:tc>
          <w:tcPr>
            <w:tcW w:w="2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 w:type="dxa"/>
          <w:trHeight w:val="112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7.缺陷或工单处理超期，并未取得甲方同意延期的：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立行立改缺陷（缺陷紧急或可立即处理）：3日；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一般缺陷（缺陷复杂且可自行处理）：7日，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重大缺陷（缺陷重大或需外委处理）：30日。</w:t>
            </w:r>
          </w:p>
        </w:tc>
        <w:tc>
          <w:tcPr>
            <w:tcW w:w="2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 w:type="dxa"/>
          <w:trHeight w:val="5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8.乙方相关记录存在作假行为的，每项次承担违约金300元；若为甲方上级公司检查发现的，则双倍承担违约金。</w:t>
            </w:r>
          </w:p>
        </w:tc>
        <w:tc>
          <w:tcPr>
            <w:tcW w:w="2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200元/项次；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 w:type="dxa"/>
          <w:trHeight w:val="68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5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9.乙方巡视检查、日常维护质量不满足要求，应发现缺陷而未发现的或发现缺陷未记录并报告甲方的。</w:t>
            </w:r>
          </w:p>
        </w:tc>
        <w:tc>
          <w:tcPr>
            <w:tcW w:w="2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保洁服务</w:t>
            </w:r>
          </w:p>
        </w:tc>
        <w:tc>
          <w:tcPr>
            <w:tcW w:w="5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1.乙方垃圾、污水、害虫尸体等处置不当引发环保事件。</w:t>
            </w:r>
          </w:p>
        </w:tc>
        <w:tc>
          <w:tcPr>
            <w:tcW w:w="202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2.乙方履约记录存在虚列保洁操作等作假记录。</w:t>
            </w:r>
          </w:p>
        </w:tc>
        <w:tc>
          <w:tcPr>
            <w:tcW w:w="202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6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3.乙方未按照技术规范书所列保洁标准进行保洁，造成甲方投诉，或检查发现当日仍未处理的。</w:t>
            </w:r>
          </w:p>
        </w:tc>
        <w:tc>
          <w:tcPr>
            <w:tcW w:w="202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1.5.警卫消防服务</w:t>
            </w:r>
          </w:p>
        </w:tc>
        <w:tc>
          <w:tcPr>
            <w:tcW w:w="5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1.因乙方巡查不到位等原因导致发生盗窃事件的。</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2.乙方安保、消防人员未按合同要求履行应急处置相关职责的。</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3.乙方安保、消防人员资质、配置不满足职业准入资格及合同要求的，每人次承担违约金500元，并限期完成整改。</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500元/人次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4.乙方违反甲方规定放行人员、车辆或物资。</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500元/项次，损失另计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5.乙方安保</w:t>
            </w:r>
            <w:r>
              <w:rPr>
                <w:rFonts w:hint="eastAsia" w:ascii="宋体" w:hAnsi="宋体" w:cs="宋体"/>
                <w:i w:val="0"/>
                <w:iCs w:val="0"/>
                <w:color w:val="000000"/>
                <w:kern w:val="0"/>
                <w:sz w:val="22"/>
                <w:szCs w:val="22"/>
                <w:u w:val="none"/>
                <w:lang w:val="en-US" w:eastAsia="zh-CN" w:bidi="ar"/>
              </w:rPr>
              <w:t>、执勤</w:t>
            </w:r>
            <w:r>
              <w:rPr>
                <w:rFonts w:hint="eastAsia" w:ascii="宋体" w:hAnsi="宋体" w:eastAsia="宋体" w:cs="宋体"/>
                <w:i w:val="0"/>
                <w:iCs w:val="0"/>
                <w:color w:val="000000"/>
                <w:kern w:val="0"/>
                <w:sz w:val="22"/>
                <w:szCs w:val="22"/>
                <w:u w:val="none"/>
                <w:lang w:val="en-US" w:eastAsia="zh-CN" w:bidi="ar"/>
              </w:rPr>
              <w:t>人员仪容仪表、行为规范等不符合后勤管理“521”体系标准，或安保</w:t>
            </w:r>
            <w:r>
              <w:rPr>
                <w:rFonts w:hint="eastAsia" w:ascii="宋体" w:hAnsi="宋体" w:cs="宋体"/>
                <w:i w:val="0"/>
                <w:iCs w:val="0"/>
                <w:color w:val="000000"/>
                <w:kern w:val="0"/>
                <w:sz w:val="22"/>
                <w:szCs w:val="22"/>
                <w:u w:val="none"/>
                <w:lang w:val="en-US" w:eastAsia="zh-CN" w:bidi="ar"/>
              </w:rPr>
              <w:t>、执勤</w:t>
            </w:r>
            <w:r>
              <w:rPr>
                <w:rFonts w:hint="eastAsia" w:ascii="宋体" w:hAnsi="宋体" w:eastAsia="宋体" w:cs="宋体"/>
                <w:i w:val="0"/>
                <w:iCs w:val="0"/>
                <w:color w:val="000000"/>
                <w:kern w:val="0"/>
                <w:sz w:val="22"/>
                <w:szCs w:val="22"/>
                <w:u w:val="none"/>
                <w:lang w:val="en-US" w:eastAsia="zh-CN" w:bidi="ar"/>
              </w:rPr>
              <w:t>人员发生睡岗、脱岗、酒后上岗等违反执勤纪律事项的，每项次承担违约金100元；造成不良影响的，或造成甲方投诉的，每项次承担违约金200元。</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100元/项次；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6.乙方履约记录存在虚列警卫消防巡查检查、操作等作假记录。</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7.乙方安保人员未按技术规范书规定检查巡查，执行标准不到位，或检查巡查流于形式，应发现缺陷而未发现的或发现缺陷未记录并报告处置的。</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8.乙方交通引导、交通秩序维护不到位，所辖区域内车辆乱停乱放、车辆堵塞严重；或造成甲方投诉的。</w:t>
            </w:r>
          </w:p>
        </w:tc>
        <w:tc>
          <w:tcPr>
            <w:tcW w:w="2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50元/项次</w:t>
            </w:r>
          </w:p>
        </w:tc>
      </w:tr>
    </w:tbl>
    <w:p>
      <w:pPr>
        <w:pStyle w:val="2"/>
        <w:jc w:val="both"/>
        <w:rPr>
          <w:rFonts w:hint="eastAsia"/>
          <w:lang w:val="en-US" w:eastAsia="zh-CN"/>
        </w:rPr>
      </w:pPr>
    </w:p>
    <w:p>
      <w:pPr>
        <w:pStyle w:val="2"/>
        <w:jc w:val="both"/>
        <w:rPr>
          <w:rFonts w:hint="default" w:cs="Times New Roman"/>
          <w:lang w:val="en-US" w:eastAsia="zh-CN"/>
        </w:rPr>
      </w:pPr>
      <w:r>
        <w:rPr>
          <w:rFonts w:hint="eastAsia" w:cs="Times New Roman"/>
          <w:lang w:val="en-US" w:eastAsia="zh-CN"/>
        </w:rPr>
        <w:t>5.3附件2</w:t>
      </w:r>
    </w:p>
    <w:p>
      <w:pPr>
        <w:jc w:val="center"/>
        <w:rPr>
          <w:rFonts w:ascii="宋体" w:hAnsi="宋体" w:cs="宋体"/>
          <w:b/>
          <w:bCs/>
          <w:sz w:val="24"/>
          <w:szCs w:val="24"/>
        </w:rPr>
      </w:pPr>
      <w:r>
        <w:rPr>
          <w:rFonts w:hint="eastAsia" w:ascii="宋体" w:hAnsi="宋体" w:cs="宋体"/>
          <w:b/>
          <w:bCs/>
          <w:sz w:val="24"/>
          <w:szCs w:val="24"/>
          <w:lang w:val="en-US" w:eastAsia="zh-CN"/>
        </w:rPr>
        <w:t>物业</w:t>
      </w:r>
      <w:r>
        <w:rPr>
          <w:rFonts w:hint="eastAsia" w:ascii="宋体" w:hAnsi="宋体" w:cs="宋体"/>
          <w:b/>
          <w:bCs/>
          <w:sz w:val="24"/>
          <w:szCs w:val="24"/>
        </w:rPr>
        <w:t>服务</w:t>
      </w:r>
      <w:r>
        <w:rPr>
          <w:rFonts w:hint="eastAsia" w:ascii="宋体" w:hAnsi="宋体" w:cs="宋体"/>
          <w:b/>
          <w:bCs/>
          <w:sz w:val="24"/>
          <w:szCs w:val="24"/>
          <w:lang w:eastAsia="zh-CN"/>
        </w:rPr>
        <w:t>违约</w:t>
      </w:r>
      <w:r>
        <w:rPr>
          <w:rFonts w:hint="eastAsia" w:ascii="宋体" w:hAnsi="宋体" w:cs="宋体"/>
          <w:b/>
          <w:bCs/>
          <w:sz w:val="24"/>
          <w:szCs w:val="24"/>
          <w:lang w:val="en-US" w:eastAsia="zh-CN"/>
        </w:rPr>
        <w:t>责任</w:t>
      </w:r>
      <w:r>
        <w:rPr>
          <w:rFonts w:hint="eastAsia" w:ascii="宋体" w:hAnsi="宋体" w:cs="宋体"/>
          <w:b/>
          <w:bCs/>
          <w:sz w:val="24"/>
          <w:szCs w:val="24"/>
        </w:rPr>
        <w:t>通知单</w:t>
      </w:r>
    </w:p>
    <w:p>
      <w:pPr>
        <w:wordWrap w:val="0"/>
        <w:jc w:val="right"/>
        <w:rPr>
          <w:rFonts w:ascii="宋体" w:hAnsi="宋体" w:cs="宋体"/>
          <w:b/>
          <w:bCs/>
          <w:sz w:val="24"/>
          <w:szCs w:val="24"/>
        </w:rPr>
      </w:pPr>
      <w:r>
        <w:rPr>
          <w:rFonts w:hint="eastAsia" w:ascii="宋体" w:hAnsi="宋体" w:cs="宋体"/>
          <w:b/>
          <w:bCs/>
          <w:sz w:val="24"/>
          <w:szCs w:val="24"/>
        </w:rPr>
        <w:t>20</w:t>
      </w:r>
      <w:r>
        <w:rPr>
          <w:rFonts w:hint="eastAsia" w:ascii="宋体" w:hAnsi="宋体" w:cs="宋体"/>
          <w:b/>
          <w:bCs/>
          <w:sz w:val="24"/>
          <w:szCs w:val="24"/>
          <w:u w:val="single"/>
          <w:lang w:val="en-US" w:eastAsia="zh-CN"/>
        </w:rPr>
        <w:t xml:space="preserve">   </w:t>
      </w:r>
      <w:r>
        <w:rPr>
          <w:rFonts w:hint="eastAsia" w:ascii="宋体" w:hAnsi="宋体" w:cs="宋体"/>
          <w:b/>
          <w:bCs/>
          <w:sz w:val="24"/>
          <w:szCs w:val="24"/>
        </w:rPr>
        <w:t>第</w:t>
      </w:r>
      <w:r>
        <w:rPr>
          <w:rFonts w:hint="eastAsia" w:ascii="宋体" w:hAnsi="宋体" w:cs="宋体"/>
          <w:b/>
          <w:bCs/>
          <w:sz w:val="24"/>
          <w:szCs w:val="24"/>
          <w:u w:val="single"/>
          <w:lang w:val="en-US" w:eastAsia="zh-CN"/>
        </w:rPr>
        <w:t xml:space="preserve">   </w:t>
      </w:r>
      <w:r>
        <w:rPr>
          <w:rFonts w:hint="eastAsia" w:ascii="宋体" w:hAnsi="宋体" w:cs="宋体"/>
          <w:b/>
          <w:bCs/>
          <w:sz w:val="24"/>
          <w:szCs w:val="24"/>
        </w:rPr>
        <w:t xml:space="preserve">号 </w:t>
      </w:r>
    </w:p>
    <w:tbl>
      <w:tblPr>
        <w:tblStyle w:val="7"/>
        <w:tblW w:w="0" w:type="auto"/>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7"/>
        <w:gridCol w:w="2882"/>
        <w:gridCol w:w="1770"/>
        <w:gridCol w:w="2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847" w:type="dxa"/>
            <w:noWrap w:val="0"/>
            <w:vAlign w:val="center"/>
          </w:tcPr>
          <w:p>
            <w:pPr>
              <w:jc w:val="center"/>
              <w:rPr>
                <w:rFonts w:hint="eastAsia" w:ascii="宋体" w:hAnsi="宋体" w:eastAsia="宋体" w:cs="宋体"/>
                <w:bCs/>
                <w:szCs w:val="21"/>
                <w:lang w:eastAsia="zh-CN"/>
              </w:rPr>
            </w:pPr>
            <w:r>
              <w:rPr>
                <w:rFonts w:hint="eastAsia" w:ascii="宋体" w:hAnsi="宋体" w:cs="宋体"/>
                <w:bCs/>
                <w:szCs w:val="21"/>
                <w:lang w:eastAsia="zh-CN"/>
              </w:rPr>
              <w:t>违约</w:t>
            </w:r>
            <w:r>
              <w:rPr>
                <w:rFonts w:hint="eastAsia" w:ascii="宋体" w:hAnsi="宋体" w:cs="宋体"/>
                <w:bCs/>
                <w:szCs w:val="21"/>
                <w:lang w:val="en-US" w:eastAsia="zh-CN"/>
              </w:rPr>
              <w:t>业务</w:t>
            </w:r>
            <w:r>
              <w:rPr>
                <w:rFonts w:hint="eastAsia" w:ascii="宋体" w:hAnsi="宋体" w:cs="宋体"/>
                <w:bCs/>
                <w:szCs w:val="21"/>
                <w:lang w:eastAsia="zh-CN"/>
              </w:rPr>
              <w:t>事项</w:t>
            </w:r>
          </w:p>
        </w:tc>
        <w:tc>
          <w:tcPr>
            <w:tcW w:w="2882" w:type="dxa"/>
            <w:noWrap w:val="0"/>
            <w:vAlign w:val="center"/>
          </w:tcPr>
          <w:p>
            <w:pPr>
              <w:rPr>
                <w:rFonts w:ascii="宋体" w:hAnsi="宋体" w:cs="宋体"/>
                <w:bCs/>
                <w:szCs w:val="21"/>
              </w:rPr>
            </w:pPr>
          </w:p>
        </w:tc>
        <w:tc>
          <w:tcPr>
            <w:tcW w:w="1770" w:type="dxa"/>
            <w:noWrap w:val="0"/>
            <w:vAlign w:val="center"/>
          </w:tcPr>
          <w:p>
            <w:pPr>
              <w:jc w:val="center"/>
              <w:rPr>
                <w:rFonts w:ascii="宋体" w:hAnsi="宋体" w:cs="宋体"/>
                <w:bCs/>
                <w:szCs w:val="21"/>
              </w:rPr>
            </w:pPr>
            <w:r>
              <w:rPr>
                <w:rFonts w:hint="eastAsia" w:ascii="宋体" w:hAnsi="宋体" w:cs="宋体"/>
                <w:bCs/>
                <w:szCs w:val="21"/>
              </w:rPr>
              <w:t>发现日期</w:t>
            </w:r>
          </w:p>
        </w:tc>
        <w:tc>
          <w:tcPr>
            <w:tcW w:w="2123" w:type="dxa"/>
            <w:noWrap w:val="0"/>
            <w:vAlign w:val="center"/>
          </w:tcPr>
          <w:p>
            <w:pPr>
              <w:jc w:val="left"/>
              <w:rPr>
                <w:rFonts w:ascii="宋体" w:hAnsi="宋体" w:cs="宋体"/>
                <w:bCs/>
                <w:szCs w:val="21"/>
              </w:rPr>
            </w:pPr>
            <w:r>
              <w:rPr>
                <w:rFonts w:hint="eastAsia" w:ascii="宋体" w:hAnsi="宋体" w:cs="宋体"/>
                <w:bCs/>
                <w:szCs w:val="21"/>
                <w:lang w:val="en-US" w:eastAsia="zh-CN"/>
              </w:rPr>
              <w:t xml:space="preserve">     </w:t>
            </w:r>
            <w:r>
              <w:rPr>
                <w:rFonts w:ascii="宋体" w:hAnsi="宋体" w:cs="宋体"/>
                <w:bCs/>
                <w:szCs w:val="21"/>
              </w:rPr>
              <w:t>年</w:t>
            </w:r>
            <w:r>
              <w:rPr>
                <w:rFonts w:hint="eastAsia" w:ascii="宋体" w:hAnsi="宋体" w:cs="宋体"/>
                <w:bCs/>
                <w:szCs w:val="21"/>
                <w:lang w:val="en-US" w:eastAsia="zh-CN"/>
              </w:rPr>
              <w:t xml:space="preserve">  </w:t>
            </w:r>
            <w:r>
              <w:rPr>
                <w:rFonts w:ascii="宋体" w:hAnsi="宋体" w:cs="宋体"/>
                <w:bCs/>
                <w:szCs w:val="21"/>
              </w:rPr>
              <w:t>月</w:t>
            </w:r>
            <w:r>
              <w:rPr>
                <w:rFonts w:hint="eastAsia" w:ascii="宋体" w:hAnsi="宋体" w:cs="宋体"/>
                <w:bCs/>
                <w:szCs w:val="21"/>
                <w:lang w:val="en-US" w:eastAsia="zh-CN"/>
              </w:rPr>
              <w:t xml:space="preserve">  </w:t>
            </w:r>
            <w:r>
              <w:rPr>
                <w:rFonts w:ascii="宋体" w:hAnsi="宋体" w:cs="宋体"/>
                <w:bCs/>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1847" w:type="dxa"/>
            <w:noWrap w:val="0"/>
            <w:vAlign w:val="center"/>
          </w:tcPr>
          <w:p>
            <w:pPr>
              <w:jc w:val="center"/>
              <w:rPr>
                <w:rFonts w:hint="eastAsia" w:ascii="宋体" w:hAnsi="宋体" w:eastAsia="宋体" w:cs="宋体"/>
                <w:bCs/>
                <w:szCs w:val="21"/>
                <w:lang w:eastAsia="zh-CN"/>
              </w:rPr>
            </w:pPr>
            <w:r>
              <w:rPr>
                <w:rFonts w:hint="eastAsia" w:ascii="宋体" w:hAnsi="宋体" w:cs="宋体"/>
                <w:bCs/>
                <w:szCs w:val="21"/>
                <w:lang w:eastAsia="zh-CN"/>
              </w:rPr>
              <w:t>发现问题来源</w:t>
            </w:r>
          </w:p>
        </w:tc>
        <w:tc>
          <w:tcPr>
            <w:tcW w:w="6775" w:type="dxa"/>
            <w:gridSpan w:val="3"/>
            <w:noWrap w:val="0"/>
            <w:vAlign w:val="center"/>
          </w:tcPr>
          <w:p>
            <w:pPr>
              <w:numPr>
                <w:ilvl w:val="0"/>
                <w:numId w:val="0"/>
              </w:numPr>
              <w:autoSpaceDE w:val="0"/>
              <w:autoSpaceDN w:val="0"/>
              <w:adjustRightInd w:val="0"/>
              <w:spacing w:line="287" w:lineRule="auto"/>
              <w:jc w:val="left"/>
              <w:rPr>
                <w:rFonts w:hint="eastAsia" w:ascii="宋体" w:hAnsi="宋体" w:cs="宋体"/>
                <w:bCs/>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7" w:hRule="atLeast"/>
        </w:trPr>
        <w:tc>
          <w:tcPr>
            <w:tcW w:w="1847" w:type="dxa"/>
            <w:noWrap w:val="0"/>
            <w:vAlign w:val="center"/>
          </w:tcPr>
          <w:p>
            <w:pPr>
              <w:jc w:val="center"/>
              <w:rPr>
                <w:rFonts w:hint="eastAsia" w:ascii="宋体" w:hAnsi="宋体" w:cs="宋体"/>
                <w:bCs/>
                <w:szCs w:val="21"/>
              </w:rPr>
            </w:pPr>
            <w:r>
              <w:rPr>
                <w:rFonts w:hint="eastAsia" w:ascii="宋体" w:hAnsi="宋体" w:cs="宋体"/>
                <w:bCs/>
                <w:szCs w:val="21"/>
              </w:rPr>
              <w:t>问题描述</w:t>
            </w:r>
          </w:p>
          <w:p>
            <w:pPr>
              <w:jc w:val="center"/>
              <w:rPr>
                <w:rFonts w:hint="eastAsia" w:ascii="宋体" w:hAnsi="宋体" w:eastAsia="宋体" w:cs="宋体"/>
                <w:bCs/>
                <w:szCs w:val="21"/>
                <w:lang w:eastAsia="zh-CN"/>
              </w:rPr>
            </w:pPr>
            <w:r>
              <w:rPr>
                <w:rFonts w:hint="eastAsia" w:ascii="宋体" w:hAnsi="宋体" w:cs="宋体"/>
                <w:bCs/>
                <w:szCs w:val="21"/>
                <w:lang w:eastAsia="zh-CN"/>
              </w:rPr>
              <w:t>（</w:t>
            </w:r>
            <w:r>
              <w:rPr>
                <w:rFonts w:hint="eastAsia" w:ascii="宋体" w:hAnsi="宋体" w:cs="宋体"/>
                <w:bCs/>
                <w:szCs w:val="21"/>
                <w:lang w:val="en-US" w:eastAsia="zh-CN"/>
              </w:rPr>
              <w:t>可附图</w:t>
            </w:r>
            <w:r>
              <w:rPr>
                <w:rFonts w:hint="eastAsia" w:ascii="宋体" w:hAnsi="宋体" w:cs="宋体"/>
                <w:bCs/>
                <w:szCs w:val="21"/>
                <w:lang w:eastAsia="zh-CN"/>
              </w:rPr>
              <w:t>）</w:t>
            </w:r>
          </w:p>
        </w:tc>
        <w:tc>
          <w:tcPr>
            <w:tcW w:w="6775" w:type="dxa"/>
            <w:gridSpan w:val="3"/>
            <w:noWrap w:val="0"/>
            <w:vAlign w:val="top"/>
          </w:tcPr>
          <w:p>
            <w:pPr>
              <w:numPr>
                <w:ilvl w:val="0"/>
                <w:numId w:val="0"/>
              </w:numPr>
              <w:autoSpaceDE w:val="0"/>
              <w:autoSpaceDN w:val="0"/>
              <w:adjustRightInd w:val="0"/>
              <w:spacing w:line="287" w:lineRule="auto"/>
              <w:jc w:val="both"/>
              <w:rPr>
                <w:rFonts w:hint="eastAsia" w:ascii="宋体" w:hAnsi="宋体" w:cs="宋体"/>
                <w:bCs/>
                <w:szCs w:val="21"/>
                <w:lang w:val="en-US" w:eastAsia="zh-CN"/>
              </w:rPr>
            </w:pPr>
            <w:r>
              <w:rPr>
                <w:rFonts w:hint="eastAsia" w:ascii="宋体" w:hAnsi="宋体" w:cs="宋体"/>
                <w:bCs/>
                <w:szCs w:val="21"/>
                <w:lang w:val="en-US" w:eastAsia="zh-CN"/>
              </w:rPr>
              <w:t>1.违约事实：</w:t>
            </w:r>
          </w:p>
          <w:p>
            <w:pPr>
              <w:numPr>
                <w:ilvl w:val="0"/>
                <w:numId w:val="0"/>
              </w:numPr>
              <w:autoSpaceDE w:val="0"/>
              <w:autoSpaceDN w:val="0"/>
              <w:adjustRightInd w:val="0"/>
              <w:spacing w:line="287" w:lineRule="auto"/>
              <w:jc w:val="both"/>
              <w:rPr>
                <w:rFonts w:hint="eastAsia" w:ascii="宋体" w:hAnsi="宋体" w:cs="宋体"/>
                <w:bCs/>
                <w:szCs w:val="21"/>
                <w:lang w:val="en-US" w:eastAsia="zh-CN"/>
              </w:rPr>
            </w:pPr>
          </w:p>
          <w:p>
            <w:pPr>
              <w:numPr>
                <w:ilvl w:val="0"/>
                <w:numId w:val="0"/>
              </w:numPr>
              <w:autoSpaceDE w:val="0"/>
              <w:autoSpaceDN w:val="0"/>
              <w:adjustRightInd w:val="0"/>
              <w:spacing w:line="287" w:lineRule="auto"/>
              <w:jc w:val="both"/>
              <w:rPr>
                <w:rFonts w:hint="eastAsia" w:ascii="宋体" w:hAnsi="宋体" w:cs="宋体"/>
                <w:bCs/>
                <w:szCs w:val="21"/>
                <w:lang w:val="en-US" w:eastAsia="zh-CN"/>
              </w:rPr>
            </w:pPr>
          </w:p>
          <w:p>
            <w:pPr>
              <w:numPr>
                <w:ilvl w:val="0"/>
                <w:numId w:val="0"/>
              </w:numPr>
              <w:autoSpaceDE w:val="0"/>
              <w:autoSpaceDN w:val="0"/>
              <w:adjustRightInd w:val="0"/>
              <w:spacing w:line="287" w:lineRule="auto"/>
              <w:jc w:val="both"/>
              <w:rPr>
                <w:rFonts w:hint="eastAsia" w:ascii="宋体" w:hAnsi="宋体" w:cs="宋体"/>
                <w:bCs/>
                <w:szCs w:val="21"/>
                <w:lang w:val="en-US" w:eastAsia="zh-CN"/>
              </w:rPr>
            </w:pPr>
            <w:r>
              <w:rPr>
                <w:rFonts w:hint="eastAsia" w:ascii="宋体" w:hAnsi="宋体" w:cs="宋体"/>
                <w:bCs/>
                <w:szCs w:val="21"/>
                <w:lang w:val="en-US" w:eastAsia="zh-CN"/>
              </w:rPr>
              <w:t>2.违约责任条款：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1" w:hRule="atLeast"/>
        </w:trPr>
        <w:tc>
          <w:tcPr>
            <w:tcW w:w="1847" w:type="dxa"/>
            <w:noWrap w:val="0"/>
            <w:vAlign w:val="center"/>
          </w:tcPr>
          <w:p>
            <w:pPr>
              <w:jc w:val="center"/>
              <w:rPr>
                <w:rFonts w:ascii="宋体" w:hAnsi="宋体" w:cs="宋体"/>
                <w:bCs/>
                <w:szCs w:val="21"/>
              </w:rPr>
            </w:pPr>
            <w:r>
              <w:rPr>
                <w:rFonts w:hint="eastAsia" w:ascii="宋体" w:hAnsi="宋体" w:cs="宋体"/>
                <w:bCs/>
                <w:szCs w:val="21"/>
              </w:rPr>
              <w:t>整改要求</w:t>
            </w:r>
          </w:p>
        </w:tc>
        <w:tc>
          <w:tcPr>
            <w:tcW w:w="6775" w:type="dxa"/>
            <w:gridSpan w:val="3"/>
            <w:noWrap w:val="0"/>
            <w:vAlign w:val="center"/>
          </w:tcPr>
          <w:p>
            <w:pPr>
              <w:pStyle w:val="11"/>
              <w:ind w:firstLine="428" w:firstLineChars="204"/>
              <w:jc w:val="left"/>
              <w:rPr>
                <w:rFonts w:hint="eastAsia" w:ascii="宋体" w:hAnsi="宋体" w:cs="宋体"/>
                <w:bCs/>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trPr>
        <w:tc>
          <w:tcPr>
            <w:tcW w:w="1847" w:type="dxa"/>
            <w:noWrap w:val="0"/>
            <w:vAlign w:val="center"/>
          </w:tcPr>
          <w:p>
            <w:pPr>
              <w:jc w:val="center"/>
              <w:rPr>
                <w:rFonts w:ascii="宋体" w:hAnsi="宋体" w:cs="宋体"/>
                <w:bCs/>
                <w:szCs w:val="21"/>
              </w:rPr>
            </w:pPr>
            <w:r>
              <w:rPr>
                <w:rFonts w:hint="eastAsia" w:ascii="宋体" w:hAnsi="宋体" w:cs="宋体"/>
                <w:bCs/>
                <w:szCs w:val="21"/>
              </w:rPr>
              <w:t>违约金</w:t>
            </w:r>
            <w:r>
              <w:rPr>
                <w:rFonts w:hint="eastAsia" w:ascii="宋体" w:hAnsi="宋体" w:cs="宋体"/>
                <w:bCs/>
                <w:szCs w:val="21"/>
                <w:lang w:eastAsia="zh-CN"/>
              </w:rPr>
              <w:t>（元）</w:t>
            </w:r>
          </w:p>
        </w:tc>
        <w:tc>
          <w:tcPr>
            <w:tcW w:w="6775" w:type="dxa"/>
            <w:gridSpan w:val="3"/>
            <w:noWrap w:val="0"/>
            <w:vAlign w:val="center"/>
          </w:tcPr>
          <w:p>
            <w:pP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trPr>
        <w:tc>
          <w:tcPr>
            <w:tcW w:w="1847" w:type="dxa"/>
            <w:noWrap w:val="0"/>
            <w:vAlign w:val="center"/>
          </w:tcPr>
          <w:p>
            <w:pPr>
              <w:jc w:val="center"/>
              <w:rPr>
                <w:rFonts w:hint="eastAsia" w:ascii="宋体" w:hAnsi="宋体" w:eastAsia="宋体" w:cs="宋体"/>
                <w:bCs/>
                <w:szCs w:val="21"/>
                <w:lang w:val="en-US" w:eastAsia="zh-CN"/>
              </w:rPr>
            </w:pPr>
            <w:r>
              <w:rPr>
                <w:rFonts w:hint="eastAsia" w:ascii="宋体" w:hAnsi="宋体" w:cs="宋体"/>
                <w:bCs/>
                <w:szCs w:val="21"/>
                <w:lang w:val="en-US" w:eastAsia="zh-CN"/>
              </w:rPr>
              <w:t>缴纳对公账户</w:t>
            </w:r>
          </w:p>
        </w:tc>
        <w:tc>
          <w:tcPr>
            <w:tcW w:w="6775"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cs="宋体"/>
                <w:bCs/>
                <w:szCs w:val="21"/>
                <w:lang w:val="en-US" w:eastAsia="zh-CN"/>
              </w:rPr>
            </w:pPr>
            <w:r>
              <w:rPr>
                <w:rFonts w:hint="eastAsia" w:ascii="宋体" w:hAnsi="宋体" w:cs="宋体"/>
                <w:bCs/>
                <w:szCs w:val="21"/>
                <w:lang w:val="en-US" w:eastAsia="zh-CN"/>
              </w:rPr>
              <w:t>账户名称：</w:t>
            </w:r>
          </w:p>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cs="宋体"/>
                <w:bCs/>
                <w:szCs w:val="21"/>
                <w:lang w:val="en-US" w:eastAsia="zh-CN"/>
              </w:rPr>
            </w:pPr>
            <w:r>
              <w:rPr>
                <w:rFonts w:hint="eastAsia" w:ascii="宋体" w:hAnsi="宋体" w:cs="宋体"/>
                <w:bCs/>
                <w:szCs w:val="21"/>
                <w:lang w:val="en-US" w:eastAsia="zh-CN"/>
              </w:rPr>
              <w:t>开户行及账号：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47" w:type="dxa"/>
            <w:noWrap w:val="0"/>
            <w:vAlign w:val="center"/>
          </w:tcPr>
          <w:p>
            <w:pPr>
              <w:jc w:val="center"/>
              <w:rPr>
                <w:rFonts w:ascii="宋体" w:hAnsi="宋体" w:cs="宋体"/>
                <w:bCs/>
                <w:szCs w:val="21"/>
              </w:rPr>
            </w:pPr>
            <w:r>
              <w:rPr>
                <w:rFonts w:hint="eastAsia" w:ascii="宋体" w:hAnsi="宋体" w:cs="宋体"/>
                <w:bCs/>
                <w:szCs w:val="21"/>
              </w:rPr>
              <w:t>甲方签发负责人</w:t>
            </w:r>
          </w:p>
        </w:tc>
        <w:tc>
          <w:tcPr>
            <w:tcW w:w="2882" w:type="dxa"/>
            <w:noWrap w:val="0"/>
            <w:vAlign w:val="center"/>
          </w:tcPr>
          <w:p>
            <w:pPr>
              <w:rPr>
                <w:rFonts w:ascii="宋体" w:hAnsi="宋体" w:cs="宋体"/>
                <w:bCs/>
                <w:szCs w:val="21"/>
              </w:rPr>
            </w:pPr>
            <w:r>
              <w:rPr>
                <w:rFonts w:hint="eastAsia" w:ascii="宋体" w:hAnsi="宋体" w:cs="宋体"/>
                <w:bCs/>
                <w:szCs w:val="21"/>
              </w:rPr>
              <w:t>签字：</w:t>
            </w:r>
          </w:p>
          <w:p>
            <w:pPr>
              <w:rPr>
                <w:rFonts w:ascii="宋体" w:hAnsi="宋体" w:cs="宋体"/>
                <w:bCs/>
                <w:szCs w:val="21"/>
              </w:rPr>
            </w:pPr>
          </w:p>
          <w:p>
            <w:pPr>
              <w:keepNext w:val="0"/>
              <w:keepLines w:val="0"/>
              <w:pageBreakBefore w:val="0"/>
              <w:widowControl w:val="0"/>
              <w:kinsoku/>
              <w:wordWrap/>
              <w:overflowPunct/>
              <w:topLinePunct w:val="0"/>
              <w:autoSpaceDE/>
              <w:autoSpaceDN/>
              <w:bidi w:val="0"/>
              <w:adjustRightInd/>
              <w:snapToGrid w:val="0"/>
              <w:textAlignment w:val="auto"/>
              <w:outlineLvl w:val="9"/>
              <w:rPr>
                <w:rFonts w:ascii="宋体" w:hAnsi="宋体" w:cs="宋体"/>
                <w:bCs/>
                <w:szCs w:val="21"/>
              </w:rPr>
            </w:pPr>
            <w:r>
              <w:rPr>
                <w:rFonts w:hint="eastAsia" w:ascii="宋体" w:hAnsi="宋体" w:cs="宋体"/>
                <w:bCs/>
                <w:szCs w:val="21"/>
              </w:rPr>
              <w:t>日期：</w:t>
            </w:r>
          </w:p>
        </w:tc>
        <w:tc>
          <w:tcPr>
            <w:tcW w:w="1770" w:type="dxa"/>
            <w:noWrap w:val="0"/>
            <w:vAlign w:val="center"/>
          </w:tcPr>
          <w:p>
            <w:pPr>
              <w:jc w:val="center"/>
              <w:rPr>
                <w:rFonts w:ascii="宋体" w:hAnsi="宋体" w:cs="宋体"/>
                <w:bCs/>
                <w:szCs w:val="21"/>
              </w:rPr>
            </w:pPr>
            <w:r>
              <w:rPr>
                <w:rFonts w:hint="eastAsia" w:ascii="宋体" w:hAnsi="宋体" w:cs="宋体"/>
                <w:bCs/>
                <w:szCs w:val="21"/>
              </w:rPr>
              <w:t>乙方签收负责人</w:t>
            </w:r>
          </w:p>
        </w:tc>
        <w:tc>
          <w:tcPr>
            <w:tcW w:w="2123" w:type="dxa"/>
            <w:noWrap w:val="0"/>
            <w:vAlign w:val="top"/>
          </w:tcPr>
          <w:p>
            <w:pPr>
              <w:rPr>
                <w:rFonts w:ascii="宋体" w:hAnsi="宋体" w:cs="宋体"/>
                <w:bCs/>
                <w:szCs w:val="21"/>
              </w:rPr>
            </w:pPr>
          </w:p>
          <w:p>
            <w:pPr>
              <w:rPr>
                <w:rFonts w:ascii="宋体" w:hAnsi="宋体" w:cs="宋体"/>
                <w:bCs/>
                <w:szCs w:val="21"/>
              </w:rPr>
            </w:pPr>
            <w:r>
              <w:rPr>
                <w:rFonts w:hint="eastAsia" w:ascii="宋体" w:hAnsi="宋体" w:cs="宋体"/>
                <w:bCs/>
                <w:szCs w:val="21"/>
              </w:rPr>
              <w:t>签字：</w:t>
            </w:r>
          </w:p>
          <w:p>
            <w:pPr>
              <w:rPr>
                <w:rFonts w:ascii="宋体" w:hAnsi="宋体" w:cs="宋体"/>
                <w:bCs/>
                <w:szCs w:val="21"/>
              </w:rPr>
            </w:pPr>
          </w:p>
          <w:p>
            <w:pPr>
              <w:rPr>
                <w:rFonts w:ascii="宋体" w:hAnsi="宋体" w:cs="宋体"/>
                <w:bCs/>
                <w:szCs w:val="21"/>
              </w:rPr>
            </w:pPr>
            <w:r>
              <w:rPr>
                <w:rFonts w:hint="eastAsia" w:ascii="宋体" w:hAnsi="宋体" w:cs="宋体"/>
                <w:bCs/>
                <w:szCs w:val="21"/>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1847" w:type="dxa"/>
            <w:noWrap w:val="0"/>
            <w:vAlign w:val="center"/>
          </w:tcPr>
          <w:p>
            <w:pPr>
              <w:jc w:val="center"/>
              <w:rPr>
                <w:rFonts w:hint="eastAsia" w:ascii="宋体" w:hAnsi="宋体" w:eastAsia="宋体" w:cs="宋体"/>
                <w:bCs/>
                <w:szCs w:val="21"/>
                <w:lang w:val="en-US" w:eastAsia="zh-CN"/>
              </w:rPr>
            </w:pPr>
            <w:r>
              <w:rPr>
                <w:rFonts w:hint="eastAsia" w:ascii="宋体" w:hAnsi="宋体" w:cs="宋体"/>
                <w:bCs/>
                <w:szCs w:val="21"/>
                <w:lang w:val="en-US" w:eastAsia="zh-CN"/>
              </w:rPr>
              <w:t>处理结果</w:t>
            </w:r>
          </w:p>
        </w:tc>
        <w:tc>
          <w:tcPr>
            <w:tcW w:w="6775"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cs="宋体"/>
                <w:bCs/>
                <w:szCs w:val="21"/>
                <w:u w:val="single"/>
                <w:lang w:val="en-US" w:eastAsia="zh-CN"/>
              </w:rPr>
            </w:pPr>
            <w:r>
              <w:rPr>
                <w:rFonts w:hint="eastAsia" w:ascii="宋体" w:hAnsi="宋体" w:cs="宋体"/>
                <w:bCs/>
                <w:szCs w:val="21"/>
                <w:lang w:val="en-US" w:eastAsia="zh-CN"/>
              </w:rPr>
              <w:t>□异议成立，撤回违约责任通知单。签字及时间：</w:t>
            </w:r>
            <w:r>
              <w:rPr>
                <w:rFonts w:hint="eastAsia" w:ascii="宋体" w:hAnsi="宋体" w:cs="宋体"/>
                <w:bCs/>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cs="宋体"/>
                <w:bCs/>
                <w:szCs w:val="21"/>
                <w:u w:val="single"/>
                <w:lang w:val="en-US" w:eastAsia="zh-CN"/>
              </w:rPr>
            </w:pPr>
            <w:r>
              <w:rPr>
                <w:rFonts w:hint="eastAsia" w:ascii="宋体" w:hAnsi="宋体" w:cs="宋体"/>
                <w:bCs/>
                <w:szCs w:val="21"/>
                <w:lang w:val="en-US" w:eastAsia="zh-CN"/>
              </w:rPr>
              <w:t>□无异议或异议不成立，于     年  月  日缴纳违约款项。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9" w:hRule="atLeast"/>
        </w:trPr>
        <w:tc>
          <w:tcPr>
            <w:tcW w:w="1847" w:type="dxa"/>
            <w:noWrap w:val="0"/>
            <w:vAlign w:val="center"/>
          </w:tcPr>
          <w:p>
            <w:pPr>
              <w:jc w:val="center"/>
              <w:rPr>
                <w:rFonts w:ascii="宋体" w:hAnsi="宋体" w:cs="宋体"/>
                <w:bCs/>
                <w:szCs w:val="21"/>
              </w:rPr>
            </w:pPr>
            <w:r>
              <w:rPr>
                <w:rFonts w:hint="eastAsia" w:ascii="宋体" w:hAnsi="宋体" w:cs="宋体"/>
                <w:bCs/>
                <w:szCs w:val="21"/>
              </w:rPr>
              <w:t>备  注</w:t>
            </w:r>
          </w:p>
        </w:tc>
        <w:tc>
          <w:tcPr>
            <w:tcW w:w="6775" w:type="dxa"/>
            <w:gridSpan w:val="3"/>
            <w:noWrap w:val="0"/>
            <w:vAlign w:val="center"/>
          </w:tcPr>
          <w:p>
            <w:pPr>
              <w:pStyle w:val="11"/>
              <w:numPr>
                <w:ilvl w:val="0"/>
                <w:numId w:val="0"/>
              </w:numPr>
              <w:rPr>
                <w:rFonts w:hint="eastAsia" w:ascii="宋体" w:hAnsi="宋体" w:cs="宋体"/>
                <w:bCs/>
                <w:szCs w:val="21"/>
                <w:lang w:val="en-US" w:eastAsia="zh-CN"/>
              </w:rPr>
            </w:pPr>
            <w:r>
              <w:rPr>
                <w:rFonts w:hint="eastAsia" w:ascii="宋体" w:hAnsi="宋体" w:cs="宋体"/>
                <w:bCs/>
                <w:szCs w:val="21"/>
                <w:lang w:val="en-US" w:eastAsia="zh-CN"/>
              </w:rPr>
              <w:t>1.乙方如有异议，应在收到违约通知单3个工作日内提出，异议成立的，甲方撤回违约责任通知单；甲方认为异议不成立的，乙方应按违约责任通知单承担违约责任，如乙方仍有异议，可以按照争议解决条款进行处理，但应先按要求缴纳违约金。</w:t>
            </w:r>
          </w:p>
          <w:p>
            <w:pPr>
              <w:pStyle w:val="11"/>
              <w:numPr>
                <w:ilvl w:val="0"/>
                <w:numId w:val="0"/>
              </w:numPr>
              <w:rPr>
                <w:rFonts w:hint="eastAsia" w:ascii="宋体" w:hAnsi="宋体" w:cs="宋体"/>
                <w:bCs/>
                <w:szCs w:val="21"/>
                <w:lang w:val="en-US" w:eastAsia="zh-CN"/>
              </w:rPr>
            </w:pPr>
            <w:r>
              <w:rPr>
                <w:rFonts w:hint="eastAsia" w:ascii="宋体" w:hAnsi="宋体" w:cs="宋体"/>
                <w:bCs/>
                <w:szCs w:val="21"/>
                <w:lang w:val="en-US" w:eastAsia="zh-CN"/>
              </w:rPr>
              <w:t>2.签收后无异议的乙方应7日内将款项缴纳至甲方指定对公账户，并将缴纳回执提交给甲方签发负责人。</w:t>
            </w:r>
          </w:p>
          <w:p>
            <w:pPr>
              <w:pStyle w:val="11"/>
              <w:numPr>
                <w:ilvl w:val="0"/>
                <w:numId w:val="0"/>
              </w:numPr>
              <w:ind w:leftChars="0"/>
              <w:rPr>
                <w:rFonts w:ascii="宋体" w:hAnsi="宋体" w:cs="宋体"/>
                <w:bCs/>
                <w:szCs w:val="21"/>
              </w:rPr>
            </w:pPr>
            <w:r>
              <w:rPr>
                <w:rFonts w:hint="eastAsia" w:ascii="宋体" w:hAnsi="宋体" w:cs="宋体"/>
                <w:bCs/>
                <w:szCs w:val="21"/>
                <w:lang w:val="en-US" w:eastAsia="zh-CN"/>
              </w:rPr>
              <w:t>3.</w:t>
            </w:r>
            <w:r>
              <w:rPr>
                <w:rFonts w:hint="eastAsia" w:ascii="宋体" w:hAnsi="宋体" w:cs="宋体"/>
                <w:bCs/>
                <w:szCs w:val="21"/>
              </w:rPr>
              <w:t>此单在乙方签收后，原件交还甲方存档，乙方自行保留复印件。</w:t>
            </w:r>
          </w:p>
        </w:tc>
      </w:tr>
    </w:tbl>
    <w:p>
      <w:pPr>
        <w:pStyle w:val="3"/>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42A756"/>
    <w:multiLevelType w:val="singleLevel"/>
    <w:tmpl w:val="CD42A756"/>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551179"/>
    <w:rsid w:val="08B51708"/>
    <w:rsid w:val="24551179"/>
    <w:rsid w:val="2A281BAC"/>
    <w:rsid w:val="33F64BA2"/>
    <w:rsid w:val="35564F35"/>
    <w:rsid w:val="3EEB0B72"/>
    <w:rsid w:val="40056B95"/>
    <w:rsid w:val="4AA812B6"/>
    <w:rsid w:val="4C5839BC"/>
    <w:rsid w:val="60E635E9"/>
    <w:rsid w:val="6439184F"/>
    <w:rsid w:val="68D67E1D"/>
    <w:rsid w:val="6C4E0109"/>
    <w:rsid w:val="706B5D2A"/>
    <w:rsid w:val="7B5E7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sz w:val="24"/>
    </w:rPr>
  </w:style>
  <w:style w:type="paragraph" w:styleId="3">
    <w:name w:val="Title"/>
    <w:basedOn w:val="1"/>
    <w:next w:val="1"/>
    <w:qFormat/>
    <w:uiPriority w:val="0"/>
    <w:pPr>
      <w:jc w:val="center"/>
      <w:outlineLvl w:val="0"/>
    </w:pPr>
    <w:rPr>
      <w:rFonts w:ascii="Cambria" w:hAnsi="Cambria"/>
      <w:b/>
      <w:bCs/>
      <w:kern w:val="0"/>
      <w:sz w:val="32"/>
      <w:szCs w:val="32"/>
    </w:rPr>
  </w:style>
  <w:style w:type="paragraph" w:styleId="5">
    <w:name w:val="footer"/>
    <w:basedOn w:val="1"/>
    <w:qFormat/>
    <w:uiPriority w:val="0"/>
    <w:pPr>
      <w:tabs>
        <w:tab w:val="center" w:pos="4153"/>
        <w:tab w:val="right" w:pos="8306"/>
      </w:tabs>
      <w:spacing w:line="240" w:lineRule="atLeast"/>
      <w:jc w:val="left"/>
    </w:pPr>
    <w:rPr>
      <w:sz w:val="18"/>
    </w:rPr>
  </w:style>
  <w:style w:type="paragraph" w:styleId="6">
    <w:name w:val="header"/>
    <w:basedOn w:val="1"/>
    <w:qFormat/>
    <w:uiPriority w:val="0"/>
    <w:pPr>
      <w:pBdr>
        <w:bottom w:val="single" w:color="auto" w:sz="6" w:space="1"/>
      </w:pBdr>
      <w:tabs>
        <w:tab w:val="center" w:pos="4153"/>
        <w:tab w:val="right" w:pos="8306"/>
      </w:tabs>
      <w:spacing w:line="240" w:lineRule="atLeast"/>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font61"/>
    <w:basedOn w:val="9"/>
    <w:qFormat/>
    <w:uiPriority w:val="0"/>
    <w:rPr>
      <w:rFonts w:hint="default" w:ascii="Times New Roman" w:hAnsi="Times New Roman" w:cs="Times New Roman"/>
      <w:color w:val="000000"/>
      <w:sz w:val="21"/>
      <w:szCs w:val="21"/>
      <w:u w:val="none"/>
    </w:rPr>
  </w:style>
  <w:style w:type="paragraph" w:customStyle="1" w:styleId="11">
    <w:name w:val="List Paragraph"/>
    <w:basedOn w:val="1"/>
    <w:qFormat/>
    <w:uiPriority w:val="34"/>
    <w:pPr>
      <w:ind w:firstLine="420" w:firstLineChars="200"/>
    </w:pPr>
  </w:style>
  <w:style w:type="character" w:customStyle="1" w:styleId="12">
    <w:name w:val="font11"/>
    <w:basedOn w:val="9"/>
    <w:uiPriority w:val="0"/>
    <w:rPr>
      <w:rFonts w:hint="eastAsia" w:ascii="宋体" w:hAnsi="宋体" w:eastAsia="宋体" w:cs="宋体"/>
      <w:color w:val="000000"/>
      <w:sz w:val="21"/>
      <w:szCs w:val="21"/>
      <w:u w:val="none"/>
    </w:rPr>
  </w:style>
  <w:style w:type="character" w:customStyle="1" w:styleId="13">
    <w:name w:val="font31"/>
    <w:basedOn w:val="9"/>
    <w:uiPriority w:val="0"/>
    <w:rPr>
      <w:rFonts w:hint="default" w:ascii="Times New Roman" w:hAnsi="Times New Roman" w:cs="Times New Roman"/>
      <w:color w:val="000000"/>
      <w:sz w:val="21"/>
      <w:szCs w:val="21"/>
      <w:u w:val="none"/>
    </w:rPr>
  </w:style>
  <w:style w:type="character" w:customStyle="1" w:styleId="14">
    <w:name w:val="font21"/>
    <w:basedOn w:val="9"/>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2024-07-05T01:45:00Z</dcterms:created>
  <dc:creator>lenove</dc:creator>
  <cp:lastModifiedBy>吴翔</cp:lastModifiedBy>
  <dcterms:modified xsi:type="dcterms:W3CDTF">2024-08-19T03:28:29Z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E8FA88DAF1904B25AF785594B2822EBB</vt:lpwstr>
  </property>
</Properties>
</file>