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6059"/>
      <w:bookmarkStart w:id="1" w:name="_Toc1572"/>
    </w:p>
    <w:p>
      <w:pPr>
        <w:pStyle w:val="8"/>
        <w:jc w:val="center"/>
        <w:rPr>
          <w:rFonts w:ascii="隶书" w:eastAsia="隶书"/>
          <w:sz w:val="56"/>
          <w:szCs w:val="56"/>
        </w:rPr>
      </w:pPr>
    </w:p>
    <w:p>
      <w:pPr>
        <w:pStyle w:val="8"/>
        <w:spacing w:line="360" w:lineRule="auto"/>
        <w:jc w:val="center"/>
        <w:rPr>
          <w:rFonts w:ascii="隶书" w:eastAsia="隶书"/>
          <w:sz w:val="48"/>
          <w:szCs w:val="48"/>
        </w:rPr>
      </w:pPr>
      <w:r>
        <w:rPr>
          <w:rFonts w:hint="eastAsia" w:ascii="黑体" w:hAnsi="黑体" w:eastAsia="黑体" w:cs="黑体"/>
          <w:sz w:val="48"/>
          <w:szCs w:val="48"/>
        </w:rPr>
        <w:t>一种</w:t>
      </w:r>
      <w:r>
        <w:rPr>
          <w:rFonts w:hint="eastAsia" w:ascii="黑体" w:hAnsi="黑体" w:eastAsia="黑体" w:cs="黑体"/>
          <w:sz w:val="48"/>
          <w:szCs w:val="48"/>
          <w:lang w:val="en-US" w:eastAsia="zh-CN"/>
        </w:rPr>
        <w:t>可伸缩自动感应万能操作把手</w:t>
      </w:r>
    </w:p>
    <w:p>
      <w:pPr>
        <w:pStyle w:val="8"/>
        <w:spacing w:line="360" w:lineRule="auto"/>
        <w:jc w:val="center"/>
        <w:rPr>
          <w:rFonts w:hint="eastAsia"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hint="eastAsia" w:ascii="楷体_GB2312" w:hAnsi="宋体" w:eastAsia="楷体_GB2312"/>
          <w:sz w:val="32"/>
          <w:szCs w:val="32"/>
        </w:rPr>
      </w:pPr>
    </w:p>
    <w:p>
      <w:pPr>
        <w:spacing w:before="156" w:beforeLines="50"/>
        <w:jc w:val="center"/>
        <w:rPr>
          <w:rFonts w:hint="eastAsia" w:ascii="楷体_GB2312" w:hAnsi="宋体" w:eastAsia="楷体_GB2312"/>
          <w:sz w:val="32"/>
          <w:szCs w:val="32"/>
        </w:rPr>
      </w:pPr>
    </w:p>
    <w:p>
      <w:pPr>
        <w:spacing w:before="156" w:beforeLines="50"/>
        <w:rPr>
          <w:rFonts w:hint="eastAsia" w:ascii="楷体_GB2312" w:hAnsi="宋体" w:eastAsia="楷体_GB2312"/>
          <w:sz w:val="32"/>
          <w:szCs w:val="32"/>
        </w:rPr>
      </w:pPr>
    </w:p>
    <w:p>
      <w:pPr>
        <w:pStyle w:val="21"/>
        <w:rPr>
          <w:rStyle w:val="23"/>
          <w:rFonts w:hint="eastAsia" w:ascii="黑体" w:hAnsi="黑体" w:eastAsia="黑体" w:cs="黑体"/>
        </w:rPr>
      </w:pPr>
    </w:p>
    <w:p>
      <w:pPr>
        <w:pStyle w:val="21"/>
        <w:rPr>
          <w:rStyle w:val="23"/>
          <w:rFonts w:hint="eastAsia" w:ascii="黑体" w:hAnsi="黑体" w:eastAsia="黑体" w:cs="黑体"/>
        </w:rPr>
      </w:pPr>
    </w:p>
    <w:p>
      <w:pPr>
        <w:pStyle w:val="21"/>
        <w:rPr>
          <w:rFonts w:hint="eastAsia" w:ascii="黑体" w:hAnsi="黑体" w:eastAsia="黑体" w:cs="黑体"/>
        </w:rPr>
        <w:sectPr>
          <w:pgSz w:w="11906" w:h="16838"/>
          <w:pgMar w:top="1440" w:right="1800" w:bottom="1440" w:left="1800" w:header="851" w:footer="992" w:gutter="0"/>
          <w:cols w:space="425" w:num="1"/>
          <w:docGrid w:type="lines" w:linePitch="312" w:charSpace="0"/>
        </w:sectPr>
      </w:pPr>
      <w:r>
        <w:rPr>
          <w:rStyle w:val="23"/>
          <w:rFonts w:hint="eastAsia" w:ascii="黑体" w:hAnsi="黑体" w:eastAsia="黑体" w:cs="黑体"/>
        </w:rPr>
        <w:t>2024年08月</w:t>
      </w:r>
    </w:p>
    <w:p>
      <w:pPr>
        <w:snapToGrid w:val="0"/>
        <w:spacing w:line="360" w:lineRule="auto"/>
        <w:jc w:val="center"/>
        <w:rPr>
          <w:rFonts w:hint="eastAsia"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hint="eastAsia"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hint="eastAsia" w:ascii="黑体" w:hAnsi="黑体" w:eastAsia="黑体" w:cs="黑体"/>
          <w:b/>
          <w:sz w:val="24"/>
        </w:rPr>
      </w:pPr>
      <w:r>
        <w:rPr>
          <w:rFonts w:hint="eastAsia" w:ascii="黑体" w:hAnsi="黑体" w:eastAsia="黑体" w:cs="黑体"/>
          <w:sz w:val="24"/>
        </w:rPr>
        <w:fldChar w:fldCharType="end"/>
      </w:r>
    </w:p>
    <w:p>
      <w:pPr>
        <w:rPr>
          <w:rFonts w:hint="eastAsia" w:ascii="宋体" w:hAnsi="宋体"/>
          <w:b/>
          <w:sz w:val="30"/>
        </w:rPr>
      </w:pPr>
      <w:r>
        <w:rPr>
          <w:rFonts w:ascii="宋体" w:hAnsi="宋体"/>
          <w:b/>
          <w:sz w:val="30"/>
        </w:rPr>
        <w:br w:type="page"/>
      </w:r>
    </w:p>
    <w:p>
      <w:pPr>
        <w:spacing w:line="480" w:lineRule="auto"/>
        <w:jc w:val="center"/>
        <w:outlineLvl w:val="0"/>
        <w:rPr>
          <w:rFonts w:hint="eastAsia" w:ascii="宋体" w:hAnsi="宋体"/>
          <w:b/>
          <w:sz w:val="32"/>
        </w:rPr>
      </w:pPr>
      <w:bookmarkStart w:id="3" w:name="_Toc32374"/>
      <w:bookmarkStart w:id="4" w:name="_Toc161832193"/>
      <w:bookmarkStart w:id="5" w:name="_Toc266713645"/>
      <w:bookmarkStart w:id="6" w:name="_Toc13824"/>
      <w:bookmarkStart w:id="7" w:name="_Toc19589"/>
      <w:bookmarkStart w:id="8" w:name="_Toc17586"/>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hint="eastAsia"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hint="eastAsia"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本技术要求书制定目标的材料供应</w:t>
      </w:r>
      <w:r>
        <w:rPr>
          <w:rFonts w:hint="eastAsia"/>
          <w:sz w:val="24"/>
        </w:rPr>
        <w:t>，以及在项目进行中为达成既定目标提出的其他</w:t>
      </w:r>
      <w:bookmarkStart w:id="9" w:name="_Hlk173933519"/>
      <w:r>
        <w:rPr>
          <w:rFonts w:hint="eastAsia"/>
          <w:sz w:val="24"/>
        </w:rPr>
        <w:t>优化调整</w:t>
      </w:r>
      <w:bookmarkEnd w:id="9"/>
      <w:r>
        <w:rPr>
          <w:rFonts w:hint="eastAsia"/>
          <w:sz w:val="24"/>
        </w:rPr>
        <w:t>需求。</w:t>
      </w:r>
    </w:p>
    <w:p>
      <w:pPr>
        <w:numPr>
          <w:ilvl w:val="0"/>
          <w:numId w:val="2"/>
        </w:numPr>
        <w:spacing w:line="360" w:lineRule="auto"/>
        <w:rPr>
          <w:rFonts w:hint="eastAsia" w:ascii="宋体" w:hAnsi="宋体"/>
          <w:bCs/>
          <w:sz w:val="24"/>
          <w:szCs w:val="22"/>
        </w:rPr>
      </w:pPr>
      <w:r>
        <w:rPr>
          <w:rFonts w:hint="eastAsia" w:ascii="宋体" w:hAnsi="宋体"/>
          <w:bCs/>
          <w:sz w:val="24"/>
          <w:szCs w:val="22"/>
        </w:rPr>
        <w:t>本技术要求书未尽事宜，由双方协商确定。</w:t>
      </w:r>
    </w:p>
    <w:p>
      <w:pPr>
        <w:pStyle w:val="24"/>
        <w:spacing w:before="312"/>
        <w:rPr>
          <w:rFonts w:hint="eastAsia"/>
          <w:szCs w:val="22"/>
        </w:rPr>
      </w:pPr>
      <w:r>
        <w:rPr>
          <w:rFonts w:hint="eastAsia"/>
          <w:szCs w:val="22"/>
        </w:rPr>
        <w:br w:type="page"/>
      </w:r>
    </w:p>
    <w:p>
      <w:pPr>
        <w:pStyle w:val="24"/>
        <w:spacing w:before="312"/>
        <w:outlineLvl w:val="0"/>
        <w:rPr>
          <w:rFonts w:hint="eastAsia" w:asciiTheme="minorEastAsia" w:hAnsiTheme="minorEastAsia" w:eastAsiaTheme="minorEastAsia" w:cstheme="minorEastAsia"/>
          <w:bCs/>
          <w:color w:val="C00000"/>
        </w:rPr>
      </w:pPr>
      <w:bookmarkStart w:id="10" w:name="_Toc161832194"/>
      <w:bookmarkStart w:id="11" w:name="_Toc4772"/>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10"/>
      <w:bookmarkEnd w:id="11"/>
    </w:p>
    <w:p>
      <w:pPr>
        <w:spacing w:line="360" w:lineRule="auto"/>
        <w:ind w:firstLine="480" w:firstLineChars="200"/>
        <w:rPr>
          <w:sz w:val="24"/>
        </w:rPr>
      </w:pPr>
      <w:r>
        <w:rPr>
          <w:rFonts w:hint="eastAsia" w:ascii="宋体" w:hAnsi="宋体" w:cs="宋体"/>
          <w:kern w:val="0"/>
          <w:sz w:val="24"/>
        </w:rPr>
        <w:t>目前，配网很多现场作业场景都涉及线路停送电操作。配电运维领域的10kV 抢修工作、停电检修工作、转电工作以及0.4kV检修工作等作业场景都需要对设备进行停送电操作。对公用环网电缆分接箱、配电站内10kV高压柜等绝大多数配电设备进行操作时都会用到操作把手，但是在实际作业过程中时常会遇到现场操作把手丢失、操作把手型号不对应和操作把手锈蚀损坏等情况，现场作业人员一般会去其他相似设备上寻找对应型号的操作把手或者返回单位寻找操作把手，这极大地影响了抢修进度，降低了停电检修工作效率，很有可能会造成客户的投诉。为了进一步提高配网运维工作效率，现研究一种可伸缩自动感应万能操作把手，主要由便携伸缩杆、多尺寸把手、电动绝缘手柄组成方便随身携带并能适用于绝大多数配电设备。如遇现场操作把手缺失等情况，可用该设备直接进行操作，极大地提高工作效率。除此之外，还配备夜间照明功能，提高夜间应急能力。</w:t>
      </w:r>
    </w:p>
    <w:p>
      <w:pPr>
        <w:spacing w:line="360" w:lineRule="auto"/>
        <w:ind w:firstLine="480" w:firstLineChars="200"/>
        <w:rPr>
          <w:rFonts w:hint="eastAsia" w:ascii="黑体" w:hAnsi="黑体" w:eastAsia="黑体" w:cs="黑体"/>
          <w:bCs/>
          <w:sz w:val="24"/>
        </w:rPr>
      </w:pPr>
      <w:r>
        <w:rPr>
          <w:rFonts w:hint="eastAsia"/>
          <w:sz w:val="24"/>
        </w:rPr>
        <w:t>服务方需要提供满足主要技术指标要求的材料供应，以及在项目进行中为达成既定目标提出的其他优化调整需求。</w:t>
      </w:r>
    </w:p>
    <w:p>
      <w:pPr>
        <w:pStyle w:val="24"/>
        <w:spacing w:before="312"/>
        <w:outlineLvl w:val="0"/>
        <w:rPr>
          <w:rFonts w:hint="eastAsia" w:asciiTheme="minorEastAsia" w:hAnsiTheme="minorEastAsia" w:eastAsiaTheme="minorEastAsia" w:cstheme="minorEastAsia"/>
          <w:bCs/>
          <w:color w:val="C00000"/>
        </w:rPr>
      </w:pPr>
      <w:bookmarkStart w:id="12" w:name="_Toc161832195"/>
      <w:bookmarkStart w:id="13" w:name="_Toc2001"/>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2"/>
      <w:bookmarkEnd w:id="13"/>
    </w:p>
    <w:p>
      <w:pPr>
        <w:spacing w:line="460" w:lineRule="exact"/>
        <w:ind w:firstLine="480" w:firstLineChars="200"/>
        <w:rPr>
          <w:sz w:val="24"/>
        </w:rPr>
      </w:pPr>
      <w:bookmarkStart w:id="14" w:name="_Toc266713650"/>
      <w:bookmarkStart w:id="15" w:name="_Toc161832196"/>
      <w:bookmarkStart w:id="16" w:name="_Toc30385"/>
      <w:r>
        <w:rPr>
          <w:rFonts w:hint="eastAsia"/>
          <w:sz w:val="24"/>
        </w:rPr>
        <w:t>本项目所研制的工具具体要求如下：</w:t>
      </w:r>
    </w:p>
    <w:p>
      <w:pPr>
        <w:spacing w:line="480" w:lineRule="exact"/>
        <w:ind w:firstLine="480" w:firstLineChars="200"/>
        <w:rPr>
          <w:rFonts w:hint="eastAsia" w:ascii="宋体" w:hAnsi="宋体"/>
          <w:sz w:val="24"/>
        </w:rPr>
      </w:pPr>
      <w:r>
        <w:rPr>
          <w:rFonts w:hint="eastAsia" w:ascii="宋体" w:hAnsi="宋体"/>
          <w:sz w:val="24"/>
        </w:rPr>
        <w:t>（1）能解决现场操作把手丢失、操作把手型号不对应和操作把手锈蚀损坏有效提高工作效率，降低用户投诉风险;等问题。</w:t>
      </w:r>
    </w:p>
    <w:p>
      <w:pPr>
        <w:spacing w:line="480" w:lineRule="exact"/>
        <w:ind w:firstLine="480" w:firstLineChars="200"/>
        <w:rPr>
          <w:rFonts w:hint="eastAsia" w:ascii="宋体" w:hAnsi="宋体"/>
          <w:sz w:val="24"/>
        </w:rPr>
      </w:pPr>
      <w:r>
        <w:rPr>
          <w:rFonts w:hint="eastAsia" w:ascii="宋体" w:hAnsi="宋体"/>
          <w:sz w:val="24"/>
        </w:rPr>
        <w:t>（2）可自动感应配电设备的操作尺寸，可适用于配网领域多个场景。</w:t>
      </w:r>
    </w:p>
    <w:p>
      <w:pPr>
        <w:spacing w:line="360" w:lineRule="auto"/>
        <w:ind w:firstLine="480" w:firstLineChars="200"/>
        <w:rPr>
          <w:rFonts w:hint="eastAsia" w:ascii="宋体" w:hAnsi="宋体"/>
          <w:sz w:val="24"/>
        </w:rPr>
      </w:pPr>
      <w:r>
        <w:rPr>
          <w:rFonts w:hint="eastAsia" w:ascii="宋体" w:hAnsi="宋体"/>
          <w:sz w:val="24"/>
        </w:rPr>
        <w:t>（3）配备电动绝缘手柄，保障现场作业人员的人身安全。</w:t>
      </w:r>
    </w:p>
    <w:p>
      <w:pPr>
        <w:spacing w:line="360" w:lineRule="auto"/>
        <w:ind w:firstLine="480" w:firstLineChars="200"/>
        <w:rPr>
          <w:rFonts w:hint="eastAsia" w:ascii="宋体" w:hAnsi="宋体"/>
          <w:sz w:val="24"/>
        </w:rPr>
      </w:pPr>
      <w:r>
        <w:rPr>
          <w:rFonts w:hint="eastAsia" w:ascii="宋体" w:hAnsi="宋体"/>
          <w:sz w:val="24"/>
        </w:rPr>
        <w:t>（4）依靠电动出力对尺寸进行适配，电池可更换，保证工作的连续性。</w:t>
      </w:r>
    </w:p>
    <w:p>
      <w:pPr>
        <w:spacing w:line="360" w:lineRule="auto"/>
        <w:ind w:firstLine="480" w:firstLineChars="200"/>
        <w:rPr>
          <w:rFonts w:hint="eastAsia"/>
        </w:rPr>
      </w:pPr>
      <w:r>
        <w:rPr>
          <w:rFonts w:hint="eastAsia" w:ascii="宋体" w:hAnsi="宋体"/>
          <w:sz w:val="24"/>
        </w:rPr>
        <w:t>（</w:t>
      </w:r>
      <w:r>
        <w:rPr>
          <w:rFonts w:hint="eastAsia" w:ascii="宋体" w:hAnsi="宋体"/>
          <w:sz w:val="24"/>
          <w:lang w:val="en-US" w:eastAsia="zh-CN"/>
        </w:rPr>
        <w:t>5</w:t>
      </w:r>
      <w:r>
        <w:rPr>
          <w:rFonts w:hint="eastAsia" w:ascii="宋体" w:hAnsi="宋体"/>
          <w:sz w:val="24"/>
        </w:rPr>
        <w:t>）具有应急照明功能，有效应对夜间操作场景。</w:t>
      </w:r>
    </w:p>
    <w:p>
      <w:pPr>
        <w:pStyle w:val="24"/>
        <w:spacing w:before="312"/>
        <w:outlineLvl w:val="0"/>
        <w:rPr>
          <w:rFonts w:hint="eastAsia" w:ascii="黑体" w:hAnsi="黑体" w:eastAsia="黑体" w:cs="黑体"/>
          <w:sz w:val="28"/>
          <w:szCs w:val="28"/>
        </w:rPr>
      </w:pPr>
      <w:r>
        <w:rPr>
          <w:rFonts w:ascii="黑体" w:hAnsi="黑体" w:eastAsia="黑体" w:cs="黑体"/>
          <w:sz w:val="28"/>
          <w:szCs w:val="28"/>
        </w:rPr>
        <w:t>3</w:t>
      </w:r>
      <w:r>
        <w:rPr>
          <w:rFonts w:hint="eastAsia" w:ascii="黑体" w:hAnsi="黑体" w:eastAsia="黑体" w:cs="黑体"/>
          <w:sz w:val="28"/>
          <w:szCs w:val="28"/>
        </w:rPr>
        <w:t xml:space="preserve">  </w:t>
      </w:r>
      <w:bookmarkEnd w:id="14"/>
      <w:r>
        <w:rPr>
          <w:rFonts w:hint="eastAsia" w:ascii="黑体" w:hAnsi="黑体" w:eastAsia="黑体" w:cs="黑体"/>
          <w:sz w:val="28"/>
          <w:szCs w:val="28"/>
        </w:rPr>
        <w:t>成果交付与验收</w:t>
      </w:r>
      <w:bookmarkEnd w:id="15"/>
      <w:bookmarkEnd w:id="16"/>
    </w:p>
    <w:p>
      <w:pPr>
        <w:spacing w:line="360" w:lineRule="auto"/>
        <w:ind w:firstLine="480" w:firstLineChars="200"/>
        <w:rPr>
          <w:rFonts w:hint="eastAsia" w:asciiTheme="minorEastAsia" w:hAnsiTheme="minorEastAsia" w:eastAsiaTheme="minorEastAsia" w:cstheme="minorEastAsia"/>
          <w:color w:val="000000"/>
          <w:sz w:val="24"/>
        </w:rPr>
      </w:pPr>
      <w:bookmarkStart w:id="17" w:name="_Toc161832197"/>
      <w:r>
        <w:rPr>
          <w:rFonts w:hint="eastAsia" w:asciiTheme="minorEastAsia" w:hAnsiTheme="minorEastAsia" w:eastAsiaTheme="minorEastAsia" w:cstheme="minorEastAsia"/>
          <w:color w:val="000000"/>
          <w:sz w:val="24"/>
        </w:rPr>
        <w:t>1、材料供应：</w:t>
      </w:r>
      <w:r>
        <w:rPr>
          <w:rFonts w:hint="eastAsia" w:ascii="宋体" w:hAnsi="宋体"/>
          <w:sz w:val="24"/>
        </w:rPr>
        <w:t>交付一种可伸缩自动感应万能操作把手</w:t>
      </w:r>
      <w:r>
        <w:rPr>
          <w:rFonts w:hint="eastAsia" w:ascii="宋体" w:hAnsi="宋体"/>
          <w:sz w:val="24"/>
          <w:lang w:val="en-US" w:eastAsia="zh-CN"/>
        </w:rPr>
        <w:t>样机</w:t>
      </w:r>
      <w:r>
        <w:rPr>
          <w:rFonts w:hint="eastAsia" w:ascii="宋体" w:hAnsi="宋体"/>
          <w:sz w:val="24"/>
        </w:rPr>
        <w:t>研制2套所需定制材料，</w:t>
      </w:r>
      <w:r>
        <w:rPr>
          <w:rFonts w:hint="eastAsia" w:asciiTheme="minorEastAsia" w:hAnsiTheme="minorEastAsia" w:eastAsiaTheme="minorEastAsia" w:cstheme="minorEastAsia"/>
          <w:color w:val="000000"/>
          <w:sz w:val="24"/>
        </w:rPr>
        <w:t>包括定制便携伸缩杆、多尺寸把手、电动绝缘手柄</w:t>
      </w:r>
      <w:r>
        <w:rPr>
          <w:rFonts w:hint="eastAsia" w:asciiTheme="minorEastAsia" w:hAnsiTheme="minorEastAsia" w:eastAsiaTheme="minorEastAsia" w:cstheme="minorEastAsia"/>
          <w:color w:val="000000"/>
          <w:sz w:val="24"/>
          <w:lang w:val="en-US" w:eastAsia="zh-CN"/>
        </w:rPr>
        <w:t>构件等</w:t>
      </w:r>
      <w:r>
        <w:rPr>
          <w:rFonts w:hint="eastAsia" w:asciiTheme="minorEastAsia" w:hAnsiTheme="minorEastAsia" w:eastAsiaTheme="minorEastAsia" w:cstheme="minorEastAsia"/>
          <w:color w:val="000000"/>
          <w:sz w:val="24"/>
        </w:rPr>
        <w:t>。</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2</w:t>
      </w:r>
      <w:r>
        <w:rPr>
          <w:rFonts w:hint="eastAsia" w:asciiTheme="minorEastAsia" w:hAnsiTheme="minorEastAsia" w:eastAsiaTheme="minorEastAsia" w:cstheme="minorEastAsia"/>
          <w:color w:val="000000"/>
          <w:sz w:val="24"/>
        </w:rPr>
        <w:t>、乙方需于2024年1</w:t>
      </w:r>
      <w:r>
        <w:rPr>
          <w:rFonts w:hint="eastAsia" w:asciiTheme="minorEastAsia" w:hAnsiTheme="minorEastAsia" w:eastAsiaTheme="minorEastAsia" w:cstheme="minorEastAsia"/>
          <w:color w:val="000000"/>
          <w:sz w:val="24"/>
          <w:lang w:val="en-US" w:eastAsia="zh-CN"/>
        </w:rPr>
        <w:t>2</w:t>
      </w:r>
      <w:r>
        <w:rPr>
          <w:rFonts w:hint="eastAsia" w:asciiTheme="minorEastAsia" w:hAnsiTheme="minorEastAsia" w:eastAsiaTheme="minorEastAsia" w:cstheme="minorEastAsia"/>
          <w:color w:val="000000"/>
          <w:sz w:val="24"/>
        </w:rPr>
        <w:t>月3</w:t>
      </w:r>
      <w:r>
        <w:rPr>
          <w:rFonts w:hint="eastAsia" w:asciiTheme="minorEastAsia" w:hAnsiTheme="minorEastAsia" w:eastAsiaTheme="minorEastAsia" w:cstheme="minorEastAsia"/>
          <w:color w:val="000000"/>
          <w:sz w:val="24"/>
          <w:lang w:val="en-US" w:eastAsia="zh-CN"/>
        </w:rPr>
        <w:t>1</w:t>
      </w:r>
      <w:bookmarkStart w:id="20" w:name="_GoBack"/>
      <w:bookmarkEnd w:id="20"/>
      <w:r>
        <w:rPr>
          <w:rFonts w:hint="eastAsia" w:asciiTheme="minorEastAsia" w:hAnsiTheme="minorEastAsia" w:eastAsiaTheme="minorEastAsia" w:cstheme="minorEastAsia"/>
          <w:color w:val="000000"/>
          <w:sz w:val="24"/>
        </w:rPr>
        <w:t>日前交付符合要求的</w:t>
      </w:r>
      <w:r>
        <w:rPr>
          <w:rFonts w:hint="eastAsia"/>
          <w:sz w:val="24"/>
        </w:rPr>
        <w:t>成果</w:t>
      </w:r>
      <w:r>
        <w:rPr>
          <w:rFonts w:hint="eastAsia" w:asciiTheme="minorEastAsia" w:hAnsiTheme="minorEastAsia" w:eastAsiaTheme="minorEastAsia" w:cstheme="minorEastAsia"/>
          <w:color w:val="000000"/>
          <w:sz w:val="24"/>
        </w:rPr>
        <w:t>，并通过甲方验收，同时需协助甲方完成本项目的相关资料整理，包括协助甲方完成论文等知识产权的编写，协助甲方完成项目资料收集、整理，配合甲方通过项目结题验收。</w:t>
      </w:r>
    </w:p>
    <w:bookmarkEnd w:id="17"/>
    <w:p>
      <w:pPr>
        <w:spacing w:line="360" w:lineRule="auto"/>
        <w:ind w:firstLine="480" w:firstLineChars="200"/>
        <w:rPr>
          <w:rFonts w:asciiTheme="minorEastAsia" w:hAnsiTheme="minorEastAsia" w:eastAsiaTheme="minorEastAsia" w:cstheme="minorEastAsia"/>
          <w:color w:val="000000"/>
          <w:sz w:val="24"/>
        </w:rPr>
      </w:pPr>
      <w:bookmarkStart w:id="18" w:name="_Toc161832200"/>
      <w:bookmarkStart w:id="19" w:name="_Toc24706"/>
      <w:r>
        <w:rPr>
          <w:rFonts w:hint="eastAsia" w:asciiTheme="minorEastAsia" w:hAnsiTheme="minorEastAsia" w:eastAsiaTheme="minorEastAsia" w:cstheme="minorEastAsia"/>
          <w:color w:val="000000"/>
          <w:sz w:val="24"/>
        </w:rPr>
        <w:t>3、 乙方须承诺至少安排一正式员工专职与甲方对接跟进项目工作，并配合项目开展试点应用工作；</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4、乙方需配合甲方完成试点应用，在甲方要求下，能够派正式员工定期驻点，不少于</w:t>
      </w:r>
      <w:r>
        <w:rPr>
          <w:rFonts w:hint="eastAsia" w:asciiTheme="minorEastAsia" w:hAnsiTheme="minorEastAsia" w:eastAsiaTheme="minorEastAsia" w:cstheme="minorEastAsia"/>
          <w:color w:val="000000"/>
          <w:sz w:val="24"/>
          <w:lang w:val="en-US" w:eastAsia="zh-CN"/>
        </w:rPr>
        <w:t>3</w:t>
      </w:r>
      <w:r>
        <w:rPr>
          <w:rFonts w:hint="eastAsia" w:asciiTheme="minorEastAsia" w:hAnsiTheme="minorEastAsia" w:eastAsiaTheme="minorEastAsia" w:cstheme="minorEastAsia"/>
          <w:color w:val="000000"/>
          <w:sz w:val="24"/>
        </w:rPr>
        <w:t>个月，进行现场交流、确认实施方案、现场测试、项目验收等。</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5、乙方如果不能按时按质完成，湛江供电局将按照南</w:t>
      </w:r>
      <w:r>
        <w:rPr>
          <w:rFonts w:hint="eastAsia" w:asciiTheme="minorEastAsia" w:hAnsiTheme="minorEastAsia" w:eastAsiaTheme="minorEastAsia" w:cstheme="minorEastAsia"/>
          <w:color w:val="000000"/>
          <w:sz w:val="24"/>
          <w:lang w:val="en-US" w:eastAsia="zh-CN"/>
        </w:rPr>
        <w:t>方</w:t>
      </w:r>
      <w:r>
        <w:rPr>
          <w:rFonts w:hint="eastAsia" w:asciiTheme="minorEastAsia" w:hAnsiTheme="minorEastAsia" w:eastAsiaTheme="minorEastAsia" w:cstheme="minorEastAsia"/>
          <w:color w:val="000000"/>
          <w:sz w:val="24"/>
        </w:rPr>
        <w:t>电网公司相关规定对供应商采取相关处罚。</w:t>
      </w:r>
    </w:p>
    <w:p>
      <w:pPr>
        <w:spacing w:line="360" w:lineRule="auto"/>
        <w:ind w:firstLine="480" w:firstLineChars="200"/>
        <w:rPr>
          <w:rFonts w:hint="eastAsia" w:ascii="黑体" w:hAnsi="黑体" w:eastAsia="黑体" w:cs="黑体"/>
          <w:bCs/>
          <w:sz w:val="24"/>
        </w:rPr>
      </w:pPr>
      <w:r>
        <w:rPr>
          <w:rFonts w:hint="eastAsia" w:asciiTheme="minorEastAsia" w:hAnsiTheme="minorEastAsia" w:eastAsiaTheme="minorEastAsia" w:cstheme="minorEastAsia"/>
          <w:color w:val="000000"/>
          <w:sz w:val="24"/>
        </w:rPr>
        <w:t>6、后期需配合甲方申报相关奖项。</w:t>
      </w:r>
    </w:p>
    <w:p>
      <w:pPr>
        <w:pStyle w:val="24"/>
        <w:spacing w:before="312"/>
        <w:outlineLvl w:val="0"/>
        <w:rPr>
          <w:rFonts w:hint="eastAsia" w:ascii="黑体" w:hAnsi="黑体" w:eastAsia="黑体" w:cs="黑体"/>
          <w:sz w:val="28"/>
          <w:szCs w:val="28"/>
        </w:rPr>
      </w:pPr>
      <w:r>
        <w:rPr>
          <w:rFonts w:ascii="黑体" w:hAnsi="黑体" w:eastAsia="黑体" w:cs="黑体"/>
          <w:sz w:val="28"/>
          <w:szCs w:val="28"/>
        </w:rPr>
        <w:t>4</w:t>
      </w:r>
      <w:r>
        <w:rPr>
          <w:rFonts w:hint="eastAsia" w:ascii="黑体" w:hAnsi="黑体" w:eastAsia="黑体" w:cs="黑体"/>
          <w:sz w:val="28"/>
          <w:szCs w:val="28"/>
        </w:rPr>
        <w:t xml:space="preserve">  资格要求</w:t>
      </w:r>
      <w:bookmarkEnd w:id="18"/>
      <w:bookmarkEnd w:id="19"/>
    </w:p>
    <w:tbl>
      <w:tblPr>
        <w:tblStyle w:val="15"/>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lang w:eastAsia="zh-CN"/>
              </w:rPr>
            </w:pPr>
            <w:r>
              <w:rPr>
                <w:rFonts w:hint="eastAsia" w:ascii="微软雅黑" w:hAnsi="微软雅黑" w:eastAsia="微软雅黑" w:cs="微软雅黑"/>
                <w:color w:val="000000"/>
                <w:kern w:val="0"/>
                <w:sz w:val="20"/>
                <w:szCs w:val="20"/>
                <w:lang w:val="en-US" w:eastAsia="zh-CN"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本项目报价下浮率高于5% （不含本身）的需附成本分析报告。成本分析报告需充分说明费用的组成、降低成本的合理措施及在其他项目中应用过的经验等，未提供成本分析报告视为原则性不响应采购要求，作不合格处理。</w:t>
            </w:r>
          </w:p>
        </w:tc>
      </w:tr>
    </w:tbl>
    <w:p>
      <w:pPr>
        <w:spacing w:line="360" w:lineRule="auto"/>
        <w:rPr>
          <w:rFonts w:hint="eastAsia"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9"/>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wOGRmOGExYzk1YmViOTkzZmNhNDJlZDE5NzRhMzQifQ=="/>
  </w:docVars>
  <w:rsids>
    <w:rsidRoot w:val="56112EA9"/>
    <w:rsid w:val="0000270B"/>
    <w:rsid w:val="00040023"/>
    <w:rsid w:val="00063188"/>
    <w:rsid w:val="000B652E"/>
    <w:rsid w:val="00113C97"/>
    <w:rsid w:val="00156123"/>
    <w:rsid w:val="0018128B"/>
    <w:rsid w:val="001D7134"/>
    <w:rsid w:val="002167BF"/>
    <w:rsid w:val="00265B88"/>
    <w:rsid w:val="002B69BC"/>
    <w:rsid w:val="002D207B"/>
    <w:rsid w:val="003E0E7E"/>
    <w:rsid w:val="003E2B1B"/>
    <w:rsid w:val="0045760C"/>
    <w:rsid w:val="00494C67"/>
    <w:rsid w:val="006444FE"/>
    <w:rsid w:val="006535C7"/>
    <w:rsid w:val="00695983"/>
    <w:rsid w:val="006D47D2"/>
    <w:rsid w:val="00796FA4"/>
    <w:rsid w:val="007B0D5A"/>
    <w:rsid w:val="007B6A1A"/>
    <w:rsid w:val="008C2F1C"/>
    <w:rsid w:val="008F319A"/>
    <w:rsid w:val="00920102"/>
    <w:rsid w:val="009569C7"/>
    <w:rsid w:val="009C2EA5"/>
    <w:rsid w:val="009C3674"/>
    <w:rsid w:val="00A20B78"/>
    <w:rsid w:val="00A57F5A"/>
    <w:rsid w:val="00B666BF"/>
    <w:rsid w:val="00B66E81"/>
    <w:rsid w:val="00C17B3D"/>
    <w:rsid w:val="00D65EB0"/>
    <w:rsid w:val="00DA0CC7"/>
    <w:rsid w:val="00E469BB"/>
    <w:rsid w:val="00E82FB1"/>
    <w:rsid w:val="00E86007"/>
    <w:rsid w:val="00EF3934"/>
    <w:rsid w:val="00F415ED"/>
    <w:rsid w:val="00F54233"/>
    <w:rsid w:val="00F664EB"/>
    <w:rsid w:val="00F70D2D"/>
    <w:rsid w:val="00F86AF1"/>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CD3836"/>
    <w:rsid w:val="0BD1033B"/>
    <w:rsid w:val="0BFD7548"/>
    <w:rsid w:val="0C8C1EEF"/>
    <w:rsid w:val="0D0C14ED"/>
    <w:rsid w:val="0D6039E5"/>
    <w:rsid w:val="0DDE0C6E"/>
    <w:rsid w:val="0DE44AB1"/>
    <w:rsid w:val="0F573D98"/>
    <w:rsid w:val="0FBF064C"/>
    <w:rsid w:val="10011F66"/>
    <w:rsid w:val="10972384"/>
    <w:rsid w:val="110F2EEB"/>
    <w:rsid w:val="11402C86"/>
    <w:rsid w:val="11950633"/>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1783778"/>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D035C7"/>
    <w:rsid w:val="2CE51BB8"/>
    <w:rsid w:val="2D8B5047"/>
    <w:rsid w:val="2D8F39A1"/>
    <w:rsid w:val="2DAC4578"/>
    <w:rsid w:val="2DB36870"/>
    <w:rsid w:val="2DEA6350"/>
    <w:rsid w:val="2E260032"/>
    <w:rsid w:val="2E380045"/>
    <w:rsid w:val="2E743CC0"/>
    <w:rsid w:val="2EFA1D2E"/>
    <w:rsid w:val="2F2E6BFF"/>
    <w:rsid w:val="2FC241F2"/>
    <w:rsid w:val="2FEF2882"/>
    <w:rsid w:val="30045C2F"/>
    <w:rsid w:val="307B7E58"/>
    <w:rsid w:val="308129DD"/>
    <w:rsid w:val="30DF2B6C"/>
    <w:rsid w:val="313E1E7A"/>
    <w:rsid w:val="330E4E8B"/>
    <w:rsid w:val="33161353"/>
    <w:rsid w:val="334E3954"/>
    <w:rsid w:val="335E270E"/>
    <w:rsid w:val="34255CC8"/>
    <w:rsid w:val="35023A98"/>
    <w:rsid w:val="358A1AD4"/>
    <w:rsid w:val="358B06A1"/>
    <w:rsid w:val="35E41FA9"/>
    <w:rsid w:val="360B40D3"/>
    <w:rsid w:val="3661221B"/>
    <w:rsid w:val="379963C7"/>
    <w:rsid w:val="37A433E0"/>
    <w:rsid w:val="37AE0477"/>
    <w:rsid w:val="38004B22"/>
    <w:rsid w:val="38BE6922"/>
    <w:rsid w:val="39140E3A"/>
    <w:rsid w:val="398C2739"/>
    <w:rsid w:val="39E974DB"/>
    <w:rsid w:val="3C3045D4"/>
    <w:rsid w:val="3C4C5078"/>
    <w:rsid w:val="3DC862F7"/>
    <w:rsid w:val="3DDE3626"/>
    <w:rsid w:val="3E28408B"/>
    <w:rsid w:val="401C5798"/>
    <w:rsid w:val="40794199"/>
    <w:rsid w:val="408A19B3"/>
    <w:rsid w:val="40CF0453"/>
    <w:rsid w:val="40E16D7E"/>
    <w:rsid w:val="40F0643B"/>
    <w:rsid w:val="41414714"/>
    <w:rsid w:val="419C13AE"/>
    <w:rsid w:val="41A73FEA"/>
    <w:rsid w:val="41B40E40"/>
    <w:rsid w:val="424D6740"/>
    <w:rsid w:val="425C406C"/>
    <w:rsid w:val="42DF02D2"/>
    <w:rsid w:val="43D1165A"/>
    <w:rsid w:val="44C917FC"/>
    <w:rsid w:val="45045D25"/>
    <w:rsid w:val="45AD67D6"/>
    <w:rsid w:val="45CF1EF0"/>
    <w:rsid w:val="45E20A8C"/>
    <w:rsid w:val="469E66E7"/>
    <w:rsid w:val="47097B32"/>
    <w:rsid w:val="47382C50"/>
    <w:rsid w:val="473A0E5B"/>
    <w:rsid w:val="476617B8"/>
    <w:rsid w:val="47A74B50"/>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EE341AF"/>
    <w:rsid w:val="4F382032"/>
    <w:rsid w:val="50E83C80"/>
    <w:rsid w:val="50E84976"/>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6F73A0C"/>
    <w:rsid w:val="673113AB"/>
    <w:rsid w:val="67593ED7"/>
    <w:rsid w:val="678C7059"/>
    <w:rsid w:val="6807069B"/>
    <w:rsid w:val="68AC152E"/>
    <w:rsid w:val="68C83A2C"/>
    <w:rsid w:val="695323C7"/>
    <w:rsid w:val="69DF4A2B"/>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3D7A07"/>
    <w:rsid w:val="77FD169B"/>
    <w:rsid w:val="793E1CA2"/>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0"/>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unhideWhenUsed/>
    <w:qFormat/>
    <w:uiPriority w:val="99"/>
    <w:pPr>
      <w:spacing w:beforeAutospacing="1" w:afterAutospacing="1"/>
      <w:jc w:val="left"/>
    </w:pPr>
    <w:rPr>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style>
  <w:style w:type="paragraph" w:customStyle="1" w:styleId="19">
    <w:name w:val="标题1"/>
    <w:basedOn w:val="5"/>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paragraph" w:customStyle="1" w:styleId="26">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font21"/>
    <w:basedOn w:val="17"/>
    <w:qFormat/>
    <w:uiPriority w:val="0"/>
    <w:rPr>
      <w:rFonts w:hint="eastAsia" w:ascii="微软雅黑" w:hAnsi="微软雅黑" w:eastAsia="微软雅黑" w:cs="微软雅黑"/>
      <w:color w:val="000000"/>
      <w:sz w:val="20"/>
      <w:szCs w:val="20"/>
      <w:u w:val="none"/>
    </w:rPr>
  </w:style>
  <w:style w:type="character" w:customStyle="1" w:styleId="28">
    <w:name w:val="font31"/>
    <w:basedOn w:val="17"/>
    <w:qFormat/>
    <w:uiPriority w:val="0"/>
    <w:rPr>
      <w:rFonts w:hint="eastAsia" w:ascii="微软雅黑" w:hAnsi="微软雅黑" w:eastAsia="微软雅黑" w:cs="微软雅黑"/>
      <w:b/>
      <w:bCs/>
      <w:color w:val="FF0000"/>
      <w:sz w:val="20"/>
      <w:szCs w:val="20"/>
      <w:u w:val="none"/>
    </w:rPr>
  </w:style>
  <w:style w:type="character" w:customStyle="1" w:styleId="29">
    <w:name w:val="font41"/>
    <w:basedOn w:val="17"/>
    <w:qFormat/>
    <w:uiPriority w:val="0"/>
    <w:rPr>
      <w:rFonts w:hint="eastAsia" w:ascii="微软雅黑" w:hAnsi="微软雅黑" w:eastAsia="微软雅黑" w:cs="微软雅黑"/>
      <w:b/>
      <w:bCs/>
      <w:color w:val="000000"/>
      <w:sz w:val="20"/>
      <w:szCs w:val="20"/>
      <w:u w:val="none"/>
    </w:rPr>
  </w:style>
  <w:style w:type="character" w:customStyle="1" w:styleId="30">
    <w:name w:val="批注框文本 字符"/>
    <w:basedOn w:val="17"/>
    <w:link w:val="9"/>
    <w:qFormat/>
    <w:uiPriority w:val="0"/>
    <w:rPr>
      <w:kern w:val="2"/>
      <w:sz w:val="18"/>
      <w:szCs w:val="18"/>
    </w:rPr>
  </w:style>
  <w:style w:type="paragraph" w:styleId="3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1266</Words>
  <Characters>1286</Characters>
  <Lines>10</Lines>
  <Paragraphs>3</Paragraphs>
  <TotalTime>7</TotalTime>
  <ScaleCrop>false</ScaleCrop>
  <LinksUpToDate>false</LinksUpToDate>
  <CharactersWithSpaces>1313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E17042C264E1498893B22EEC2CFFE997</cp:lastModifiedBy>
  <dcterms:modified xsi:type="dcterms:W3CDTF">2024-08-29T07:16:58Z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3D56165443564B5FBBA7AB996A95A1D6_13</vt:lpwstr>
  </property>
</Properties>
</file>