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57" w:beforeLines="50" w:after="313" w:afterLines="100"/>
        <w:jc w:val="center"/>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南方电网调峰调频发电有限公司储能科研院实验中心认可现场评审项目</w:t>
      </w:r>
    </w:p>
    <w:p>
      <w:pPr>
        <w:keepNext w:val="0"/>
        <w:keepLines w:val="0"/>
        <w:pageBreakBefore w:val="0"/>
        <w:widowControl w:val="0"/>
        <w:kinsoku/>
        <w:wordWrap/>
        <w:overflowPunct/>
        <w:topLinePunct w:val="0"/>
        <w:autoSpaceDE/>
        <w:autoSpaceDN/>
        <w:bidi w:val="0"/>
        <w:adjustRightInd/>
        <w:snapToGrid/>
        <w:spacing w:before="157" w:beforeLines="50" w:after="313" w:afterLines="100"/>
        <w:jc w:val="center"/>
        <w:textAlignment w:val="auto"/>
        <w:rPr>
          <w:rFonts w:hint="eastAsia" w:ascii="Times New Roman" w:hAnsi="Times New Roman" w:eastAsia="宋体" w:cs="Times New Roman"/>
          <w:b/>
          <w:bCs/>
          <w:sz w:val="24"/>
          <w:szCs w:val="32"/>
          <w:lang w:val="en-US" w:eastAsia="zh-CN"/>
        </w:rPr>
      </w:pPr>
      <w:r>
        <w:rPr>
          <w:rFonts w:hint="eastAsia" w:ascii="Times New Roman" w:hAnsi="Times New Roman" w:eastAsia="宋体" w:cs="Times New Roman"/>
          <w:b/>
          <w:bCs/>
          <w:sz w:val="24"/>
          <w:szCs w:val="32"/>
          <w:lang w:val="en-US" w:eastAsia="zh-CN"/>
        </w:rPr>
        <w:t>技术规范书</w:t>
      </w:r>
    </w:p>
    <w:p>
      <w:pPr>
        <w:spacing w:line="360" w:lineRule="auto"/>
        <w:rPr>
          <w:rFonts w:asciiTheme="minorEastAsia" w:hAnsiTheme="minorEastAsia"/>
          <w:b/>
          <w:bCs/>
          <w:sz w:val="24"/>
          <w:szCs w:val="24"/>
        </w:rPr>
      </w:pPr>
      <w:r>
        <w:rPr>
          <w:rFonts w:hint="eastAsia" w:asciiTheme="minorEastAsia" w:hAnsiTheme="minorEastAsia"/>
          <w:b/>
          <w:bCs/>
          <w:sz w:val="24"/>
          <w:szCs w:val="24"/>
          <w:lang w:val="en-US" w:eastAsia="zh-CN"/>
        </w:rPr>
        <w:t>一、</w:t>
      </w:r>
      <w:r>
        <w:rPr>
          <w:rFonts w:asciiTheme="minorEastAsia" w:hAnsiTheme="minorEastAsia"/>
          <w:b/>
          <w:bCs/>
          <w:sz w:val="24"/>
          <w:szCs w:val="24"/>
        </w:rPr>
        <w:t>项目名称</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南方电网调峰调频发电有限公司储能科研院实验中心认可现场评审项目</w:t>
      </w:r>
    </w:p>
    <w:p>
      <w:pPr>
        <w:spacing w:line="360" w:lineRule="auto"/>
        <w:rPr>
          <w:rFonts w:asciiTheme="minorEastAsia" w:hAnsiTheme="minorEastAsia"/>
          <w:b/>
          <w:bCs/>
          <w:sz w:val="24"/>
          <w:szCs w:val="24"/>
        </w:rPr>
      </w:pPr>
      <w:r>
        <w:rPr>
          <w:rFonts w:hint="eastAsia" w:asciiTheme="minorEastAsia" w:hAnsiTheme="minorEastAsia"/>
          <w:b/>
          <w:bCs/>
          <w:sz w:val="24"/>
          <w:szCs w:val="24"/>
          <w:lang w:val="en-US" w:eastAsia="zh-CN"/>
        </w:rPr>
        <w:t>二、</w:t>
      </w:r>
      <w:r>
        <w:rPr>
          <w:rFonts w:hint="eastAsia" w:asciiTheme="minorEastAsia" w:hAnsiTheme="minorEastAsia"/>
          <w:b/>
          <w:bCs/>
          <w:sz w:val="24"/>
          <w:szCs w:val="24"/>
        </w:rPr>
        <w:t>项目概况：</w:t>
      </w:r>
    </w:p>
    <w:p>
      <w:pPr>
        <w:spacing w:line="360" w:lineRule="auto"/>
        <w:ind w:firstLine="480" w:firstLineChars="200"/>
        <w:rPr>
          <w:rFonts w:hint="default" w:asciiTheme="minorEastAsia" w:hAnsiTheme="minorEastAsia"/>
          <w:sz w:val="24"/>
          <w:szCs w:val="24"/>
          <w:lang w:val="en-US" w:eastAsia="zh-CN"/>
        </w:rPr>
      </w:pPr>
      <w:r>
        <w:rPr>
          <w:rFonts w:hint="eastAsia" w:asciiTheme="minorEastAsia" w:hAnsiTheme="minorEastAsia"/>
          <w:sz w:val="24"/>
          <w:szCs w:val="24"/>
          <w:lang w:val="en-US" w:eastAsia="zh-CN"/>
        </w:rPr>
        <w:t>为顺利开展</w:t>
      </w:r>
      <w:r>
        <w:rPr>
          <w:rFonts w:hint="eastAsia" w:asciiTheme="minorEastAsia" w:hAnsiTheme="minorEastAsia"/>
          <w:sz w:val="24"/>
          <w:szCs w:val="24"/>
        </w:rPr>
        <w:t>南方电网调峰调频发电有限公司储能科研院实验中心</w:t>
      </w:r>
      <w:r>
        <w:rPr>
          <w:rFonts w:hint="eastAsia" w:asciiTheme="minorEastAsia" w:hAnsiTheme="minorEastAsia"/>
          <w:sz w:val="24"/>
          <w:szCs w:val="24"/>
          <w:lang w:val="en-US" w:eastAsia="zh-CN"/>
        </w:rPr>
        <w:t>CNAS</w:t>
      </w:r>
      <w:r>
        <w:rPr>
          <w:rFonts w:hint="eastAsia" w:asciiTheme="minorEastAsia" w:hAnsiTheme="minorEastAsia"/>
          <w:sz w:val="24"/>
          <w:szCs w:val="24"/>
        </w:rPr>
        <w:t>认可现场评审</w:t>
      </w:r>
      <w:r>
        <w:rPr>
          <w:rFonts w:hint="eastAsia" w:asciiTheme="minorEastAsia" w:hAnsiTheme="minorEastAsia"/>
          <w:sz w:val="24"/>
          <w:szCs w:val="24"/>
          <w:lang w:val="en-US" w:eastAsia="zh-CN"/>
        </w:rPr>
        <w:t>工作，现需采购现场评审协助服务，主要包括协助开展现场评审资料准备、协助开展现场评审活动落实、协助现场评审专家对接安排等。</w:t>
      </w:r>
    </w:p>
    <w:p>
      <w:pPr>
        <w:spacing w:line="360" w:lineRule="auto"/>
        <w:ind w:firstLine="480" w:firstLineChars="200"/>
        <w:rPr>
          <w:rFonts w:hint="eastAsia" w:asciiTheme="minorEastAsia" w:hAnsiTheme="minorEastAsia"/>
          <w:sz w:val="24"/>
          <w:szCs w:val="24"/>
          <w:lang w:eastAsia="zh-CN"/>
        </w:rPr>
      </w:pPr>
      <w:r>
        <w:rPr>
          <w:rFonts w:hint="eastAsia" w:asciiTheme="minorEastAsia" w:hAnsiTheme="minorEastAsia"/>
          <w:sz w:val="24"/>
          <w:szCs w:val="24"/>
        </w:rPr>
        <w:t>此次零星采购，控制价以下进行报价为有效报价，超过控制价的报价视为无效报价。本次采购须提供成本分析报告，成本分析报告需充分说明单价和费用的组成、降低成本的合理措施。未提供成本分析报告的，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sz w:val="24"/>
          <w:szCs w:val="24"/>
          <w:highlight w:val="none"/>
        </w:rPr>
      </w:pPr>
      <w:r>
        <w:rPr>
          <w:rFonts w:hint="eastAsia" w:asciiTheme="minorEastAsia" w:hAnsiTheme="minorEastAsia"/>
          <w:sz w:val="24"/>
          <w:szCs w:val="24"/>
          <w:highlight w:val="none"/>
        </w:rPr>
        <w:t>为确保CNAS认可现场评审</w:t>
      </w:r>
      <w:r>
        <w:rPr>
          <w:rFonts w:hint="eastAsia" w:asciiTheme="minorEastAsia" w:hAnsiTheme="minorEastAsia"/>
          <w:sz w:val="24"/>
          <w:szCs w:val="24"/>
          <w:highlight w:val="none"/>
          <w:lang w:val="en-US" w:eastAsia="zh-CN"/>
        </w:rPr>
        <w:t>工作顺利开展</w:t>
      </w:r>
      <w:r>
        <w:rPr>
          <w:rFonts w:hint="eastAsia" w:asciiTheme="minorEastAsia" w:hAnsiTheme="minorEastAsia"/>
          <w:sz w:val="24"/>
          <w:szCs w:val="24"/>
          <w:highlight w:val="none"/>
        </w:rPr>
        <w:t>，本采购项目组织现场踏勘，踏勘地点：广东省广州市番禺区东环街莲花大道西858号。</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Theme="minorEastAsia" w:hAnsiTheme="minorEastAsia"/>
          <w:b/>
          <w:bCs/>
          <w:sz w:val="24"/>
          <w:szCs w:val="24"/>
        </w:rPr>
      </w:pPr>
      <w:r>
        <w:rPr>
          <w:rFonts w:hint="eastAsia" w:asciiTheme="minorEastAsia" w:hAnsiTheme="minorEastAsia"/>
          <w:b/>
          <w:bCs/>
          <w:sz w:val="24"/>
          <w:szCs w:val="24"/>
        </w:rPr>
        <w:t>服务期限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sz w:val="24"/>
          <w:szCs w:val="24"/>
        </w:rPr>
      </w:pPr>
      <w:r>
        <w:rPr>
          <w:rFonts w:hint="eastAsia" w:asciiTheme="minorEastAsia" w:hAnsiTheme="minorEastAsia"/>
          <w:sz w:val="24"/>
          <w:szCs w:val="24"/>
          <w:lang w:val="en-US" w:eastAsia="zh-CN"/>
        </w:rPr>
        <w:t>4</w:t>
      </w:r>
      <w:r>
        <w:rPr>
          <w:rFonts w:hint="eastAsia" w:asciiTheme="minorEastAsia" w:hAnsiTheme="minorEastAsia"/>
          <w:sz w:val="24"/>
          <w:szCs w:val="24"/>
        </w:rPr>
        <w:t>个月</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Theme="minorEastAsia" w:hAnsiTheme="minorEastAsia"/>
          <w:b/>
          <w:bCs/>
          <w:sz w:val="24"/>
          <w:szCs w:val="24"/>
          <w:lang w:val="en-US" w:eastAsia="zh-CN"/>
        </w:rPr>
      </w:pPr>
      <w:r>
        <w:rPr>
          <w:rFonts w:hint="eastAsia" w:asciiTheme="minorEastAsia" w:hAnsiTheme="minorEastAsia"/>
          <w:b/>
          <w:bCs/>
          <w:sz w:val="24"/>
          <w:szCs w:val="24"/>
          <w:lang w:val="en-US" w:eastAsia="zh-CN"/>
        </w:rPr>
        <w:t>服务内容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1.协助开展现场评审资料准备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1.1协助编制系统提交CNAS申请资料，包括但不限于管理体系核查表、质量手册和程序文件、内审管审材料等。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1.2协助组织开展现场文件评审，主要为跟踪文件评审结果，根据文件评审反馈情况及时进行沟通、处理。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2.协助开展现场评审活动落实</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2.1协助细化现场评审计划，做好评审组与各被评审部门及相关负责人的信息沟通、行程确定等。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2.2协助各被评审部门提供相关现场表单记录、报告等支撑证明材料，做好材料传递、跟踪、反馈等工作。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3.协助现场评审专家对接安排</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3.1协助与现场评审专家对接，合理安排评审专家行程、住宿、餐饮等服务，并确保专家能按指定时间到达评审现场。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3.2做好与专家的信息沟通，协助专家解决相关费用核销、文件传递等问题。</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Theme="minorEastAsia" w:hAnsiTheme="minorEastAsia"/>
          <w:b/>
          <w:bCs/>
          <w:sz w:val="24"/>
          <w:szCs w:val="24"/>
          <w:lang w:val="en-US" w:eastAsia="zh-CN"/>
        </w:rPr>
      </w:pPr>
      <w:r>
        <w:rPr>
          <w:rFonts w:hint="eastAsia" w:asciiTheme="minorEastAsia" w:hAnsiTheme="minorEastAsia"/>
          <w:b/>
          <w:bCs/>
          <w:sz w:val="24"/>
          <w:szCs w:val="24"/>
          <w:lang w:val="en-US" w:eastAsia="zh-CN"/>
        </w:rPr>
        <w:t>供应商需提供证明文件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sz w:val="24"/>
          <w:szCs w:val="24"/>
        </w:rPr>
        <w:sectPr>
          <w:pgSz w:w="11906" w:h="16838"/>
          <w:pgMar w:top="1440" w:right="1800" w:bottom="1440" w:left="1800" w:header="851" w:footer="992" w:gutter="0"/>
          <w:cols w:space="425" w:num="1"/>
          <w:docGrid w:type="lines" w:linePitch="312" w:charSpace="0"/>
        </w:sectPr>
      </w:pPr>
      <w:r>
        <w:rPr>
          <w:rFonts w:hint="eastAsia" w:asciiTheme="minorEastAsia" w:hAnsiTheme="minorEastAsia"/>
          <w:sz w:val="24"/>
          <w:szCs w:val="24"/>
        </w:rPr>
        <w:t>营业执照、报价明细表（见附件）、</w:t>
      </w:r>
      <w:r>
        <w:rPr>
          <w:rFonts w:hint="eastAsia" w:asciiTheme="minorEastAsia" w:hAnsiTheme="minorEastAsia"/>
          <w:sz w:val="24"/>
          <w:szCs w:val="24"/>
          <w:lang w:val="en-US" w:eastAsia="zh-CN"/>
        </w:rPr>
        <w:t>成本分析报告</w:t>
      </w:r>
      <w:bookmarkStart w:id="0" w:name="_GoBack"/>
      <w:bookmarkEnd w:id="0"/>
      <w:r>
        <w:rPr>
          <w:rFonts w:hint="eastAsia" w:asciiTheme="minorEastAsia" w:hAnsiTheme="minorEastAsia"/>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b/>
          <w:sz w:val="24"/>
          <w:szCs w:val="24"/>
        </w:rPr>
      </w:pPr>
      <w:r>
        <w:rPr>
          <w:rFonts w:hint="eastAsia" w:asciiTheme="minorEastAsia" w:hAnsiTheme="minorEastAsia"/>
          <w:b/>
          <w:sz w:val="24"/>
          <w:szCs w:val="24"/>
        </w:rPr>
        <w:t>附件：报价明细表</w:t>
      </w:r>
    </w:p>
    <w:tbl>
      <w:tblPr>
        <w:tblStyle w:val="2"/>
        <w:tblW w:w="14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2770"/>
        <w:gridCol w:w="2292"/>
        <w:gridCol w:w="2597"/>
        <w:gridCol w:w="804"/>
        <w:gridCol w:w="1068"/>
        <w:gridCol w:w="1296"/>
        <w:gridCol w:w="1180"/>
        <w:gridCol w:w="15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4210" w:type="dxa"/>
            <w:gridSpan w:val="9"/>
            <w:vAlign w:val="center"/>
          </w:tcPr>
          <w:p>
            <w:pPr>
              <w:widowControl/>
              <w:jc w:val="center"/>
              <w:rPr>
                <w:rFonts w:ascii="宋体" w:hAnsi="宋体" w:cs="宋体"/>
                <w:b/>
                <w:color w:val="000000"/>
                <w:kern w:val="0"/>
                <w:sz w:val="28"/>
              </w:rPr>
            </w:pPr>
            <w:r>
              <w:rPr>
                <w:rFonts w:hint="eastAsia" w:ascii="宋体" w:hAnsi="宋体" w:cs="宋体"/>
                <w:b/>
                <w:color w:val="000000"/>
                <w:kern w:val="0"/>
                <w:sz w:val="28"/>
              </w:rPr>
              <w:t>南方电网调峰调频发电有限公司储能科研院实验中心认可现场评审项目</w:t>
            </w:r>
          </w:p>
          <w:p>
            <w:pPr>
              <w:widowControl/>
              <w:jc w:val="center"/>
              <w:rPr>
                <w:rFonts w:ascii="宋体" w:hAnsi="宋体" w:cs="宋体"/>
                <w:b/>
                <w:color w:val="000000"/>
                <w:kern w:val="0"/>
                <w:sz w:val="28"/>
              </w:rPr>
            </w:pPr>
            <w:r>
              <w:rPr>
                <w:rFonts w:hint="eastAsia" w:ascii="宋体" w:hAnsi="宋体" w:cs="宋体"/>
                <w:b/>
                <w:color w:val="000000"/>
                <w:kern w:val="0"/>
                <w:sz w:val="28"/>
              </w:rPr>
              <w:t>报价明细表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657" w:type="dxa"/>
            <w:shd w:val="clear" w:color="auto" w:fill="auto"/>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序号</w:t>
            </w:r>
          </w:p>
        </w:tc>
        <w:tc>
          <w:tcPr>
            <w:tcW w:w="2770" w:type="dxa"/>
            <w:shd w:val="clear" w:color="auto" w:fill="auto"/>
            <w:vAlign w:val="center"/>
          </w:tcPr>
          <w:p>
            <w:pPr>
              <w:widowControl/>
              <w:jc w:val="center"/>
              <w:rPr>
                <w:rFonts w:hint="eastAsia" w:ascii="宋体" w:hAnsi="宋体" w:cs="宋体" w:eastAsiaTheme="minorEastAsia"/>
                <w:b/>
                <w:bCs/>
                <w:kern w:val="0"/>
                <w:sz w:val="24"/>
                <w:szCs w:val="24"/>
                <w:lang w:eastAsia="zh-CN"/>
              </w:rPr>
            </w:pPr>
            <w:r>
              <w:rPr>
                <w:rFonts w:hint="eastAsia" w:ascii="宋体" w:hAnsi="宋体" w:cs="宋体"/>
                <w:b/>
                <w:bCs/>
                <w:kern w:val="0"/>
                <w:sz w:val="24"/>
                <w:szCs w:val="24"/>
                <w:lang w:val="en-US" w:eastAsia="zh-CN"/>
              </w:rPr>
              <w:t>内容</w:t>
            </w:r>
          </w:p>
        </w:tc>
        <w:tc>
          <w:tcPr>
            <w:tcW w:w="2292" w:type="dxa"/>
            <w:shd w:val="clear" w:color="auto" w:fill="auto"/>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质量要求</w:t>
            </w:r>
          </w:p>
        </w:tc>
        <w:tc>
          <w:tcPr>
            <w:tcW w:w="2597" w:type="dxa"/>
            <w:shd w:val="clear" w:color="auto" w:fill="auto"/>
            <w:vAlign w:val="center"/>
          </w:tcPr>
          <w:p>
            <w:pPr>
              <w:widowControl/>
              <w:jc w:val="center"/>
              <w:rPr>
                <w:rFonts w:hint="eastAsia" w:ascii="宋体" w:hAnsi="宋体" w:cs="宋体"/>
                <w:b/>
                <w:bCs/>
                <w:kern w:val="0"/>
                <w:sz w:val="24"/>
                <w:szCs w:val="24"/>
              </w:rPr>
            </w:pPr>
            <w:r>
              <w:rPr>
                <w:rFonts w:hint="eastAsia" w:ascii="宋体" w:hAnsi="宋体" w:cs="宋体"/>
                <w:b/>
                <w:bCs/>
                <w:kern w:val="0"/>
                <w:sz w:val="24"/>
                <w:szCs w:val="24"/>
                <w:lang w:val="en-US" w:eastAsia="zh-CN"/>
              </w:rPr>
              <w:t>主要费用组成</w:t>
            </w:r>
          </w:p>
        </w:tc>
        <w:tc>
          <w:tcPr>
            <w:tcW w:w="804" w:type="dxa"/>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计量单位</w:t>
            </w:r>
          </w:p>
        </w:tc>
        <w:tc>
          <w:tcPr>
            <w:tcW w:w="1068" w:type="dxa"/>
            <w:shd w:val="clear" w:color="auto" w:fill="auto"/>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需求数量</w:t>
            </w:r>
          </w:p>
        </w:tc>
        <w:tc>
          <w:tcPr>
            <w:tcW w:w="1296" w:type="dxa"/>
            <w:shd w:val="clear" w:color="auto" w:fill="auto"/>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报价单价</w:t>
            </w:r>
            <w:r>
              <w:rPr>
                <w:rFonts w:hint="eastAsia" w:ascii="宋体" w:hAnsi="宋体" w:cs="宋体"/>
                <w:b/>
                <w:bCs/>
                <w:kern w:val="0"/>
                <w:sz w:val="24"/>
                <w:szCs w:val="24"/>
              </w:rPr>
              <w:br w:type="textWrapping"/>
            </w:r>
            <w:r>
              <w:rPr>
                <w:rFonts w:hint="eastAsia" w:ascii="宋体" w:hAnsi="宋体" w:cs="宋体"/>
                <w:b/>
                <w:bCs/>
                <w:kern w:val="0"/>
                <w:sz w:val="24"/>
                <w:szCs w:val="24"/>
              </w:rPr>
              <w:t>（元）</w:t>
            </w:r>
          </w:p>
        </w:tc>
        <w:tc>
          <w:tcPr>
            <w:tcW w:w="1180" w:type="dxa"/>
            <w:shd w:val="clear" w:color="auto" w:fill="auto"/>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分项合计</w:t>
            </w:r>
            <w:r>
              <w:rPr>
                <w:rFonts w:hint="eastAsia" w:ascii="宋体" w:hAnsi="宋体" w:cs="宋体"/>
                <w:b/>
                <w:bCs/>
                <w:kern w:val="0"/>
                <w:sz w:val="24"/>
                <w:szCs w:val="24"/>
              </w:rPr>
              <w:br w:type="textWrapping"/>
            </w:r>
            <w:r>
              <w:rPr>
                <w:rFonts w:hint="eastAsia" w:ascii="宋体" w:hAnsi="宋体" w:cs="宋体"/>
                <w:b/>
                <w:bCs/>
                <w:kern w:val="0"/>
                <w:sz w:val="24"/>
                <w:szCs w:val="24"/>
              </w:rPr>
              <w:t>（元）</w:t>
            </w:r>
          </w:p>
        </w:tc>
        <w:tc>
          <w:tcPr>
            <w:tcW w:w="1546" w:type="dxa"/>
            <w:shd w:val="clear" w:color="auto" w:fill="auto"/>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交付地点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57" w:type="dxa"/>
            <w:shd w:val="clear" w:color="auto" w:fill="auto"/>
            <w:vAlign w:val="center"/>
          </w:tcPr>
          <w:p>
            <w:pPr>
              <w:widowControl/>
              <w:jc w:val="center"/>
              <w:rPr>
                <w:rFonts w:ascii="宋体" w:hAnsi="宋体" w:cs="宋体"/>
                <w:kern w:val="0"/>
                <w:sz w:val="24"/>
                <w:szCs w:val="24"/>
              </w:rPr>
            </w:pPr>
            <w:r>
              <w:rPr>
                <w:rFonts w:hint="eastAsia" w:ascii="宋体" w:hAnsi="宋体" w:cs="宋体"/>
                <w:kern w:val="0"/>
                <w:sz w:val="24"/>
                <w:szCs w:val="24"/>
              </w:rPr>
              <w:t>1</w:t>
            </w:r>
          </w:p>
        </w:tc>
        <w:tc>
          <w:tcPr>
            <w:tcW w:w="2770" w:type="dxa"/>
            <w:shd w:val="clear" w:color="auto" w:fill="auto"/>
            <w:vAlign w:val="center"/>
          </w:tcPr>
          <w:p>
            <w:pPr>
              <w:widowControl/>
              <w:jc w:val="center"/>
              <w:rPr>
                <w:rFonts w:hint="default" w:ascii="宋体" w:hAnsi="宋体" w:cs="宋体" w:eastAsiaTheme="minorEastAsia"/>
                <w:color w:val="000000"/>
                <w:kern w:val="0"/>
                <w:sz w:val="24"/>
                <w:szCs w:val="24"/>
                <w:lang w:val="en-US" w:eastAsia="zh-CN"/>
              </w:rPr>
            </w:pPr>
            <w:r>
              <w:rPr>
                <w:rFonts w:hint="default" w:ascii="宋体" w:hAnsi="宋体" w:cs="宋体" w:eastAsiaTheme="minorEastAsia"/>
                <w:color w:val="000000"/>
                <w:kern w:val="0"/>
                <w:sz w:val="24"/>
                <w:szCs w:val="24"/>
                <w:lang w:val="en-US" w:eastAsia="zh-CN"/>
              </w:rPr>
              <w:t>协助开展现场评审资料准备</w:t>
            </w:r>
          </w:p>
        </w:tc>
        <w:tc>
          <w:tcPr>
            <w:tcW w:w="2292" w:type="dxa"/>
            <w:shd w:val="clear" w:color="auto" w:fill="auto"/>
            <w:vAlign w:val="center"/>
          </w:tcPr>
          <w:p>
            <w:pPr>
              <w:widowControl/>
              <w:jc w:val="center"/>
              <w:rPr>
                <w:rFonts w:hint="default" w:ascii="宋体" w:hAnsi="宋体" w:cs="宋体"/>
                <w:color w:val="000000"/>
                <w:kern w:val="0"/>
                <w:sz w:val="24"/>
                <w:szCs w:val="24"/>
                <w:lang w:val="en-US"/>
              </w:rPr>
            </w:pPr>
            <w:r>
              <w:rPr>
                <w:rFonts w:hint="eastAsia" w:ascii="宋体" w:hAnsi="宋体" w:cs="宋体"/>
                <w:color w:val="000000"/>
                <w:kern w:val="0"/>
                <w:sz w:val="24"/>
                <w:szCs w:val="24"/>
                <w:lang w:val="en-US" w:eastAsia="zh-CN"/>
              </w:rPr>
              <w:t>按期提交申请及组织开展文件评审</w:t>
            </w:r>
          </w:p>
        </w:tc>
        <w:tc>
          <w:tcPr>
            <w:tcW w:w="2597" w:type="dxa"/>
            <w:shd w:val="clear" w:color="auto" w:fill="auto"/>
            <w:vAlign w:val="center"/>
          </w:tcPr>
          <w:p>
            <w:pPr>
              <w:widowControl/>
              <w:jc w:val="center"/>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申请及文件评审费用</w:t>
            </w:r>
          </w:p>
        </w:tc>
        <w:tc>
          <w:tcPr>
            <w:tcW w:w="804" w:type="dxa"/>
            <w:vAlign w:val="center"/>
          </w:tcPr>
          <w:p>
            <w:pPr>
              <w:widowControl/>
              <w:jc w:val="center"/>
              <w:rPr>
                <w:rFonts w:hint="eastAsia" w:ascii="宋体" w:hAnsi="宋体" w:cs="宋体" w:eastAsiaTheme="minorEastAsia"/>
                <w:color w:val="000000"/>
                <w:kern w:val="0"/>
                <w:sz w:val="24"/>
                <w:szCs w:val="24"/>
                <w:lang w:val="en-US" w:eastAsia="zh-CN"/>
              </w:rPr>
            </w:pPr>
            <w:r>
              <w:rPr>
                <w:rFonts w:hint="eastAsia" w:ascii="宋体" w:hAnsi="宋体" w:cs="宋体"/>
                <w:color w:val="000000"/>
                <w:kern w:val="0"/>
                <w:sz w:val="24"/>
                <w:szCs w:val="24"/>
                <w:lang w:val="en-US" w:eastAsia="zh-CN"/>
              </w:rPr>
              <w:t>项</w:t>
            </w:r>
          </w:p>
        </w:tc>
        <w:tc>
          <w:tcPr>
            <w:tcW w:w="1068" w:type="dxa"/>
            <w:shd w:val="clear" w:color="auto" w:fill="auto"/>
            <w:vAlign w:val="center"/>
          </w:tcPr>
          <w:p>
            <w:pPr>
              <w:widowControl/>
              <w:jc w:val="center"/>
              <w:rPr>
                <w:rFonts w:hint="eastAsia" w:ascii="宋体" w:hAnsi="宋体" w:cs="宋体" w:eastAsiaTheme="minorEastAsia"/>
                <w:color w:val="000000"/>
                <w:kern w:val="0"/>
                <w:sz w:val="24"/>
                <w:szCs w:val="24"/>
                <w:lang w:val="en-US" w:eastAsia="zh-CN"/>
              </w:rPr>
            </w:pPr>
            <w:r>
              <w:rPr>
                <w:rFonts w:hint="eastAsia" w:ascii="宋体" w:hAnsi="宋体" w:cs="宋体"/>
                <w:color w:val="000000"/>
                <w:kern w:val="0"/>
                <w:sz w:val="24"/>
                <w:szCs w:val="24"/>
                <w:lang w:val="en-US" w:eastAsia="zh-CN"/>
              </w:rPr>
              <w:t>1</w:t>
            </w:r>
          </w:p>
        </w:tc>
        <w:tc>
          <w:tcPr>
            <w:tcW w:w="1296" w:type="dxa"/>
            <w:shd w:val="clear" w:color="auto" w:fill="auto"/>
            <w:vAlign w:val="center"/>
          </w:tcPr>
          <w:p>
            <w:pPr>
              <w:widowControl/>
              <w:jc w:val="center"/>
              <w:rPr>
                <w:rFonts w:ascii="宋体" w:hAnsi="宋体" w:cs="宋体"/>
                <w:color w:val="000000"/>
                <w:kern w:val="0"/>
                <w:sz w:val="24"/>
                <w:szCs w:val="24"/>
              </w:rPr>
            </w:pPr>
          </w:p>
        </w:tc>
        <w:tc>
          <w:tcPr>
            <w:tcW w:w="1180" w:type="dxa"/>
            <w:shd w:val="clear" w:color="000000" w:fill="FFFFFF"/>
            <w:noWrap/>
            <w:vAlign w:val="center"/>
          </w:tcPr>
          <w:p>
            <w:pPr>
              <w:widowControl/>
              <w:jc w:val="center"/>
              <w:rPr>
                <w:rFonts w:ascii="宋体" w:hAnsi="宋体" w:cs="宋体"/>
                <w:color w:val="000000"/>
                <w:kern w:val="0"/>
                <w:sz w:val="24"/>
                <w:szCs w:val="24"/>
              </w:rPr>
            </w:pPr>
          </w:p>
        </w:tc>
        <w:tc>
          <w:tcPr>
            <w:tcW w:w="1546" w:type="dxa"/>
            <w:vMerge w:val="restart"/>
            <w:shd w:val="clear" w:color="auto" w:fill="auto"/>
            <w:vAlign w:val="center"/>
          </w:tcPr>
          <w:p>
            <w:pPr>
              <w:widowControl/>
              <w:jc w:val="center"/>
              <w:rPr>
                <w:rFonts w:hint="default" w:ascii="宋体" w:hAnsi="宋体" w:cs="宋体" w:eastAsiaTheme="minorEastAsia"/>
                <w:kern w:val="0"/>
                <w:sz w:val="24"/>
                <w:szCs w:val="24"/>
                <w:lang w:val="en-US" w:eastAsia="zh-CN"/>
              </w:rPr>
            </w:pPr>
            <w:r>
              <w:rPr>
                <w:rFonts w:hint="eastAsia" w:ascii="宋体" w:hAnsi="宋体" w:cs="宋体"/>
                <w:kern w:val="0"/>
                <w:sz w:val="24"/>
                <w:szCs w:val="24"/>
                <w:lang w:val="en-US" w:eastAsia="zh-CN"/>
              </w:rPr>
              <w:t>广州番禺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657" w:type="dxa"/>
            <w:shd w:val="clear" w:color="auto" w:fill="auto"/>
            <w:vAlign w:val="center"/>
          </w:tcPr>
          <w:p>
            <w:pPr>
              <w:widowControl/>
              <w:jc w:val="center"/>
              <w:rPr>
                <w:rFonts w:ascii="宋体" w:hAnsi="宋体" w:cs="宋体"/>
                <w:kern w:val="0"/>
                <w:sz w:val="24"/>
                <w:szCs w:val="24"/>
              </w:rPr>
            </w:pPr>
            <w:r>
              <w:rPr>
                <w:rFonts w:hint="eastAsia" w:ascii="宋体" w:hAnsi="宋体" w:cs="宋体"/>
                <w:kern w:val="0"/>
                <w:sz w:val="24"/>
                <w:szCs w:val="24"/>
              </w:rPr>
              <w:t>2</w:t>
            </w:r>
          </w:p>
        </w:tc>
        <w:tc>
          <w:tcPr>
            <w:tcW w:w="2770" w:type="dxa"/>
            <w:shd w:val="clear" w:color="auto" w:fill="auto"/>
            <w:vAlign w:val="center"/>
          </w:tcPr>
          <w:p>
            <w:pPr>
              <w:widowControl/>
              <w:jc w:val="center"/>
              <w:rPr>
                <w:rFonts w:ascii="宋体" w:hAnsi="宋体" w:cs="宋体"/>
                <w:color w:val="000000"/>
                <w:kern w:val="0"/>
                <w:sz w:val="24"/>
                <w:szCs w:val="24"/>
              </w:rPr>
            </w:pPr>
            <w:r>
              <w:rPr>
                <w:rFonts w:hint="default" w:ascii="宋体" w:hAnsi="宋体" w:cs="宋体" w:eastAsiaTheme="minorEastAsia"/>
                <w:color w:val="000000"/>
                <w:kern w:val="0"/>
                <w:sz w:val="24"/>
                <w:szCs w:val="24"/>
                <w:lang w:val="en-US" w:eastAsia="zh-CN"/>
              </w:rPr>
              <w:t>协助开展现场评审活动落实</w:t>
            </w:r>
          </w:p>
        </w:tc>
        <w:tc>
          <w:tcPr>
            <w:tcW w:w="2292" w:type="dxa"/>
            <w:shd w:val="clear" w:color="auto" w:fill="auto"/>
            <w:vAlign w:val="center"/>
          </w:tcPr>
          <w:p>
            <w:pPr>
              <w:widowControl/>
              <w:jc w:val="center"/>
              <w:rPr>
                <w:rFonts w:hint="default" w:ascii="宋体" w:hAnsi="宋体" w:cs="宋体"/>
                <w:color w:val="000000"/>
                <w:kern w:val="0"/>
                <w:sz w:val="24"/>
                <w:szCs w:val="24"/>
                <w:lang w:val="en-US"/>
              </w:rPr>
            </w:pPr>
            <w:r>
              <w:rPr>
                <w:rFonts w:hint="eastAsia" w:ascii="宋体" w:hAnsi="宋体" w:cs="宋体"/>
                <w:color w:val="000000"/>
                <w:kern w:val="0"/>
                <w:sz w:val="24"/>
                <w:szCs w:val="24"/>
                <w:lang w:val="en-US" w:eastAsia="zh-CN"/>
              </w:rPr>
              <w:t>按期组织开展现场评审</w:t>
            </w:r>
          </w:p>
        </w:tc>
        <w:tc>
          <w:tcPr>
            <w:tcW w:w="2597" w:type="dxa"/>
            <w:shd w:val="clear" w:color="auto" w:fill="auto"/>
            <w:vAlign w:val="center"/>
          </w:tcPr>
          <w:p>
            <w:pPr>
              <w:widowControl/>
              <w:jc w:val="center"/>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现场评审费用</w:t>
            </w:r>
          </w:p>
        </w:tc>
        <w:tc>
          <w:tcPr>
            <w:tcW w:w="804" w:type="dxa"/>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val="en-US" w:eastAsia="zh-CN"/>
              </w:rPr>
              <w:t>项</w:t>
            </w:r>
          </w:p>
        </w:tc>
        <w:tc>
          <w:tcPr>
            <w:tcW w:w="1068" w:type="dxa"/>
            <w:shd w:val="clear" w:color="auto" w:fill="auto"/>
            <w:vAlign w:val="center"/>
          </w:tcPr>
          <w:p>
            <w:pPr>
              <w:widowControl/>
              <w:jc w:val="center"/>
              <w:rPr>
                <w:rFonts w:hint="eastAsia" w:ascii="宋体" w:hAnsi="宋体" w:cs="宋体" w:eastAsiaTheme="minorEastAsia"/>
                <w:color w:val="000000"/>
                <w:kern w:val="0"/>
                <w:sz w:val="24"/>
                <w:szCs w:val="24"/>
                <w:lang w:val="en-US" w:eastAsia="zh-CN"/>
              </w:rPr>
            </w:pPr>
            <w:r>
              <w:rPr>
                <w:rFonts w:hint="eastAsia" w:ascii="宋体" w:hAnsi="宋体" w:cs="宋体"/>
                <w:color w:val="000000"/>
                <w:kern w:val="0"/>
                <w:sz w:val="24"/>
                <w:szCs w:val="24"/>
                <w:lang w:val="en-US" w:eastAsia="zh-CN"/>
              </w:rPr>
              <w:t>1</w:t>
            </w:r>
          </w:p>
        </w:tc>
        <w:tc>
          <w:tcPr>
            <w:tcW w:w="1296" w:type="dxa"/>
            <w:shd w:val="clear" w:color="auto" w:fill="auto"/>
            <w:vAlign w:val="center"/>
          </w:tcPr>
          <w:p>
            <w:pPr>
              <w:widowControl/>
              <w:jc w:val="center"/>
              <w:rPr>
                <w:rFonts w:ascii="宋体" w:hAnsi="宋体" w:cs="宋体"/>
                <w:color w:val="000000"/>
                <w:kern w:val="0"/>
                <w:sz w:val="24"/>
                <w:szCs w:val="24"/>
              </w:rPr>
            </w:pPr>
          </w:p>
        </w:tc>
        <w:tc>
          <w:tcPr>
            <w:tcW w:w="1180" w:type="dxa"/>
            <w:shd w:val="clear" w:color="000000" w:fill="FFFFFF"/>
            <w:noWrap/>
            <w:vAlign w:val="center"/>
          </w:tcPr>
          <w:p>
            <w:pPr>
              <w:widowControl/>
              <w:jc w:val="center"/>
              <w:rPr>
                <w:rFonts w:ascii="宋体" w:hAnsi="宋体" w:cs="宋体"/>
                <w:color w:val="000000"/>
                <w:kern w:val="0"/>
                <w:sz w:val="24"/>
                <w:szCs w:val="24"/>
              </w:rPr>
            </w:pPr>
          </w:p>
        </w:tc>
        <w:tc>
          <w:tcPr>
            <w:tcW w:w="1546" w:type="dxa"/>
            <w:vMerge w:val="continue"/>
            <w:shd w:val="clear" w:color="auto" w:fill="auto"/>
            <w:vAlign w:val="center"/>
          </w:tcPr>
          <w:p>
            <w:pPr>
              <w:widowControl/>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657" w:type="dxa"/>
            <w:shd w:val="clear" w:color="auto" w:fill="auto"/>
            <w:vAlign w:val="center"/>
          </w:tcPr>
          <w:p>
            <w:pPr>
              <w:widowControl/>
              <w:jc w:val="center"/>
              <w:rPr>
                <w:rFonts w:ascii="宋体" w:hAnsi="宋体" w:cs="宋体"/>
                <w:kern w:val="0"/>
                <w:sz w:val="24"/>
                <w:szCs w:val="24"/>
              </w:rPr>
            </w:pPr>
            <w:r>
              <w:rPr>
                <w:rFonts w:hint="eastAsia" w:ascii="宋体" w:hAnsi="宋体" w:cs="宋体"/>
                <w:kern w:val="0"/>
                <w:sz w:val="24"/>
                <w:szCs w:val="24"/>
              </w:rPr>
              <w:t>3</w:t>
            </w:r>
          </w:p>
        </w:tc>
        <w:tc>
          <w:tcPr>
            <w:tcW w:w="2770" w:type="dxa"/>
            <w:shd w:val="clear" w:color="auto" w:fill="auto"/>
            <w:vAlign w:val="center"/>
          </w:tcPr>
          <w:p>
            <w:pPr>
              <w:widowControl/>
              <w:jc w:val="center"/>
              <w:rPr>
                <w:rFonts w:hint="default" w:ascii="宋体" w:hAnsi="宋体" w:cs="宋体" w:eastAsiaTheme="minorEastAsia"/>
                <w:color w:val="000000"/>
                <w:kern w:val="0"/>
                <w:sz w:val="24"/>
                <w:szCs w:val="24"/>
                <w:lang w:val="en-US" w:eastAsia="zh-CN"/>
              </w:rPr>
            </w:pPr>
            <w:r>
              <w:rPr>
                <w:rFonts w:hint="eastAsia" w:asciiTheme="minorEastAsia" w:hAnsiTheme="minorEastAsia"/>
                <w:sz w:val="24"/>
                <w:szCs w:val="24"/>
                <w:lang w:val="en-US" w:eastAsia="zh-CN"/>
              </w:rPr>
              <w:t>协助现场评审专家对接安排</w:t>
            </w:r>
          </w:p>
        </w:tc>
        <w:tc>
          <w:tcPr>
            <w:tcW w:w="2292" w:type="dxa"/>
            <w:shd w:val="clear" w:color="auto" w:fill="auto"/>
            <w:vAlign w:val="center"/>
          </w:tcPr>
          <w:p>
            <w:pPr>
              <w:widowControl/>
              <w:jc w:val="center"/>
              <w:rPr>
                <w:rFonts w:hint="default" w:ascii="宋体" w:hAnsi="宋体" w:cs="宋体"/>
                <w:color w:val="000000"/>
                <w:kern w:val="0"/>
                <w:sz w:val="24"/>
                <w:szCs w:val="24"/>
                <w:lang w:val="en-US"/>
              </w:rPr>
            </w:pPr>
            <w:r>
              <w:rPr>
                <w:rFonts w:hint="eastAsia" w:ascii="宋体" w:hAnsi="宋体" w:cs="宋体"/>
                <w:color w:val="000000"/>
                <w:kern w:val="0"/>
                <w:sz w:val="24"/>
                <w:szCs w:val="24"/>
                <w:lang w:val="en-US" w:eastAsia="zh-CN"/>
              </w:rPr>
              <w:t>确保专家按期到达指定地点开展评审</w:t>
            </w:r>
          </w:p>
        </w:tc>
        <w:tc>
          <w:tcPr>
            <w:tcW w:w="2597" w:type="dxa"/>
            <w:shd w:val="clear" w:color="auto" w:fill="auto"/>
            <w:vAlign w:val="center"/>
          </w:tcPr>
          <w:p>
            <w:pPr>
              <w:widowControl/>
              <w:jc w:val="center"/>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评审专家全部差旅费用（交通、住宿、饮食、补助等）</w:t>
            </w:r>
          </w:p>
        </w:tc>
        <w:tc>
          <w:tcPr>
            <w:tcW w:w="804" w:type="dxa"/>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lang w:val="en-US" w:eastAsia="zh-CN"/>
              </w:rPr>
              <w:t>项</w:t>
            </w:r>
          </w:p>
        </w:tc>
        <w:tc>
          <w:tcPr>
            <w:tcW w:w="1068" w:type="dxa"/>
            <w:shd w:val="clear" w:color="auto" w:fill="auto"/>
            <w:vAlign w:val="center"/>
          </w:tcPr>
          <w:p>
            <w:pPr>
              <w:widowControl/>
              <w:jc w:val="center"/>
              <w:rPr>
                <w:rFonts w:hint="eastAsia" w:ascii="宋体" w:hAnsi="宋体" w:cs="宋体" w:eastAsiaTheme="minorEastAsia"/>
                <w:color w:val="000000"/>
                <w:kern w:val="0"/>
                <w:sz w:val="24"/>
                <w:szCs w:val="24"/>
                <w:lang w:val="en-US" w:eastAsia="zh-CN"/>
              </w:rPr>
            </w:pPr>
            <w:r>
              <w:rPr>
                <w:rFonts w:hint="eastAsia" w:ascii="宋体" w:hAnsi="宋体" w:cs="宋体"/>
                <w:color w:val="000000"/>
                <w:kern w:val="0"/>
                <w:sz w:val="24"/>
                <w:szCs w:val="24"/>
                <w:lang w:val="en-US" w:eastAsia="zh-CN"/>
              </w:rPr>
              <w:t>1</w:t>
            </w:r>
          </w:p>
        </w:tc>
        <w:tc>
          <w:tcPr>
            <w:tcW w:w="1296" w:type="dxa"/>
            <w:shd w:val="clear" w:color="auto" w:fill="auto"/>
            <w:vAlign w:val="center"/>
          </w:tcPr>
          <w:p>
            <w:pPr>
              <w:widowControl/>
              <w:jc w:val="center"/>
              <w:rPr>
                <w:rFonts w:ascii="宋体" w:hAnsi="宋体" w:cs="宋体"/>
                <w:color w:val="000000"/>
                <w:kern w:val="0"/>
                <w:sz w:val="24"/>
                <w:szCs w:val="24"/>
              </w:rPr>
            </w:pPr>
          </w:p>
        </w:tc>
        <w:tc>
          <w:tcPr>
            <w:tcW w:w="1180" w:type="dxa"/>
            <w:shd w:val="clear" w:color="000000" w:fill="FFFFFF"/>
            <w:noWrap/>
            <w:vAlign w:val="center"/>
          </w:tcPr>
          <w:p>
            <w:pPr>
              <w:widowControl/>
              <w:jc w:val="center"/>
              <w:rPr>
                <w:rFonts w:ascii="宋体" w:hAnsi="宋体" w:cs="宋体"/>
                <w:color w:val="000000"/>
                <w:kern w:val="0"/>
                <w:sz w:val="24"/>
                <w:szCs w:val="24"/>
              </w:rPr>
            </w:pPr>
          </w:p>
        </w:tc>
        <w:tc>
          <w:tcPr>
            <w:tcW w:w="1546" w:type="dxa"/>
            <w:vMerge w:val="continue"/>
            <w:shd w:val="clear" w:color="auto" w:fill="auto"/>
            <w:vAlign w:val="center"/>
          </w:tcPr>
          <w:p>
            <w:pPr>
              <w:widowControl/>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1484" w:type="dxa"/>
            <w:gridSpan w:val="7"/>
            <w:vAlign w:val="center"/>
          </w:tcPr>
          <w:p>
            <w:pPr>
              <w:widowControl/>
              <w:jc w:val="center"/>
              <w:rPr>
                <w:rFonts w:ascii="宋体" w:hAnsi="宋体" w:cs="宋体"/>
                <w:bCs/>
                <w:color w:val="000000"/>
                <w:kern w:val="0"/>
                <w:sz w:val="24"/>
                <w:szCs w:val="24"/>
              </w:rPr>
            </w:pPr>
            <w:r>
              <w:rPr>
                <w:rFonts w:hint="eastAsia" w:ascii="宋体" w:hAnsi="宋体" w:cs="宋体"/>
                <w:b/>
                <w:color w:val="000000"/>
                <w:kern w:val="0"/>
                <w:sz w:val="24"/>
                <w:szCs w:val="24"/>
              </w:rPr>
              <w:t>报价合计</w:t>
            </w:r>
            <w:r>
              <w:rPr>
                <w:rFonts w:hint="eastAsia" w:ascii="宋体" w:hAnsi="宋体" w:cs="宋体"/>
                <w:b/>
                <w:color w:val="000000"/>
                <w:kern w:val="0"/>
                <w:sz w:val="24"/>
                <w:szCs w:val="24"/>
                <w:lang w:eastAsia="zh-CN"/>
              </w:rPr>
              <w:t>，</w:t>
            </w:r>
            <w:r>
              <w:rPr>
                <w:rFonts w:hint="eastAsia" w:ascii="宋体" w:hAnsi="宋体" w:cs="宋体"/>
                <w:color w:val="000000"/>
                <w:kern w:val="0"/>
                <w:sz w:val="24"/>
                <w:szCs w:val="24"/>
              </w:rPr>
              <w:t>金额大写：</w:t>
            </w:r>
          </w:p>
        </w:tc>
        <w:tc>
          <w:tcPr>
            <w:tcW w:w="1180" w:type="dxa"/>
            <w:shd w:val="clear" w:color="000000" w:fill="FFFFFF"/>
            <w:noWrap/>
            <w:vAlign w:val="center"/>
          </w:tcPr>
          <w:p>
            <w:pPr>
              <w:widowControl/>
              <w:jc w:val="center"/>
              <w:rPr>
                <w:rFonts w:ascii="宋体" w:hAnsi="宋体" w:cs="宋体"/>
                <w:b/>
                <w:kern w:val="0"/>
                <w:sz w:val="22"/>
              </w:rPr>
            </w:pPr>
          </w:p>
        </w:tc>
        <w:tc>
          <w:tcPr>
            <w:tcW w:w="1546" w:type="dxa"/>
            <w:shd w:val="clear" w:color="auto" w:fill="auto"/>
            <w:vAlign w:val="center"/>
          </w:tcPr>
          <w:p>
            <w:pPr>
              <w:widowControl/>
              <w:jc w:val="center"/>
              <w:rPr>
                <w:rFonts w:ascii="宋体" w:hAnsi="宋体" w:cs="宋体"/>
                <w:b/>
                <w:kern w:val="0"/>
                <w:sz w:val="22"/>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heme="minorEastAsia" w:hAnsiTheme="minorEastAsia"/>
          <w:b/>
          <w:sz w:val="24"/>
          <w:szCs w:val="24"/>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2FDE0"/>
    <w:multiLevelType w:val="singleLevel"/>
    <w:tmpl w:val="BD72FDE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D4089C"/>
    <w:rsid w:val="035E5896"/>
    <w:rsid w:val="08904B75"/>
    <w:rsid w:val="0A6632A4"/>
    <w:rsid w:val="0FD5190A"/>
    <w:rsid w:val="100A68DF"/>
    <w:rsid w:val="122B5756"/>
    <w:rsid w:val="188553CC"/>
    <w:rsid w:val="1CCB362F"/>
    <w:rsid w:val="1DFD34C1"/>
    <w:rsid w:val="1E106702"/>
    <w:rsid w:val="3AD4089C"/>
    <w:rsid w:val="3F045FC5"/>
    <w:rsid w:val="449F59B2"/>
    <w:rsid w:val="474B6403"/>
    <w:rsid w:val="560A1435"/>
    <w:rsid w:val="5B6466FE"/>
    <w:rsid w:val="5BB1339B"/>
    <w:rsid w:val="5BEE66B8"/>
    <w:rsid w:val="61B551C2"/>
    <w:rsid w:val="709E2354"/>
    <w:rsid w:val="7B9B3656"/>
    <w:rsid w:val="7DED2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2024-07-16T02:24:00Z</dcterms:created>
  <dc:creator>孙万洲</dc:creator>
  <cp:lastModifiedBy>孙万洲</cp:lastModifiedBy>
  <dcterms:modified xsi:type="dcterms:W3CDTF">2024-08-21T03:08:20Z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F7E7ABEBCAC845D3A899E09546C94AEF</vt:lpwstr>
  </property>
</Properties>
</file>