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snapToGrid w:val="0"/>
        <w:spacing w:line="360" w:lineRule="auto"/>
        <w:ind w:left="0" w:leftChars="0"/>
        <w:jc w:val="center"/>
        <w:rPr>
          <w:rFonts w:hint="eastAsia" w:ascii="宋体" w:hAnsi="宋体" w:eastAsia="宋体" w:cs="宋体"/>
          <w:b/>
          <w:color w:val="000000"/>
          <w:spacing w:val="-20"/>
          <w:sz w:val="36"/>
          <w:szCs w:val="36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snapToGrid w:val="0"/>
        <w:spacing w:line="360" w:lineRule="auto"/>
        <w:ind w:left="0" w:leftChars="0"/>
        <w:jc w:val="center"/>
        <w:rPr>
          <w:rFonts w:hint="eastAsia" w:ascii="宋体" w:hAnsi="宋体" w:eastAsia="宋体" w:cs="宋体"/>
          <w:b/>
          <w:color w:val="000000"/>
          <w:spacing w:val="-20"/>
          <w:sz w:val="36"/>
          <w:szCs w:val="36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snapToGrid w:val="0"/>
        <w:spacing w:line="360" w:lineRule="auto"/>
        <w:ind w:left="0" w:leftChars="0"/>
        <w:jc w:val="center"/>
        <w:rPr>
          <w:rFonts w:hint="eastAsia" w:ascii="宋体" w:hAnsi="宋体" w:eastAsia="宋体" w:cs="宋体"/>
          <w:b/>
          <w:color w:val="000000"/>
          <w:spacing w:val="-20"/>
          <w:sz w:val="36"/>
          <w:szCs w:val="36"/>
          <w:highlight w:val="none"/>
          <w:lang w:val="en-US" w:eastAsia="zh-CN"/>
        </w:rPr>
      </w:pPr>
    </w:p>
    <w:p>
      <w:pPr>
        <w:pStyle w:val="15"/>
        <w:pageBreakBefore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color w:val="auto"/>
          <w:sz w:val="30"/>
          <w:szCs w:val="30"/>
          <w:highlight w:val="none"/>
          <w:lang w:bidi="ar"/>
        </w:rPr>
      </w:pPr>
    </w:p>
    <w:p>
      <w:pPr>
        <w:pStyle w:val="15"/>
        <w:adjustRightInd w:val="0"/>
        <w:snapToGrid w:val="0"/>
        <w:spacing w:line="360" w:lineRule="auto"/>
        <w:ind w:firstLine="0"/>
        <w:jc w:val="center"/>
        <w:rPr>
          <w:rFonts w:hint="eastAsia" w:ascii="宋体" w:hAnsi="宋体" w:eastAsia="宋体" w:cs="宋体"/>
          <w:b/>
          <w:bCs/>
          <w:color w:val="000000"/>
          <w:sz w:val="40"/>
          <w:szCs w:val="40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sz w:val="40"/>
          <w:szCs w:val="40"/>
          <w:highlight w:val="none"/>
          <w:lang w:val="en-US" w:eastAsia="zh-CN" w:bidi="ar"/>
        </w:rPr>
        <w:t>2024年保山供电局变电修试所SF6回收装置维保服务采购技术规范书</w:t>
      </w:r>
    </w:p>
    <w:p>
      <w:pPr>
        <w:pStyle w:val="15"/>
        <w:adjustRightInd w:val="0"/>
        <w:snapToGrid w:val="0"/>
        <w:spacing w:line="360" w:lineRule="auto"/>
        <w:ind w:firstLine="0"/>
        <w:jc w:val="center"/>
        <w:rPr>
          <w:rFonts w:hint="eastAsia" w:ascii="宋体" w:hAnsi="宋体" w:cs="宋体"/>
          <w:b/>
          <w:sz w:val="32"/>
          <w:szCs w:val="32"/>
        </w:rPr>
      </w:pPr>
    </w:p>
    <w:p>
      <w:pPr>
        <w:pStyle w:val="15"/>
        <w:adjustRightInd w:val="0"/>
        <w:snapToGrid w:val="0"/>
        <w:spacing w:line="360" w:lineRule="auto"/>
        <w:ind w:firstLine="0"/>
        <w:jc w:val="center"/>
        <w:rPr>
          <w:rFonts w:hint="eastAsia" w:ascii="宋体" w:hAnsi="宋体" w:cs="宋体"/>
          <w:b/>
          <w:sz w:val="32"/>
          <w:szCs w:val="32"/>
        </w:rPr>
      </w:pPr>
    </w:p>
    <w:p>
      <w:pPr>
        <w:ind w:firstLine="602" w:firstLineChars="200"/>
        <w:jc w:val="center"/>
        <w:rPr>
          <w:rFonts w:hint="eastAsia" w:ascii="黑体" w:hAnsi="黑体" w:eastAsia="黑体" w:cs="黑体"/>
          <w:b/>
          <w:bCs/>
          <w:sz w:val="30"/>
          <w:szCs w:val="30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</w:rPr>
      </w:pPr>
    </w:p>
    <w:p>
      <w:pPr>
        <w:pStyle w:val="3"/>
        <w:outlineLvl w:val="9"/>
        <w:rPr>
          <w:rFonts w:hint="eastAsia"/>
        </w:rPr>
      </w:pPr>
    </w:p>
    <w:p>
      <w:pPr>
        <w:ind w:firstLine="602" w:firstLineChars="200"/>
        <w:jc w:val="center"/>
        <w:rPr>
          <w:rFonts w:hint="eastAsia" w:ascii="黑体" w:hAnsi="黑体" w:eastAsia="黑体" w:cs="黑体"/>
          <w:b/>
          <w:bCs/>
          <w:sz w:val="30"/>
          <w:szCs w:val="30"/>
        </w:rPr>
      </w:pPr>
    </w:p>
    <w:p>
      <w:pPr>
        <w:ind w:firstLine="602" w:firstLineChars="200"/>
        <w:jc w:val="center"/>
        <w:rPr>
          <w:rFonts w:hint="eastAsia" w:ascii="黑体" w:hAnsi="黑体" w:eastAsia="黑体" w:cs="黑体"/>
          <w:b/>
          <w:bCs/>
          <w:sz w:val="30"/>
          <w:szCs w:val="30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</w:rPr>
      </w:pPr>
    </w:p>
    <w:p>
      <w:pPr>
        <w:pStyle w:val="3"/>
        <w:outlineLvl w:val="9"/>
        <w:rPr>
          <w:rFonts w:hint="eastAsia"/>
        </w:rPr>
      </w:pPr>
    </w:p>
    <w:p>
      <w:pPr>
        <w:ind w:firstLine="602" w:firstLineChars="200"/>
        <w:jc w:val="center"/>
        <w:rPr>
          <w:rFonts w:hint="eastAsia" w:ascii="黑体" w:hAnsi="黑体" w:eastAsia="黑体" w:cs="黑体"/>
          <w:b/>
          <w:bCs/>
          <w:sz w:val="30"/>
          <w:szCs w:val="30"/>
        </w:rPr>
      </w:pPr>
    </w:p>
    <w:p>
      <w:pPr>
        <w:ind w:firstLine="602" w:firstLineChars="200"/>
        <w:jc w:val="center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云南电网有限责任公司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保山供电局</w:t>
      </w:r>
    </w:p>
    <w:p>
      <w:pPr>
        <w:pStyle w:val="7"/>
        <w:spacing w:line="360" w:lineRule="auto"/>
        <w:ind w:left="0" w:leftChars="0" w:firstLine="602" w:firstLineChars="200"/>
        <w:jc w:val="center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二○二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四</w:t>
      </w: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八</w:t>
      </w: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  <w:t>月</w:t>
      </w:r>
      <w:bookmarkStart w:id="0" w:name="_Toc4035"/>
      <w:bookmarkStart w:id="1" w:name="_Toc7523"/>
      <w:bookmarkStart w:id="2" w:name="_Toc12870"/>
      <w:bookmarkStart w:id="3" w:name="_Hlk67395351"/>
    </w:p>
    <w:p>
      <w:pP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sdt>
      <w:sdtPr>
        <w:rPr>
          <w:rFonts w:ascii="宋体" w:hAnsi="宋体" w:eastAsia="宋体" w:cs="Times New Roman"/>
          <w:kern w:val="2"/>
          <w:sz w:val="21"/>
          <w:szCs w:val="22"/>
          <w:lang w:val="en-US" w:eastAsia="zh-CN" w:bidi="ar-SA"/>
        </w:rPr>
        <w:id w:val="147476318"/>
        <w15:color w:val="DBDBDB"/>
        <w:docPartObj>
          <w:docPartGallery w:val="Table of Contents"/>
          <w:docPartUnique/>
        </w:docPartObj>
      </w:sdtPr>
      <w:sdtEndPr>
        <w:rPr>
          <w:rFonts w:hint="eastAsia" w:ascii="黑体" w:hAnsi="黑体" w:eastAsia="黑体" w:cs="黑体"/>
          <w:b/>
          <w:bCs/>
          <w:kern w:val="2"/>
          <w:sz w:val="32"/>
          <w:szCs w:val="30"/>
          <w:highlight w:val="none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/>
              <w:bCs/>
              <w:sz w:val="30"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/>
              <w:bCs/>
              <w:sz w:val="30"/>
              <w:szCs w:val="30"/>
              <w:highlight w:val="none"/>
            </w:rPr>
            <w:instrText xml:space="preserve">TOC \o "1-2" \h \u </w:instrText>
          </w:r>
          <w:r>
            <w:rPr>
              <w:rFonts w:hint="eastAsia" w:ascii="黑体" w:hAnsi="黑体" w:eastAsia="黑体" w:cs="黑体"/>
              <w:b/>
              <w:bCs/>
              <w:sz w:val="30"/>
              <w:szCs w:val="30"/>
              <w:highlight w:val="none"/>
            </w:rPr>
            <w:fldChar w:fldCharType="separate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_Toc22152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/>
            </w:rPr>
            <w:t>第</w:t>
          </w:r>
          <w:r>
            <w:rPr>
              <w:rFonts w:hint="eastAsia"/>
              <w:lang w:val="en-US" w:eastAsia="zh-CN"/>
            </w:rPr>
            <w:t>一</w:t>
          </w:r>
          <w:r>
            <w:rPr>
              <w:rFonts w:hint="eastAsia"/>
            </w:rPr>
            <w:t xml:space="preserve">章 </w:t>
          </w:r>
          <w:r>
            <w:rPr>
              <w:rFonts w:hint="eastAsia"/>
              <w:lang w:val="en-US" w:eastAsia="zh-CN"/>
            </w:rPr>
            <w:t>服务</w:t>
          </w:r>
          <w:r>
            <w:rPr>
              <w:rFonts w:hint="eastAsia"/>
            </w:rPr>
            <w:t>要求</w:t>
          </w:r>
          <w:r>
            <w:tab/>
          </w:r>
          <w:r>
            <w:fldChar w:fldCharType="begin"/>
          </w:r>
          <w:r>
            <w:instrText xml:space="preserve"> PAGEREF _Toc22152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_Toc17316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 w:ascii="宋体" w:hAnsi="宋体" w:cs="宋体"/>
              <w:szCs w:val="24"/>
              <w:lang w:val="en-US" w:eastAsia="zh-CN"/>
            </w:rPr>
            <w:t>1.1</w:t>
          </w:r>
          <w:r>
            <w:rPr>
              <w:rFonts w:hint="eastAsia" w:ascii="宋体" w:hAnsi="宋体" w:cs="宋体"/>
              <w:szCs w:val="24"/>
            </w:rPr>
            <w:t>总则</w:t>
          </w:r>
          <w:r>
            <w:tab/>
          </w:r>
          <w:r>
            <w:fldChar w:fldCharType="begin"/>
          </w:r>
          <w:r>
            <w:instrText xml:space="preserve"> PAGEREF _Toc17316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_Toc3418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 w:ascii="宋体" w:hAnsi="宋体" w:cs="宋体"/>
              <w:szCs w:val="24"/>
              <w:lang w:val="en-US" w:eastAsia="zh-CN"/>
            </w:rPr>
            <w:t>1.2服务</w:t>
          </w:r>
          <w:r>
            <w:rPr>
              <w:rFonts w:hint="eastAsia" w:ascii="宋体" w:hAnsi="宋体" w:cs="宋体"/>
              <w:szCs w:val="24"/>
            </w:rPr>
            <w:t>要求</w:t>
          </w:r>
          <w:r>
            <w:tab/>
          </w:r>
          <w:r>
            <w:fldChar w:fldCharType="begin"/>
          </w:r>
          <w:r>
            <w:instrText xml:space="preserve"> PAGEREF _Toc3418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_Toc27533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/>
            </w:rPr>
            <w:t>第</w:t>
          </w:r>
          <w:r>
            <w:rPr>
              <w:rFonts w:hint="eastAsia"/>
              <w:lang w:val="en-US" w:eastAsia="zh-CN"/>
            </w:rPr>
            <w:t>二</w:t>
          </w:r>
          <w:r>
            <w:rPr>
              <w:rFonts w:hint="eastAsia"/>
            </w:rPr>
            <w:t>章 其它要求</w:t>
          </w:r>
          <w:r>
            <w:tab/>
          </w:r>
          <w:r>
            <w:fldChar w:fldCharType="begin"/>
          </w:r>
          <w:r>
            <w:instrText xml:space="preserve"> PAGEREF _Toc27533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_Toc5027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 w:ascii="宋体" w:hAnsi="宋体" w:cs="宋体"/>
              <w:szCs w:val="24"/>
              <w:lang w:val="en-US" w:eastAsia="zh-CN"/>
            </w:rPr>
            <w:t>2</w:t>
          </w:r>
          <w:r>
            <w:rPr>
              <w:rFonts w:hint="eastAsia" w:ascii="宋体" w:hAnsi="宋体" w:cs="宋体"/>
              <w:szCs w:val="24"/>
            </w:rPr>
            <w:t>.1 基本服务要求</w:t>
          </w:r>
          <w:r>
            <w:tab/>
          </w:r>
          <w:r>
            <w:fldChar w:fldCharType="begin"/>
          </w:r>
          <w:r>
            <w:instrText xml:space="preserve"> PAGEREF _Toc5027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_Toc13632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/>
            </w:rPr>
            <w:t>第</w:t>
          </w:r>
          <w:r>
            <w:rPr>
              <w:rFonts w:hint="eastAsia"/>
              <w:lang w:val="en-US" w:eastAsia="zh-CN"/>
            </w:rPr>
            <w:t>三</w:t>
          </w:r>
          <w:r>
            <w:rPr>
              <w:rFonts w:hint="eastAsia"/>
            </w:rPr>
            <w:t>章</w:t>
          </w:r>
          <w:r>
            <w:t xml:space="preserve"> 验收及报价要求</w:t>
          </w:r>
          <w:r>
            <w:tab/>
          </w:r>
          <w:r>
            <w:fldChar w:fldCharType="begin"/>
          </w:r>
          <w:r>
            <w:instrText xml:space="preserve"> PAGEREF _Toc13632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_Toc7415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 w:ascii="宋体" w:hAnsi="宋体" w:cs="宋体"/>
              <w:szCs w:val="24"/>
              <w:lang w:val="en-US" w:eastAsia="zh-CN"/>
            </w:rPr>
            <w:t>3</w:t>
          </w:r>
          <w:r>
            <w:rPr>
              <w:rFonts w:hint="eastAsia" w:ascii="宋体" w:hAnsi="宋体" w:cs="宋体"/>
              <w:szCs w:val="24"/>
            </w:rPr>
            <w:t>.1验收标准</w:t>
          </w:r>
          <w:r>
            <w:tab/>
          </w:r>
          <w:r>
            <w:fldChar w:fldCharType="begin"/>
          </w:r>
          <w:r>
            <w:instrText xml:space="preserve"> PAGEREF _Toc7415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begin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instrText xml:space="preserve"> HYPERLINK \l _Toc29084 </w:instrText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separate"/>
          </w:r>
          <w:r>
            <w:rPr>
              <w:rFonts w:hint="eastAsia" w:ascii="宋体" w:hAnsi="宋体" w:cs="宋体"/>
              <w:szCs w:val="24"/>
              <w:lang w:val="en-US" w:eastAsia="zh-CN"/>
            </w:rPr>
            <w:t>3</w:t>
          </w:r>
          <w:r>
            <w:rPr>
              <w:rFonts w:hint="eastAsia" w:ascii="宋体" w:hAnsi="宋体" w:cs="宋体"/>
              <w:szCs w:val="24"/>
            </w:rPr>
            <w:t>.2验收方法</w:t>
          </w:r>
          <w:r>
            <w:tab/>
          </w:r>
          <w:r>
            <w:fldChar w:fldCharType="begin"/>
          </w:r>
          <w:r>
            <w:instrText xml:space="preserve"> PAGEREF _Toc29084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  <w:p>
          <w:pPr>
            <w:pStyle w:val="3"/>
            <w:outlineLvl w:val="9"/>
            <w:rPr>
              <w:rFonts w:hint="eastAsia" w:ascii="黑体" w:hAnsi="黑体" w:eastAsia="黑体" w:cs="黑体"/>
              <w:b/>
              <w:bCs/>
              <w:sz w:val="30"/>
              <w:szCs w:val="30"/>
              <w:highlight w:val="none"/>
            </w:rPr>
          </w:pPr>
          <w:r>
            <w:rPr>
              <w:rFonts w:hint="eastAsia" w:ascii="黑体" w:hAnsi="黑体" w:eastAsia="黑体" w:cs="黑体"/>
              <w:bCs/>
              <w:szCs w:val="30"/>
              <w:highlight w:val="none"/>
            </w:rPr>
            <w:fldChar w:fldCharType="end"/>
          </w:r>
        </w:p>
      </w:sdtContent>
    </w:sdt>
    <w:p>
      <w:pP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3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3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3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2"/>
        <w:outlineLvl w:val="9"/>
        <w:rPr>
          <w:rFonts w:hint="eastAsia" w:ascii="黑体" w:hAnsi="黑体" w:eastAsia="黑体" w:cs="黑体"/>
          <w:b/>
          <w:bCs/>
          <w:sz w:val="30"/>
          <w:szCs w:val="30"/>
          <w:highlight w:val="none"/>
        </w:rPr>
      </w:pPr>
    </w:p>
    <w:p>
      <w:pPr>
        <w:pStyle w:val="3"/>
        <w:jc w:val="both"/>
        <w:outlineLvl w:val="9"/>
        <w:rPr>
          <w:rFonts w:hint="eastAsia"/>
        </w:rPr>
      </w:pPr>
    </w:p>
    <w:bookmarkEnd w:id="0"/>
    <w:bookmarkEnd w:id="1"/>
    <w:bookmarkEnd w:id="2"/>
    <w:p>
      <w:pPr>
        <w:pStyle w:val="17"/>
        <w:spacing w:before="156" w:after="156"/>
        <w:jc w:val="center"/>
        <w:rPr>
          <w:rFonts w:hint="eastAsia"/>
        </w:rPr>
      </w:pPr>
      <w:bookmarkStart w:id="4" w:name="_Toc22152"/>
      <w:bookmarkStart w:id="5" w:name="_Toc14461"/>
      <w:bookmarkStart w:id="6" w:name="_Toc11442"/>
      <w:bookmarkStart w:id="7" w:name="_Toc14027"/>
      <w:r>
        <w:rPr>
          <w:rFonts w:hint="eastAsia"/>
        </w:rPr>
        <w:t>第</w:t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 xml:space="preserve">章 </w:t>
      </w:r>
      <w:r>
        <w:rPr>
          <w:rFonts w:hint="eastAsia"/>
          <w:lang w:val="en-US" w:eastAsia="zh-CN"/>
        </w:rPr>
        <w:t>服务</w:t>
      </w:r>
      <w:r>
        <w:rPr>
          <w:rFonts w:hint="eastAsia"/>
        </w:rPr>
        <w:t>要求</w:t>
      </w:r>
      <w:bookmarkEnd w:id="4"/>
    </w:p>
    <w:p>
      <w:pPr>
        <w:pStyle w:val="5"/>
        <w:numPr>
          <w:ilvl w:val="0"/>
          <w:numId w:val="0"/>
        </w:numPr>
        <w:spacing w:before="156" w:after="156"/>
        <w:ind w:leftChars="0"/>
        <w:rPr>
          <w:rFonts w:hint="eastAsia"/>
        </w:rPr>
      </w:pPr>
      <w:bookmarkStart w:id="8" w:name="_Toc17316"/>
      <w:r>
        <w:rPr>
          <w:rFonts w:hint="eastAsia" w:ascii="宋体" w:hAnsi="宋体" w:cs="宋体"/>
          <w:sz w:val="24"/>
          <w:szCs w:val="24"/>
          <w:lang w:val="en-US" w:eastAsia="zh-CN"/>
        </w:rPr>
        <w:t>1.1</w:t>
      </w:r>
      <w:r>
        <w:rPr>
          <w:rFonts w:hint="eastAsia" w:ascii="宋体" w:hAnsi="宋体" w:cs="宋体"/>
          <w:sz w:val="24"/>
          <w:szCs w:val="24"/>
        </w:rPr>
        <w:t>总则</w:t>
      </w:r>
      <w:bookmarkEnd w:id="5"/>
      <w:bookmarkEnd w:id="6"/>
      <w:bookmarkEnd w:id="7"/>
      <w:bookmarkEnd w:id="8"/>
    </w:p>
    <w:p>
      <w:pPr>
        <w:pStyle w:val="16"/>
        <w:numPr>
          <w:ilvl w:val="0"/>
          <w:numId w:val="3"/>
        </w:numPr>
        <w:snapToGrid w:val="0"/>
        <w:spacing w:beforeLines="0" w:afterLines="0"/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本技术规范书是对</w:t>
      </w:r>
      <w:r>
        <w:rPr>
          <w:rFonts w:hint="eastAsia" w:ascii="宋体" w:hAnsi="宋体" w:cs="宋体"/>
          <w:szCs w:val="24"/>
          <w:lang w:val="en-US" w:eastAsia="zh-CN"/>
        </w:rPr>
        <w:t>保山供电局</w:t>
      </w:r>
      <w:r>
        <w:rPr>
          <w:rFonts w:hint="eastAsia" w:ascii="宋体" w:hAnsi="宋体" w:cs="宋体"/>
          <w:szCs w:val="24"/>
        </w:rPr>
        <w:t>SF6回收装置维保服务提出的技术规范书，本规范书将作为</w:t>
      </w:r>
      <w:r>
        <w:rPr>
          <w:rFonts w:hint="eastAsia" w:ascii="宋体" w:hAnsi="宋体" w:cs="宋体"/>
          <w:szCs w:val="24"/>
          <w:lang w:val="en-US" w:eastAsia="zh-CN"/>
        </w:rPr>
        <w:t>采购服务要求</w:t>
      </w:r>
      <w:r>
        <w:rPr>
          <w:rFonts w:hint="eastAsia" w:ascii="宋体" w:hAnsi="宋体" w:cs="宋体"/>
          <w:szCs w:val="24"/>
        </w:rPr>
        <w:t>。</w:t>
      </w:r>
    </w:p>
    <w:bookmarkEnd w:id="3"/>
    <w:p>
      <w:pPr>
        <w:pStyle w:val="16"/>
        <w:numPr>
          <w:ilvl w:val="0"/>
          <w:numId w:val="3"/>
        </w:numPr>
        <w:snapToGrid w:val="0"/>
        <w:spacing w:beforeLines="0" w:afterLines="0"/>
        <w:ind w:left="0" w:firstLine="480" w:firstLineChars="200"/>
        <w:rPr>
          <w:rFonts w:hint="eastAsia" w:ascii="宋体" w:hAnsi="宋体" w:cs="宋体"/>
          <w:szCs w:val="24"/>
        </w:rPr>
      </w:pPr>
      <w:bookmarkStart w:id="9" w:name="_Toc25791"/>
      <w:r>
        <w:rPr>
          <w:rFonts w:hint="eastAsia" w:ascii="宋体" w:hAnsi="宋体" w:cs="宋体"/>
          <w:szCs w:val="24"/>
          <w:lang w:val="en-US" w:eastAsia="zh-CN"/>
        </w:rPr>
        <w:t>报价方</w:t>
      </w:r>
      <w:r>
        <w:rPr>
          <w:rFonts w:hint="eastAsia" w:ascii="宋体" w:hAnsi="宋体" w:cs="宋体"/>
          <w:szCs w:val="24"/>
        </w:rPr>
        <w:t>应</w:t>
      </w:r>
      <w:r>
        <w:rPr>
          <w:rFonts w:hint="eastAsia" w:ascii="宋体" w:hAnsi="宋体" w:cs="宋体"/>
          <w:szCs w:val="24"/>
          <w:lang w:val="en-US" w:eastAsia="zh-CN"/>
        </w:rPr>
        <w:t>响应按照本技术规范书要求</w:t>
      </w:r>
      <w:r>
        <w:rPr>
          <w:rFonts w:hint="eastAsia" w:ascii="宋体" w:hAnsi="宋体" w:cs="宋体"/>
          <w:szCs w:val="24"/>
        </w:rPr>
        <w:t>，若有</w:t>
      </w:r>
      <w:r>
        <w:rPr>
          <w:rFonts w:hint="eastAsia" w:ascii="宋体" w:hAnsi="宋体" w:cs="宋体"/>
          <w:szCs w:val="24"/>
          <w:lang w:val="en-US" w:eastAsia="zh-CN"/>
        </w:rPr>
        <w:t>报价方成交后，服务工作存在</w:t>
      </w:r>
      <w:r>
        <w:rPr>
          <w:rFonts w:hint="eastAsia" w:ascii="宋体" w:hAnsi="宋体" w:cs="宋体"/>
          <w:szCs w:val="24"/>
        </w:rPr>
        <w:t>不实的情况，一经查实，将取消本次供货资格，并追究违约责任，且从处罚之日起一年内不得参与云南电网有限责任公司范围内任何</w:t>
      </w:r>
      <w:r>
        <w:rPr>
          <w:rFonts w:hint="eastAsia" w:ascii="宋体" w:hAnsi="宋体" w:cs="宋体"/>
          <w:szCs w:val="24"/>
          <w:lang w:eastAsia="zh-CN"/>
        </w:rPr>
        <w:t>谈判</w:t>
      </w:r>
      <w:r>
        <w:rPr>
          <w:rFonts w:hint="eastAsia" w:ascii="宋体" w:hAnsi="宋体" w:cs="宋体"/>
          <w:szCs w:val="24"/>
        </w:rPr>
        <w:t>活动。</w:t>
      </w:r>
    </w:p>
    <w:p>
      <w:pPr>
        <w:pStyle w:val="16"/>
        <w:numPr>
          <w:ilvl w:val="0"/>
          <w:numId w:val="3"/>
        </w:numPr>
        <w:autoSpaceDE w:val="0"/>
        <w:autoSpaceDN w:val="0"/>
        <w:snapToGrid w:val="0"/>
        <w:spacing w:beforeLines="0" w:afterLines="0"/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谈判方</w:t>
      </w:r>
      <w:r>
        <w:rPr>
          <w:rFonts w:hint="eastAsia" w:ascii="宋体" w:hAnsi="宋体" w:cs="宋体"/>
          <w:szCs w:val="24"/>
        </w:rPr>
        <w:t>未经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</w:rPr>
        <w:t xml:space="preserve">同意，不得以任何形式向第三方公开本技术规范书。 </w:t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4、报价方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按保山供电局要求完成相关工作后，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在申请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支付前，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应提供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符合保山供电局要求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增值税专用发票。</w:t>
      </w:r>
    </w:p>
    <w:p>
      <w:pPr>
        <w:pStyle w:val="5"/>
        <w:numPr>
          <w:ilvl w:val="0"/>
          <w:numId w:val="0"/>
        </w:numPr>
        <w:spacing w:before="156" w:after="156"/>
        <w:ind w:leftChars="0"/>
        <w:rPr>
          <w:rFonts w:hint="eastAsia" w:ascii="宋体" w:hAnsi="宋体" w:cs="宋体"/>
          <w:sz w:val="24"/>
          <w:szCs w:val="24"/>
        </w:rPr>
      </w:pPr>
      <w:bookmarkStart w:id="10" w:name="_Toc3418"/>
      <w:bookmarkStart w:id="11" w:name="_Ref236027435"/>
      <w:bookmarkStart w:id="12" w:name="_Toc384822515"/>
      <w:bookmarkStart w:id="13" w:name="_Toc228509707"/>
      <w:bookmarkStart w:id="14" w:name="_Toc296075297"/>
      <w:r>
        <w:rPr>
          <w:rFonts w:hint="eastAsia" w:ascii="宋体" w:hAnsi="宋体" w:cs="宋体"/>
          <w:sz w:val="24"/>
          <w:szCs w:val="24"/>
          <w:lang w:val="en-US" w:eastAsia="zh-CN"/>
        </w:rPr>
        <w:t>1.2服务</w:t>
      </w:r>
      <w:r>
        <w:rPr>
          <w:rFonts w:hint="eastAsia" w:ascii="宋体" w:hAnsi="宋体" w:cs="宋体"/>
          <w:sz w:val="24"/>
          <w:szCs w:val="24"/>
        </w:rPr>
        <w:t>要求</w:t>
      </w:r>
      <w:bookmarkEnd w:id="10"/>
    </w:p>
    <w:bookmarkEnd w:id="11"/>
    <w:bookmarkEnd w:id="12"/>
    <w:bookmarkEnd w:id="13"/>
    <w:bookmarkEnd w:id="14"/>
    <w:p>
      <w:pPr>
        <w:ind w:firstLine="480" w:firstLineChars="20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bookmarkStart w:id="15" w:name="_Toc882"/>
      <w:bookmarkStart w:id="16" w:name="_Toc31476"/>
      <w:bookmarkStart w:id="17" w:name="_Toc8420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本技术服务要求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报价方必须满足相关要求，并按要求执行。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1.AEQ-EUSH-4型SF6气体回收净化装置试验检验执行标准：DL/T 662 SF6气体回收装置技术条件及产品说明书。</w:t>
      </w:r>
    </w:p>
    <w:p>
      <w:pPr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2.SF6气体回收净化装置检验测试工作结束后必须提供加盖公章的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维保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情况报告，表计检测必须提供检测报告（CMA、CANS证书）；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3.报价方应对保山供电局指定人员开展AEQ-EUSH-4型SF6气体回收净化装置的使用、保养维护的培训指导工作，以提高作业人员使用技能水平。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4、SF6回收装置详细服务要求如下：</w:t>
      </w:r>
    </w:p>
    <w:tbl>
      <w:tblPr>
        <w:tblStyle w:val="12"/>
        <w:tblW w:w="869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5"/>
        <w:gridCol w:w="1302"/>
        <w:gridCol w:w="3268"/>
        <w:gridCol w:w="1679"/>
        <w:gridCol w:w="542"/>
        <w:gridCol w:w="6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167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工作要求</w:t>
            </w: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2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AEQ-EUSH-4型SF6气体回收净化装置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67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DL/T 662  SF6气体回收装置技术条件</w:t>
            </w: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压缩机油检查更换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深冷机油检查更换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真空泵油检查更换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储气罐密封测试及维护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阀门密封测试及维护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真空计校验、压力表校验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吸附剂检查更换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加热装置检查维护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130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02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68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无油泵检查维护</w:t>
            </w:r>
          </w:p>
        </w:tc>
        <w:tc>
          <w:tcPr>
            <w:tcW w:w="1679" w:type="dxa"/>
            <w:vMerge w:val="continue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01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次</w:t>
            </w:r>
          </w:p>
        </w:tc>
      </w:tr>
    </w:tbl>
    <w:p>
      <w:pPr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5、部分测试检测工作要求：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5.1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维保后设备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性能参数要求</w:t>
      </w:r>
    </w:p>
    <w:p>
      <w:pPr>
        <w:numPr>
          <w:ilvl w:val="0"/>
          <w:numId w:val="0"/>
        </w:numPr>
        <w:tabs>
          <w:tab w:val="left" w:pos="1006"/>
        </w:tabs>
        <w:ind w:firstLine="480" w:firstLineChars="200"/>
        <w:rPr>
          <w:rFonts w:hint="eastAsia"/>
        </w:rPr>
      </w:pPr>
      <w:r>
        <w:rPr>
          <w:rFonts w:hint="eastAsia"/>
        </w:rPr>
        <w:t>最大试验压力7.0Mpa；</w:t>
      </w:r>
    </w:p>
    <w:p>
      <w:pPr>
        <w:numPr>
          <w:ilvl w:val="0"/>
          <w:numId w:val="0"/>
        </w:numPr>
        <w:ind w:firstLine="480" w:firstLineChars="200"/>
        <w:rPr>
          <w:rFonts w:hint="eastAsia"/>
        </w:rPr>
      </w:pPr>
      <w:r>
        <w:rPr>
          <w:rFonts w:hint="eastAsia"/>
        </w:rPr>
        <w:t>实际使用压力：36bar；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/>
        </w:rPr>
        <w:t>装置回收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气体压力 (20℃):初始压力≤0.8MPa；终止压力</w:t>
      </w:r>
      <w:r>
        <w:rPr>
          <w:rFonts w:hint="eastAsia"/>
        </w:rPr>
        <w:t>＜5000Pa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；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极限真空度：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0.4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Pa；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年漏气率: 回收装置本体&lt;1%；储气罐本体&lt;0.5%；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噪声水平：≤75dB；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维保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检测内容及检测方法：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5.2.1回收气体速度测试：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将设备容积为1m³、气压为0.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MPa (20℃)的SF6气体回收到容积为1 m³、初压为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0.1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MPa的标准储气罐中，当设备残压达到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≤53k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Pa时，回收气体时间不超过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0.5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h;当设备残压达到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≤5000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Pa时，回收气体时间不超过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h。</w:t>
      </w:r>
    </w:p>
    <w:p>
      <w:pP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5.2.2充气速度测试：</w:t>
      </w:r>
    </w:p>
    <w:p>
      <w:pPr>
        <w:ind w:firstLine="480" w:firstLineChars="2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对初压低于133Pa的1m³容器充入SF6气体至</w:t>
      </w:r>
      <w:r>
        <w:rPr>
          <w:rFonts w:hint="eastAsia"/>
        </w:rPr>
        <w:t>0.7MPa（20℃）压力时，充气时间不超过0.2h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。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5.2.3</w:t>
      </w:r>
      <w:r>
        <w:rPr>
          <w:rFonts w:hint="eastAsia"/>
        </w:rPr>
        <w:t>装置抽真空速率250m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/h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5.2.4装真空度保持测试：真空度达到133Pa压力下，保持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24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h后，装置真空度的上升值应不超过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400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Pa.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5.2.5净化气体质量控制测试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经回收装置净化后的SF</w:t>
      </w:r>
      <w:r>
        <w:rPr>
          <w:rFonts w:hint="eastAsia"/>
          <w:vertAlign w:val="subscript"/>
        </w:rPr>
        <w:t>6</w:t>
      </w:r>
      <w:r>
        <w:rPr>
          <w:rFonts w:hint="eastAsia"/>
        </w:rPr>
        <w:t>气体质量应符合GB/T 12022的要求，并达到以下要求：</w:t>
      </w:r>
      <w:bookmarkStart w:id="48" w:name="_GoBack"/>
      <w:bookmarkEnd w:id="48"/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湿度控制：当气源的SF</w:t>
      </w:r>
      <w:r>
        <w:rPr>
          <w:rFonts w:hint="eastAsia"/>
          <w:vertAlign w:val="subscript"/>
        </w:rPr>
        <w:t>6</w:t>
      </w:r>
      <w:r>
        <w:rPr>
          <w:rFonts w:hint="eastAsia"/>
        </w:rPr>
        <w:t>气体湿度为</w:t>
      </w:r>
      <w:r>
        <w:t>1000μL/L</w:t>
      </w:r>
      <w:r>
        <w:rPr>
          <w:rFonts w:hint="eastAsia"/>
        </w:rPr>
        <w:t>气体量为50kg，经过一次回处理后的气体湿度应小于</w:t>
      </w:r>
      <w:r>
        <w:t>80μL/L</w:t>
      </w:r>
      <w:r>
        <w:rPr>
          <w:rFonts w:hint="eastAsia"/>
        </w:rPr>
        <w:t>，多次循环气体湿度应小于</w:t>
      </w:r>
      <w:r>
        <w:t>40μL/L</w:t>
      </w:r>
      <w:r>
        <w:rPr>
          <w:rFonts w:hint="eastAsia"/>
        </w:rPr>
        <w:t>以下；</w:t>
      </w:r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尘埃控制：粒径</w:t>
      </w:r>
      <w:r>
        <w:t>＜0.1μm</w:t>
      </w:r>
      <w:r>
        <w:rPr>
          <w:rFonts w:hint="eastAsia"/>
        </w:rPr>
        <w:t>；</w:t>
      </w:r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装置本身应不能降低原气体的质量。</w:t>
      </w:r>
    </w:p>
    <w:p>
      <w:pPr>
        <w:numPr>
          <w:ilvl w:val="0"/>
          <w:numId w:val="5"/>
        </w:numPr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报价方在技术服务过程中应提供足量的压缩机油、深冷机油、真空泵油、吸附剂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等配件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以满足现场检查更换的要求，同时保证相关提供的产品是全新合格的产品，满足设备使用要求，并应在检验报告中表明更换情况。</w:t>
      </w:r>
      <w:bookmarkEnd w:id="9"/>
      <w:bookmarkEnd w:id="15"/>
      <w:bookmarkEnd w:id="16"/>
      <w:bookmarkEnd w:id="17"/>
      <w:bookmarkStart w:id="18" w:name="_Toc10094"/>
      <w:bookmarkStart w:id="19" w:name="_Toc15912234"/>
    </w:p>
    <w:p>
      <w:pPr>
        <w:numPr>
          <w:ilvl w:val="0"/>
          <w:numId w:val="5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甲方在</w:t>
      </w:r>
      <w:r>
        <w:rPr>
          <w:rFonts w:ascii="宋体" w:hAnsi="宋体" w:eastAsia="宋体" w:cs="宋体"/>
          <w:sz w:val="24"/>
          <w:szCs w:val="24"/>
        </w:rPr>
        <w:t>前期使用过程中发现SF6回收装置罗茨泵不启动、深冷机组运行异常、灌装机不启动，除上述问题若发现SF6气体回收净化装置还存在运行缺陷情况，在维保时应一同处理，处理的问题清单应逐一明确报价，经双方确认后再执行，确保维保后的设备正常运行使用，不低于原设备出厂试验性能的技术参数。</w:t>
      </w:r>
    </w:p>
    <w:bookmarkEnd w:id="18"/>
    <w:bookmarkEnd w:id="19"/>
    <w:p>
      <w:pPr>
        <w:pStyle w:val="1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firstLine="562"/>
        <w:outlineLvl w:val="9"/>
        <w:rPr>
          <w:rFonts w:hint="eastAsia"/>
        </w:rPr>
      </w:pPr>
      <w:bookmarkStart w:id="20" w:name="_Toc22318"/>
      <w:bookmarkStart w:id="21" w:name="_Toc26999"/>
    </w:p>
    <w:bookmarkEnd w:id="20"/>
    <w:bookmarkEnd w:id="21"/>
    <w:p>
      <w:pPr>
        <w:pStyle w:val="17"/>
        <w:spacing w:before="156" w:after="156"/>
        <w:jc w:val="center"/>
        <w:rPr>
          <w:rFonts w:hint="eastAsia"/>
        </w:rPr>
      </w:pPr>
      <w:bookmarkStart w:id="22" w:name="_Toc1369"/>
      <w:bookmarkStart w:id="23" w:name="_Toc27533"/>
      <w:bookmarkStart w:id="24" w:name="_Toc6366"/>
      <w:bookmarkStart w:id="25" w:name="_Toc8934"/>
      <w:r>
        <w:rPr>
          <w:rFonts w:hint="eastAsia"/>
        </w:rPr>
        <w:t>第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章 其它要求</w:t>
      </w:r>
      <w:bookmarkEnd w:id="22"/>
      <w:bookmarkEnd w:id="23"/>
      <w:bookmarkEnd w:id="24"/>
      <w:bookmarkEnd w:id="25"/>
    </w:p>
    <w:p>
      <w:pPr>
        <w:pStyle w:val="5"/>
        <w:spacing w:before="156" w:after="156"/>
        <w:rPr>
          <w:rFonts w:hint="eastAsia" w:ascii="宋体" w:hAnsi="宋体" w:cs="宋体"/>
          <w:sz w:val="24"/>
          <w:szCs w:val="24"/>
        </w:rPr>
      </w:pPr>
      <w:bookmarkStart w:id="26" w:name="_Toc22893"/>
      <w:bookmarkStart w:id="27" w:name="_Toc5027"/>
      <w:bookmarkStart w:id="28" w:name="_Toc18264"/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</w:rPr>
        <w:t>.1 基本服务要求</w:t>
      </w:r>
      <w:bookmarkEnd w:id="26"/>
      <w:bookmarkEnd w:id="27"/>
      <w:bookmarkEnd w:id="28"/>
    </w:p>
    <w:p>
      <w:pPr>
        <w:numPr>
          <w:ilvl w:val="0"/>
          <w:numId w:val="6"/>
        </w:numPr>
        <w:tabs>
          <w:tab w:val="left" w:pos="360"/>
        </w:tabs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val="en-US" w:eastAsia="zh-CN"/>
        </w:rPr>
        <w:t>在开展维保工作前，保山供电局应</w:t>
      </w:r>
      <w:r>
        <w:rPr>
          <w:rFonts w:hint="eastAsia" w:ascii="宋体" w:hAnsi="宋体" w:cs="宋体"/>
          <w:szCs w:val="24"/>
        </w:rPr>
        <w:t>提供</w:t>
      </w:r>
      <w:r>
        <w:rPr>
          <w:rFonts w:hint="eastAsia" w:ascii="宋体" w:hAnsi="宋体" w:cs="宋体"/>
          <w:szCs w:val="24"/>
          <w:lang w:val="en-US" w:eastAsia="zh-CN"/>
        </w:rPr>
        <w:t>给报价方</w:t>
      </w:r>
      <w:r>
        <w:rPr>
          <w:rFonts w:hint="eastAsia" w:ascii="宋体" w:hAnsi="宋体" w:cs="宋体"/>
          <w:szCs w:val="24"/>
        </w:rPr>
        <w:t>包括软件功能模块用户使用手册、维护手册等在内的完备准确的工程技术资料</w:t>
      </w:r>
      <w:r>
        <w:rPr>
          <w:rFonts w:hint="eastAsia" w:ascii="宋体" w:hAnsi="宋体" w:cs="宋体"/>
          <w:szCs w:val="24"/>
          <w:lang w:eastAsia="zh-CN"/>
        </w:rPr>
        <w:t>，</w:t>
      </w:r>
      <w:r>
        <w:rPr>
          <w:rFonts w:hint="eastAsia" w:ascii="宋体" w:hAnsi="宋体" w:cs="宋体"/>
          <w:szCs w:val="24"/>
          <w:lang w:val="en-US" w:eastAsia="zh-CN"/>
        </w:rPr>
        <w:t>以确保报价方维保服务工作准备齐备、完整</w:t>
      </w:r>
      <w:r>
        <w:rPr>
          <w:rFonts w:hint="eastAsia" w:ascii="宋体" w:hAnsi="宋体" w:cs="宋体"/>
          <w:szCs w:val="24"/>
        </w:rPr>
        <w:t>。</w:t>
      </w:r>
    </w:p>
    <w:p>
      <w:pPr>
        <w:numPr>
          <w:ilvl w:val="0"/>
          <w:numId w:val="6"/>
        </w:numPr>
        <w:tabs>
          <w:tab w:val="left" w:pos="360"/>
        </w:tabs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</w:t>
      </w:r>
      <w:r>
        <w:rPr>
          <w:rFonts w:hint="eastAsia" w:ascii="宋体" w:hAnsi="宋体" w:cs="宋体"/>
          <w:szCs w:val="24"/>
          <w:lang w:val="en-US" w:eastAsia="zh-CN"/>
        </w:rPr>
        <w:t>开展维保工作过程中</w:t>
      </w:r>
      <w:r>
        <w:rPr>
          <w:rFonts w:hint="eastAsia" w:ascii="宋体" w:hAnsi="宋体" w:cs="宋体"/>
          <w:szCs w:val="24"/>
        </w:rPr>
        <w:t>，如</w:t>
      </w:r>
      <w:r>
        <w:rPr>
          <w:rFonts w:hint="eastAsia" w:ascii="宋体" w:hAnsi="宋体" w:cs="宋体"/>
          <w:szCs w:val="24"/>
          <w:lang w:val="en-US" w:eastAsia="zh-CN"/>
        </w:rPr>
        <w:t>需</w:t>
      </w:r>
      <w:r>
        <w:rPr>
          <w:rFonts w:hint="eastAsia" w:ascii="宋体" w:hAnsi="宋体" w:cs="宋体"/>
          <w:szCs w:val="24"/>
        </w:rPr>
        <w:t>发生系统软件或设备固件扩展升级等情况，应负责现场升级</w:t>
      </w:r>
      <w:r>
        <w:rPr>
          <w:rFonts w:hint="eastAsia" w:ascii="宋体" w:hAnsi="宋体" w:cs="宋体"/>
          <w:szCs w:val="24"/>
          <w:lang w:eastAsia="zh-CN"/>
        </w:rPr>
        <w:t>，</w:t>
      </w:r>
      <w:r>
        <w:rPr>
          <w:rFonts w:hint="eastAsia" w:ascii="宋体" w:hAnsi="宋体" w:cs="宋体"/>
          <w:szCs w:val="24"/>
          <w:lang w:val="en-US" w:eastAsia="zh-CN"/>
        </w:rPr>
        <w:t>并</w:t>
      </w:r>
      <w:r>
        <w:rPr>
          <w:rFonts w:hint="eastAsia" w:ascii="宋体" w:hAnsi="宋体" w:cs="宋体"/>
          <w:szCs w:val="24"/>
        </w:rPr>
        <w:t>向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  <w:lang w:val="en-US" w:eastAsia="zh-CN"/>
        </w:rPr>
        <w:t>申请，并</w:t>
      </w:r>
      <w:r>
        <w:rPr>
          <w:rFonts w:hint="eastAsia" w:ascii="宋体" w:hAnsi="宋体" w:cs="宋体"/>
          <w:szCs w:val="24"/>
        </w:rPr>
        <w:t>提供必要的技术资料</w:t>
      </w:r>
      <w:r>
        <w:rPr>
          <w:rFonts w:hint="eastAsia" w:ascii="宋体" w:hAnsi="宋体" w:cs="宋体"/>
          <w:szCs w:val="24"/>
          <w:lang w:val="en-US" w:eastAsia="zh-CN"/>
        </w:rPr>
        <w:t>审查，</w:t>
      </w:r>
      <w:r>
        <w:rPr>
          <w:rFonts w:hint="eastAsia" w:ascii="宋体" w:hAnsi="宋体" w:cs="宋体"/>
          <w:szCs w:val="24"/>
        </w:rPr>
        <w:t>在相关的功能模块进行调试或升级</w:t>
      </w:r>
      <w:r>
        <w:rPr>
          <w:rFonts w:hint="eastAsia" w:ascii="宋体" w:hAnsi="宋体" w:cs="宋体"/>
          <w:szCs w:val="24"/>
          <w:lang w:val="en-US" w:eastAsia="zh-CN"/>
        </w:rPr>
        <w:t>前</w:t>
      </w:r>
      <w:r>
        <w:rPr>
          <w:rFonts w:hint="eastAsia" w:ascii="宋体" w:hAnsi="宋体" w:cs="宋体"/>
          <w:szCs w:val="24"/>
        </w:rPr>
        <w:t>时</w:t>
      </w:r>
      <w:r>
        <w:rPr>
          <w:rFonts w:hint="eastAsia" w:ascii="宋体" w:hAnsi="宋体" w:cs="宋体"/>
          <w:szCs w:val="24"/>
          <w:lang w:eastAsia="zh-CN"/>
        </w:rPr>
        <w:t>，</w:t>
      </w:r>
      <w:r>
        <w:rPr>
          <w:rFonts w:hint="eastAsia" w:ascii="宋体" w:hAnsi="宋体" w:cs="宋体"/>
          <w:szCs w:val="24"/>
          <w:lang w:val="en-US" w:eastAsia="zh-CN"/>
        </w:rPr>
        <w:t>应由保山供电局监督开展</w:t>
      </w:r>
      <w:r>
        <w:rPr>
          <w:rFonts w:hint="eastAsia" w:ascii="宋体" w:hAnsi="宋体" w:cs="宋体"/>
          <w:szCs w:val="24"/>
        </w:rPr>
        <w:t>。</w:t>
      </w:r>
    </w:p>
    <w:p>
      <w:pPr>
        <w:numPr>
          <w:ilvl w:val="0"/>
          <w:numId w:val="6"/>
        </w:numPr>
        <w:tabs>
          <w:tab w:val="left" w:pos="360"/>
        </w:tabs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</w:t>
      </w:r>
      <w:r>
        <w:rPr>
          <w:rFonts w:hint="eastAsia" w:ascii="宋体" w:hAnsi="宋体" w:cs="宋体"/>
          <w:szCs w:val="24"/>
          <w:lang w:val="en-US" w:eastAsia="zh-CN"/>
        </w:rPr>
        <w:t>维保服务工作完成1年内</w:t>
      </w:r>
      <w:r>
        <w:rPr>
          <w:rFonts w:hint="eastAsia" w:ascii="宋体" w:hAnsi="宋体" w:cs="宋体"/>
          <w:szCs w:val="24"/>
        </w:rPr>
        <w:t>，因</w:t>
      </w:r>
      <w:r>
        <w:rPr>
          <w:rFonts w:hint="eastAsia" w:ascii="宋体" w:hAnsi="宋体" w:cs="宋体"/>
          <w:szCs w:val="24"/>
          <w:lang w:val="en-US" w:eastAsia="zh-CN"/>
        </w:rPr>
        <w:t>报价方所开展的维保工作导致</w:t>
      </w:r>
      <w:r>
        <w:rPr>
          <w:rFonts w:hint="eastAsia" w:ascii="宋体" w:hAnsi="宋体" w:cs="宋体"/>
          <w:szCs w:val="24"/>
        </w:rPr>
        <w:t>出现设备故障时，</w:t>
      </w:r>
      <w:r>
        <w:rPr>
          <w:rFonts w:hint="eastAsia" w:ascii="宋体" w:hAnsi="宋体" w:cs="宋体"/>
          <w:szCs w:val="24"/>
          <w:lang w:val="en-US" w:eastAsia="zh-CN"/>
        </w:rPr>
        <w:t>报价方</w:t>
      </w:r>
      <w:r>
        <w:rPr>
          <w:rFonts w:hint="eastAsia" w:ascii="宋体" w:hAnsi="宋体" w:cs="宋体"/>
          <w:szCs w:val="24"/>
        </w:rPr>
        <w:t>在接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</w:rPr>
        <w:t>通知后，应在服务承诺到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</w:rPr>
        <w:t>现场，免费予以排除故障、修复或更换零部件</w:t>
      </w:r>
      <w:r>
        <w:rPr>
          <w:rFonts w:hint="eastAsia" w:ascii="宋体" w:hAnsi="宋体" w:cs="宋体"/>
          <w:szCs w:val="24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0" w:firstLine="480" w:firstLineChars="200"/>
        <w:textAlignment w:val="baseline"/>
        <w:rPr>
          <w:rFonts w:hint="eastAsia"/>
        </w:rPr>
      </w:pPr>
      <w:r>
        <w:rPr>
          <w:rFonts w:hint="eastAsia" w:ascii="宋体" w:hAnsi="宋体" w:eastAsia="宋体" w:cs="宋体"/>
          <w:szCs w:val="24"/>
          <w:lang w:val="en-US" w:eastAsia="zh-CN"/>
        </w:rPr>
        <w:t>本次</w:t>
      </w:r>
      <w:r>
        <w:rPr>
          <w:rFonts w:hint="eastAsia" w:ascii="宋体" w:hAnsi="宋体" w:cs="宋体"/>
          <w:szCs w:val="24"/>
          <w:lang w:val="en-US" w:eastAsia="zh-CN"/>
        </w:rPr>
        <w:t>维保</w:t>
      </w:r>
      <w:r>
        <w:rPr>
          <w:rFonts w:hint="eastAsia" w:ascii="宋体" w:hAnsi="宋体" w:eastAsia="宋体" w:cs="宋体"/>
          <w:szCs w:val="24"/>
          <w:lang w:val="en-US" w:eastAsia="zh-CN"/>
        </w:rPr>
        <w:t>后不得影响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SF6气体回收净化装置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正常使用</w:t>
      </w:r>
      <w:r>
        <w:rPr>
          <w:rFonts w:hint="eastAsia" w:ascii="宋体" w:hAnsi="宋体" w:eastAsia="宋体" w:cs="宋体"/>
          <w:szCs w:val="24"/>
          <w:lang w:val="en-US" w:eastAsia="zh-CN"/>
        </w:rPr>
        <w:t>运行及性能。</w:t>
      </w:r>
    </w:p>
    <w:p>
      <w:pPr>
        <w:pStyle w:val="17"/>
        <w:spacing w:before="156" w:after="156"/>
        <w:ind w:firstLine="562"/>
      </w:pPr>
      <w:bookmarkStart w:id="29" w:name="_Toc27336"/>
      <w:bookmarkStart w:id="30" w:name="_Toc11103"/>
      <w:bookmarkStart w:id="31" w:name="_Toc23238"/>
      <w:bookmarkStart w:id="32" w:name="_Toc13632"/>
      <w:bookmarkStart w:id="33" w:name="_Toc17809"/>
      <w:bookmarkStart w:id="34" w:name="_Toc31832"/>
      <w:r>
        <w:rPr>
          <w:rFonts w:hint="eastAsia"/>
        </w:rPr>
        <w:t>第</w:t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章</w:t>
      </w:r>
      <w:r>
        <w:t xml:space="preserve"> 验收及报价要求</w:t>
      </w:r>
      <w:bookmarkEnd w:id="29"/>
      <w:bookmarkEnd w:id="30"/>
      <w:bookmarkEnd w:id="31"/>
      <w:bookmarkEnd w:id="32"/>
      <w:bookmarkEnd w:id="33"/>
      <w:bookmarkEnd w:id="34"/>
    </w:p>
    <w:p>
      <w:pPr>
        <w:pStyle w:val="5"/>
        <w:spacing w:before="0" w:beforeLines="0" w:after="0" w:afterLines="0"/>
        <w:rPr>
          <w:rFonts w:hint="eastAsia" w:ascii="宋体" w:hAnsi="宋体" w:cs="宋体"/>
          <w:sz w:val="24"/>
          <w:szCs w:val="24"/>
        </w:rPr>
      </w:pPr>
      <w:bookmarkStart w:id="35" w:name="_Toc2764"/>
      <w:bookmarkStart w:id="36" w:name="_Toc17210"/>
      <w:bookmarkStart w:id="37" w:name="_Toc7415"/>
      <w:bookmarkStart w:id="38" w:name="_Toc48307839"/>
      <w:bookmarkStart w:id="39" w:name="_Toc11729"/>
      <w:bookmarkStart w:id="40" w:name="_Toc525677595"/>
      <w:bookmarkStart w:id="41" w:name="_Toc44418765"/>
      <w:bookmarkStart w:id="42" w:name="_Toc12124"/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</w:rPr>
        <w:t>.1验收标准</w:t>
      </w:r>
      <w:bookmarkEnd w:id="35"/>
      <w:bookmarkEnd w:id="36"/>
      <w:bookmarkEnd w:id="37"/>
    </w:p>
    <w:p>
      <w:pPr>
        <w:numPr>
          <w:ilvl w:val="0"/>
          <w:numId w:val="7"/>
        </w:numPr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val="en-US" w:eastAsia="zh-CN"/>
        </w:rPr>
        <w:t>报价方应</w:t>
      </w:r>
      <w:r>
        <w:rPr>
          <w:rFonts w:hint="eastAsia" w:ascii="宋体" w:hAnsi="宋体" w:cs="宋体"/>
          <w:szCs w:val="24"/>
        </w:rPr>
        <w:t>按照</w:t>
      </w:r>
      <w:r>
        <w:rPr>
          <w:rFonts w:hint="eastAsia" w:ascii="宋体" w:hAnsi="宋体" w:cs="宋体"/>
          <w:szCs w:val="24"/>
          <w:lang w:val="en-US" w:eastAsia="zh-CN"/>
        </w:rPr>
        <w:t>本技术规范</w:t>
      </w:r>
      <w:r>
        <w:rPr>
          <w:rFonts w:hint="eastAsia" w:ascii="宋体" w:hAnsi="宋体" w:cs="宋体"/>
          <w:szCs w:val="24"/>
        </w:rPr>
        <w:t>完成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SF6气体回收净化装置</w:t>
      </w:r>
      <w:r>
        <w:rPr>
          <w:rFonts w:hint="eastAsia" w:ascii="宋体" w:hAnsi="宋体" w:cs="宋体"/>
          <w:szCs w:val="24"/>
        </w:rPr>
        <w:t>的工作内容；</w:t>
      </w:r>
    </w:p>
    <w:p>
      <w:pPr>
        <w:numPr>
          <w:ilvl w:val="0"/>
          <w:numId w:val="7"/>
        </w:numPr>
        <w:ind w:left="0" w:firstLine="480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val="en-US" w:eastAsia="zh-CN"/>
        </w:rPr>
        <w:t>报价方在完成全部服务工作后，应提交服务报告予保山供电局审查</w:t>
      </w:r>
      <w:r>
        <w:rPr>
          <w:rFonts w:hint="eastAsia" w:ascii="宋体" w:hAnsi="宋体" w:cs="宋体"/>
          <w:szCs w:val="24"/>
        </w:rPr>
        <w:t>；</w:t>
      </w:r>
    </w:p>
    <w:p>
      <w:pPr>
        <w:numPr>
          <w:ilvl w:val="0"/>
          <w:numId w:val="7"/>
        </w:numPr>
        <w:ind w:left="0" w:firstLine="480" w:firstLineChars="200"/>
        <w:rPr>
          <w:rFonts w:hint="eastAsia" w:ascii="宋体" w:hAnsi="宋体" w:cs="宋体"/>
          <w:b/>
          <w:bCs/>
          <w:szCs w:val="24"/>
        </w:rPr>
      </w:pPr>
      <w:r>
        <w:rPr>
          <w:rFonts w:hint="eastAsia" w:ascii="宋体" w:hAnsi="宋体" w:cs="宋体"/>
          <w:szCs w:val="24"/>
          <w:lang w:val="en-US" w:eastAsia="zh-CN"/>
        </w:rPr>
        <w:t>谈判</w:t>
      </w:r>
      <w:r>
        <w:rPr>
          <w:rFonts w:hint="eastAsia" w:ascii="宋体" w:hAnsi="宋体" w:cs="宋体"/>
          <w:szCs w:val="24"/>
          <w:lang w:eastAsia="zh-CN"/>
        </w:rPr>
        <w:t>方</w:t>
      </w:r>
      <w:r>
        <w:rPr>
          <w:rFonts w:hint="eastAsia" w:ascii="宋体" w:hAnsi="宋体" w:cs="宋体"/>
          <w:szCs w:val="24"/>
        </w:rPr>
        <w:t>必须完成</w:t>
      </w:r>
      <w:r>
        <w:rPr>
          <w:rFonts w:hint="eastAsia" w:ascii="宋体" w:hAnsi="宋体" w:cs="宋体"/>
          <w:szCs w:val="24"/>
          <w:lang w:val="en-US" w:eastAsia="zh-CN"/>
        </w:rPr>
        <w:t>本技术规范书及甲方</w:t>
      </w:r>
      <w:r>
        <w:rPr>
          <w:rFonts w:hint="eastAsia" w:ascii="宋体" w:hAnsi="宋体" w:cs="宋体"/>
          <w:szCs w:val="24"/>
        </w:rPr>
        <w:t>要求的所有</w:t>
      </w:r>
      <w:r>
        <w:rPr>
          <w:rFonts w:hint="eastAsia" w:ascii="宋体" w:hAnsi="宋体" w:cs="宋体"/>
          <w:szCs w:val="24"/>
          <w:lang w:val="en-US" w:eastAsia="zh-CN"/>
        </w:rPr>
        <w:t>维保</w:t>
      </w:r>
      <w:r>
        <w:rPr>
          <w:rFonts w:hint="eastAsia" w:ascii="宋体" w:hAnsi="宋体" w:cs="宋体"/>
          <w:szCs w:val="24"/>
        </w:rPr>
        <w:t>工作内容</w:t>
      </w:r>
      <w:r>
        <w:rPr>
          <w:rFonts w:hint="eastAsia" w:ascii="宋体" w:hAnsi="宋体" w:cs="宋体"/>
          <w:szCs w:val="24"/>
          <w:lang w:eastAsia="zh-CN"/>
        </w:rPr>
        <w:t>，</w:t>
      </w:r>
      <w:r>
        <w:rPr>
          <w:rFonts w:hint="eastAsia" w:ascii="宋体" w:hAnsi="宋体" w:cs="宋体"/>
          <w:szCs w:val="24"/>
          <w:lang w:val="en-US" w:eastAsia="zh-CN"/>
        </w:rPr>
        <w:t>保山供电局根据相关标准开展验收监督工作，确保服务工作质量。</w:t>
      </w:r>
    </w:p>
    <w:p>
      <w:pPr>
        <w:pStyle w:val="5"/>
        <w:spacing w:before="0" w:beforeLines="0" w:after="0" w:afterLines="0"/>
        <w:rPr>
          <w:rFonts w:hint="eastAsia" w:ascii="宋体" w:hAnsi="宋体" w:cs="宋体"/>
          <w:sz w:val="24"/>
          <w:szCs w:val="24"/>
        </w:rPr>
      </w:pPr>
      <w:bookmarkStart w:id="43" w:name="_Toc26868"/>
      <w:bookmarkStart w:id="44" w:name="_Toc447029242"/>
      <w:bookmarkStart w:id="45" w:name="_Toc525677596"/>
      <w:bookmarkStart w:id="46" w:name="_Toc29084"/>
      <w:bookmarkStart w:id="47" w:name="_Toc5486"/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cs="宋体"/>
          <w:sz w:val="24"/>
          <w:szCs w:val="24"/>
        </w:rPr>
        <w:t>.2验收方法</w:t>
      </w:r>
      <w:bookmarkEnd w:id="43"/>
      <w:bookmarkEnd w:id="44"/>
      <w:bookmarkEnd w:id="45"/>
      <w:bookmarkEnd w:id="46"/>
      <w:bookmarkEnd w:id="47"/>
    </w:p>
    <w:p>
      <w:pPr>
        <w:ind w:firstLine="484" w:firstLineChars="202"/>
      </w:pPr>
      <w:r>
        <w:rPr>
          <w:rFonts w:hint="eastAsia" w:ascii="宋体" w:hAnsi="宋体" w:cs="宋体"/>
          <w:szCs w:val="24"/>
        </w:rPr>
        <w:t>如双方认为项目已具备验收条件，</w:t>
      </w:r>
      <w:r>
        <w:rPr>
          <w:rFonts w:hint="eastAsia" w:ascii="宋体" w:hAnsi="宋体" w:cs="宋体"/>
          <w:szCs w:val="24"/>
          <w:lang w:val="en-US" w:eastAsia="zh-CN"/>
        </w:rPr>
        <w:t>报价方</w:t>
      </w:r>
      <w:r>
        <w:rPr>
          <w:rFonts w:hint="eastAsia" w:ascii="宋体" w:hAnsi="宋体" w:cs="宋体"/>
          <w:szCs w:val="24"/>
        </w:rPr>
        <w:t>以书面方式向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</w:rPr>
        <w:t>提出验收申请，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</w:rPr>
        <w:t>在接到</w:t>
      </w:r>
      <w:r>
        <w:rPr>
          <w:rFonts w:hint="eastAsia" w:ascii="宋体" w:hAnsi="宋体" w:cs="宋体"/>
          <w:szCs w:val="24"/>
          <w:lang w:val="en-US" w:eastAsia="zh-CN"/>
        </w:rPr>
        <w:t>报价方</w:t>
      </w:r>
      <w:r>
        <w:rPr>
          <w:rFonts w:hint="eastAsia" w:ascii="宋体" w:hAnsi="宋体" w:cs="宋体"/>
          <w:szCs w:val="24"/>
        </w:rPr>
        <w:t>验收申请后组织对</w:t>
      </w:r>
      <w:r>
        <w:rPr>
          <w:rFonts w:hint="eastAsia" w:ascii="宋体" w:hAnsi="宋体" w:cs="宋体"/>
          <w:szCs w:val="24"/>
          <w:lang w:val="en-US" w:eastAsia="zh-CN"/>
        </w:rPr>
        <w:t>报价方</w:t>
      </w:r>
      <w:r>
        <w:rPr>
          <w:rFonts w:hint="eastAsia" w:ascii="宋体" w:hAnsi="宋体" w:cs="宋体"/>
          <w:szCs w:val="24"/>
        </w:rPr>
        <w:t>提交的资料进行审核，确认</w:t>
      </w:r>
      <w:r>
        <w:rPr>
          <w:rFonts w:hint="eastAsia" w:ascii="宋体" w:hAnsi="宋体" w:cs="宋体"/>
          <w:szCs w:val="24"/>
          <w:lang w:val="en-US" w:eastAsia="zh-CN"/>
        </w:rPr>
        <w:t>报价方</w:t>
      </w:r>
      <w:r>
        <w:rPr>
          <w:rFonts w:hint="eastAsia" w:ascii="宋体" w:hAnsi="宋体" w:cs="宋体"/>
          <w:szCs w:val="24"/>
        </w:rPr>
        <w:t>提交资料符合项目验收标准后，由</w:t>
      </w:r>
      <w:r>
        <w:rPr>
          <w:rFonts w:hint="eastAsia" w:ascii="宋体" w:hAnsi="宋体" w:cs="宋体"/>
          <w:szCs w:val="24"/>
          <w:lang w:eastAsia="zh-CN"/>
        </w:rPr>
        <w:t>项目建设单位</w:t>
      </w:r>
      <w:r>
        <w:rPr>
          <w:rFonts w:hint="eastAsia" w:ascii="宋体" w:hAnsi="宋体" w:cs="宋体"/>
          <w:szCs w:val="24"/>
        </w:rPr>
        <w:t>组织相关人员对</w:t>
      </w:r>
      <w:r>
        <w:rPr>
          <w:rFonts w:hint="eastAsia" w:ascii="宋体" w:hAnsi="宋体" w:cs="宋体"/>
          <w:szCs w:val="24"/>
          <w:lang w:val="en-US" w:eastAsia="zh-CN"/>
        </w:rPr>
        <w:t>报价方所完成</w:t>
      </w:r>
      <w:r>
        <w:rPr>
          <w:rFonts w:hint="eastAsia" w:ascii="宋体" w:hAnsi="宋体" w:cs="宋体"/>
          <w:szCs w:val="24"/>
        </w:rPr>
        <w:t>的</w:t>
      </w:r>
      <w:r>
        <w:rPr>
          <w:rFonts w:hint="eastAsia" w:ascii="宋体" w:hAnsi="宋体" w:cs="宋体"/>
          <w:szCs w:val="24"/>
          <w:lang w:val="en-US" w:eastAsia="zh-CN"/>
        </w:rPr>
        <w:t>服务</w:t>
      </w:r>
      <w:r>
        <w:rPr>
          <w:rFonts w:hint="eastAsia" w:ascii="宋体" w:hAnsi="宋体" w:cs="宋体"/>
          <w:szCs w:val="24"/>
        </w:rPr>
        <w:t>交付物进行</w:t>
      </w:r>
      <w:r>
        <w:rPr>
          <w:rFonts w:hint="eastAsia" w:ascii="宋体" w:hAnsi="宋体" w:cs="宋体"/>
          <w:szCs w:val="24"/>
          <w:lang w:val="en-US" w:eastAsia="zh-CN"/>
        </w:rPr>
        <w:t>验收评审</w:t>
      </w:r>
      <w:r>
        <w:rPr>
          <w:rFonts w:hint="eastAsia" w:ascii="宋体" w:hAnsi="宋体" w:cs="宋体"/>
          <w:szCs w:val="24"/>
        </w:rPr>
        <w:t>。</w:t>
      </w:r>
      <w:bookmarkEnd w:id="38"/>
      <w:bookmarkEnd w:id="39"/>
      <w:bookmarkEnd w:id="40"/>
      <w:bookmarkEnd w:id="41"/>
      <w:bookmarkEnd w:id="42"/>
    </w:p>
    <w:sectPr>
      <w:headerReference r:id="rId6" w:type="first"/>
      <w:footerReference r:id="rId7" w:type="default"/>
      <w:headerReference r:id="rId5" w:type="even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3" name="WordPictureWatermark100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000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84E85F"/>
    <w:multiLevelType w:val="singleLevel"/>
    <w:tmpl w:val="9A84E85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89F63D7"/>
    <w:multiLevelType w:val="multilevel"/>
    <w:tmpl w:val="A89F63D7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  <w:color w:val="auto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EE090846"/>
    <w:multiLevelType w:val="singleLevel"/>
    <w:tmpl w:val="EE090846"/>
    <w:lvl w:ilvl="0" w:tentative="0">
      <w:start w:val="6"/>
      <w:numFmt w:val="decimal"/>
      <w:suff w:val="nothing"/>
      <w:lvlText w:val="%1、"/>
      <w:lvlJc w:val="left"/>
    </w:lvl>
  </w:abstractNum>
  <w:abstractNum w:abstractNumId="3">
    <w:nsid w:val="FE2B08B6"/>
    <w:multiLevelType w:val="multilevel"/>
    <w:tmpl w:val="FE2B08B6"/>
    <w:lvl w:ilvl="0" w:tentative="0">
      <w:start w:val="1"/>
      <w:numFmt w:val="decimal"/>
      <w:lvlText w:val="%1"/>
      <w:lvlJc w:val="left"/>
      <w:pPr>
        <w:tabs>
          <w:tab w:val="left" w:pos="425"/>
        </w:tabs>
        <w:ind w:left="425" w:hanging="425"/>
      </w:pPr>
      <w:rPr>
        <w:rFonts w:hint="default" w:ascii="宋体" w:hAnsi="宋体" w:eastAsia="宋体" w:cs="宋体"/>
        <w:lang w:val="en-US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0" w:firstLine="0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"/>
      <w:lvlJc w:val="left"/>
      <w:pPr>
        <w:tabs>
          <w:tab w:val="left" w:pos="709"/>
        </w:tabs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pStyle w:val="14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4">
    <w:nsid w:val="00000007"/>
    <w:multiLevelType w:val="multilevel"/>
    <w:tmpl w:val="00000007"/>
    <w:lvl w:ilvl="0" w:tentative="0">
      <w:start w:val="1"/>
      <w:numFmt w:val="decimal"/>
      <w:suff w:val="space"/>
      <w:lvlText w:val="%1."/>
      <w:lvlJc w:val="left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362B9078"/>
    <w:multiLevelType w:val="singleLevel"/>
    <w:tmpl w:val="362B907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4DB30F2F"/>
    <w:multiLevelType w:val="multilevel"/>
    <w:tmpl w:val="4DB30F2F"/>
    <w:lvl w:ilvl="0" w:tentative="0">
      <w:start w:val="1"/>
      <w:numFmt w:val="lowerLetter"/>
      <w:lvlText w:val="%1)"/>
      <w:lvlJc w:val="left"/>
      <w:pPr>
        <w:ind w:left="114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20" w:hanging="420"/>
      </w:pPr>
    </w:lvl>
    <w:lvl w:ilvl="2" w:tentative="0">
      <w:start w:val="1"/>
      <w:numFmt w:val="lowerRoman"/>
      <w:lvlText w:val="%3."/>
      <w:lvlJc w:val="right"/>
      <w:pPr>
        <w:ind w:left="2040" w:hanging="420"/>
      </w:pPr>
    </w:lvl>
    <w:lvl w:ilvl="3" w:tentative="0">
      <w:start w:val="1"/>
      <w:numFmt w:val="decimal"/>
      <w:lvlText w:val="%4."/>
      <w:lvlJc w:val="left"/>
      <w:pPr>
        <w:ind w:left="2460" w:hanging="420"/>
      </w:pPr>
    </w:lvl>
    <w:lvl w:ilvl="4" w:tentative="0">
      <w:start w:val="1"/>
      <w:numFmt w:val="lowerLetter"/>
      <w:lvlText w:val="%5)"/>
      <w:lvlJc w:val="left"/>
      <w:pPr>
        <w:ind w:left="2880" w:hanging="420"/>
      </w:pPr>
    </w:lvl>
    <w:lvl w:ilvl="5" w:tentative="0">
      <w:start w:val="1"/>
      <w:numFmt w:val="lowerRoman"/>
      <w:lvlText w:val="%6."/>
      <w:lvlJc w:val="right"/>
      <w:pPr>
        <w:ind w:left="3300" w:hanging="420"/>
      </w:pPr>
    </w:lvl>
    <w:lvl w:ilvl="6" w:tentative="0">
      <w:start w:val="1"/>
      <w:numFmt w:val="decimal"/>
      <w:lvlText w:val="%7."/>
      <w:lvlJc w:val="left"/>
      <w:pPr>
        <w:ind w:left="3720" w:hanging="420"/>
      </w:pPr>
    </w:lvl>
    <w:lvl w:ilvl="7" w:tentative="0">
      <w:start w:val="1"/>
      <w:numFmt w:val="lowerLetter"/>
      <w:lvlText w:val="%8)"/>
      <w:lvlJc w:val="left"/>
      <w:pPr>
        <w:ind w:left="4140" w:hanging="420"/>
      </w:pPr>
    </w:lvl>
    <w:lvl w:ilvl="8" w:tentative="0">
      <w:start w:val="1"/>
      <w:numFmt w:val="lowerRoman"/>
      <w:lvlText w:val="%9."/>
      <w:lvlJc w:val="right"/>
      <w:pPr>
        <w:ind w:left="4560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1YTkzNjIyMGRmOTMxOTY1ZDM3MGE4YmVlNTYwNzUifQ=="/>
  </w:docVars>
  <w:rsids>
    <w:rsidRoot w:val="10B93B25"/>
    <w:rsid w:val="019B6B2F"/>
    <w:rsid w:val="02F56BE8"/>
    <w:rsid w:val="040B578A"/>
    <w:rsid w:val="05341DD6"/>
    <w:rsid w:val="08347247"/>
    <w:rsid w:val="092C3A18"/>
    <w:rsid w:val="095F6508"/>
    <w:rsid w:val="0C0A0C3E"/>
    <w:rsid w:val="0C5E25D5"/>
    <w:rsid w:val="0D8E0749"/>
    <w:rsid w:val="0F2F11CD"/>
    <w:rsid w:val="10B93B25"/>
    <w:rsid w:val="127D7C88"/>
    <w:rsid w:val="13F56E49"/>
    <w:rsid w:val="1CCE7CF5"/>
    <w:rsid w:val="213114B9"/>
    <w:rsid w:val="2C7A331A"/>
    <w:rsid w:val="330A4534"/>
    <w:rsid w:val="34D96749"/>
    <w:rsid w:val="361B6763"/>
    <w:rsid w:val="363D2887"/>
    <w:rsid w:val="39215C05"/>
    <w:rsid w:val="46E103FF"/>
    <w:rsid w:val="49765EAC"/>
    <w:rsid w:val="4A2C0277"/>
    <w:rsid w:val="4C513DD4"/>
    <w:rsid w:val="51A7700E"/>
    <w:rsid w:val="575A715B"/>
    <w:rsid w:val="5AA47EAB"/>
    <w:rsid w:val="625343EF"/>
    <w:rsid w:val="65FB3021"/>
    <w:rsid w:val="66D84467"/>
    <w:rsid w:val="6CD07C3F"/>
    <w:rsid w:val="6DA944F5"/>
    <w:rsid w:val="6F7E3FF7"/>
    <w:rsid w:val="75D035F4"/>
    <w:rsid w:val="786F69A2"/>
    <w:rsid w:val="7A21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outlineLvl w:val="0"/>
    </w:pPr>
    <w:rPr>
      <w:rFonts w:ascii="等线" w:hAnsi="等线" w:eastAsia="宋体" w:cs="Times New Roman"/>
      <w:b/>
      <w:bCs/>
      <w:kern w:val="44"/>
      <w:sz w:val="32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tabs>
        <w:tab w:val="left" w:pos="576"/>
      </w:tabs>
      <w:spacing w:before="50" w:beforeLines="50" w:after="50" w:afterLines="50"/>
      <w:outlineLvl w:val="1"/>
    </w:pPr>
    <w:rPr>
      <w:rFonts w:ascii="等线 Light" w:hAnsi="等线 Light" w:eastAsia="宋体" w:cs="Times New Roman"/>
      <w:b/>
      <w:bCs/>
      <w:sz w:val="30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7">
    <w:name w:val="Date"/>
    <w:basedOn w:val="1"/>
    <w:next w:val="1"/>
    <w:qFormat/>
    <w:uiPriority w:val="99"/>
    <w:pPr>
      <w:adjustRightInd w:val="0"/>
      <w:spacing w:line="360" w:lineRule="atLeast"/>
      <w:ind w:left="100" w:leftChars="2500" w:firstLine="0" w:firstLineChars="0"/>
      <w:jc w:val="left"/>
      <w:textAlignment w:val="baseline"/>
    </w:pPr>
    <w:rPr>
      <w:kern w:val="0"/>
      <w:sz w:val="24"/>
      <w:szCs w:val="20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toc 2"/>
    <w:basedOn w:val="1"/>
    <w:next w:val="1"/>
    <w:qFormat/>
    <w:uiPriority w:val="0"/>
    <w:pPr>
      <w:ind w:left="420" w:leftChars="200"/>
    </w:pPr>
  </w:style>
  <w:style w:type="paragraph" w:customStyle="1" w:styleId="14">
    <w:name w:val="5"/>
    <w:basedOn w:val="1"/>
    <w:qFormat/>
    <w:uiPriority w:val="0"/>
    <w:pPr>
      <w:numPr>
        <w:ilvl w:val="4"/>
        <w:numId w:val="2"/>
      </w:numPr>
      <w:ind w:left="992" w:hanging="992"/>
    </w:pPr>
  </w:style>
  <w:style w:type="paragraph" w:customStyle="1" w:styleId="15">
    <w:name w:val="正文文字样式"/>
    <w:basedOn w:val="1"/>
    <w:qFormat/>
    <w:uiPriority w:val="0"/>
    <w:pPr>
      <w:spacing w:line="480" w:lineRule="exact"/>
      <w:ind w:firstLine="480"/>
    </w:pPr>
    <w:rPr>
      <w:sz w:val="24"/>
      <w:szCs w:val="24"/>
    </w:rPr>
  </w:style>
  <w:style w:type="paragraph" w:customStyle="1" w:styleId="16">
    <w:name w:val="内容正文"/>
    <w:basedOn w:val="1"/>
    <w:qFormat/>
    <w:uiPriority w:val="0"/>
    <w:pPr>
      <w:spacing w:beforeLines="50" w:afterLines="50"/>
    </w:pPr>
    <w:rPr>
      <w:rFonts w:ascii="Arial" w:hAnsi="Arial"/>
      <w:szCs w:val="21"/>
    </w:rPr>
  </w:style>
  <w:style w:type="paragraph" w:customStyle="1" w:styleId="17">
    <w:name w:val="章节标题1"/>
    <w:basedOn w:val="5"/>
    <w:qFormat/>
    <w:uiPriority w:val="0"/>
    <w:pPr>
      <w:tabs>
        <w:tab w:val="left" w:pos="420"/>
        <w:tab w:val="clear" w:pos="576"/>
      </w:tabs>
      <w:spacing w:before="0" w:after="0"/>
      <w:jc w:val="center"/>
      <w:outlineLvl w:val="0"/>
    </w:pPr>
    <w:rPr>
      <w:rFonts w:ascii="宋体" w:hAnsi="宋体"/>
      <w:bCs w:val="0"/>
      <w:sz w:val="28"/>
      <w:szCs w:val="30"/>
    </w:rPr>
  </w:style>
  <w:style w:type="paragraph" w:customStyle="1" w:styleId="18">
    <w:name w:val="List Paragraph"/>
    <w:basedOn w:val="1"/>
    <w:unhideWhenUsed/>
    <w:qFormat/>
    <w:uiPriority w:val="99"/>
  </w:style>
  <w:style w:type="paragraph" w:customStyle="1" w:styleId="19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20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4359</Words>
  <Characters>4502</Characters>
  <Lines>0</Lines>
  <Paragraphs>0</Paragraphs>
  <TotalTime>139</TotalTime>
  <ScaleCrop>false</ScaleCrop>
  <LinksUpToDate>false</LinksUpToDate>
  <CharactersWithSpaces>4510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2023-03-01T01:26:00Z</dcterms:created>
  <dc:creator>董治洲</dc:creator>
  <cp:lastModifiedBy>李秀明</cp:lastModifiedBy>
  <dcterms:modified xsi:type="dcterms:W3CDTF">2024-08-26T06:08:33Z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4AA516DE418F443CB35C00B4AD3A3871</vt:lpwstr>
  </property>
</Properties>
</file>