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ind w:left="480"/>
        <w:rPr>
          <w:rFonts w:hint="eastAsia" w:ascii="仿宋" w:hAnsi="仿宋" w:eastAsia="仿宋" w:cs="仿宋"/>
          <w:color w:val="000000" w:themeColor="text1"/>
          <w:sz w:val="32"/>
          <w:szCs w:val="32"/>
          <w:highlight w:val="none"/>
          <w14:textFill>
            <w14:solidFill>
              <w14:schemeClr w14:val="tx1"/>
            </w14:solidFill>
          </w14:textFill>
        </w:rPr>
      </w:pPr>
    </w:p>
    <w:p>
      <w:pPr>
        <w:pStyle w:val="12"/>
        <w:ind w:left="480"/>
        <w:rPr>
          <w:rFonts w:hint="eastAsia" w:ascii="仿宋" w:hAnsi="仿宋" w:eastAsia="仿宋" w:cs="仿宋"/>
          <w:color w:val="000000" w:themeColor="text1"/>
          <w:sz w:val="32"/>
          <w:szCs w:val="32"/>
          <w:highlight w:val="none"/>
          <w14:textFill>
            <w14:solidFill>
              <w14:schemeClr w14:val="tx1"/>
            </w14:solidFill>
          </w14:textFill>
        </w:rPr>
      </w:pPr>
    </w:p>
    <w:p>
      <w:pPr>
        <w:pStyle w:val="12"/>
        <w:ind w:left="480"/>
        <w:rPr>
          <w:rFonts w:hint="eastAsia" w:ascii="仿宋" w:hAnsi="仿宋" w:eastAsia="仿宋" w:cs="仿宋"/>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微软雅黑" w:hAnsi="微软雅黑" w:eastAsia="微软雅黑" w:cs="微软雅黑"/>
          <w:b w:val="0"/>
          <w:bCs/>
          <w:color w:val="000000" w:themeColor="text1"/>
          <w:sz w:val="44"/>
          <w:szCs w:val="44"/>
          <w:highlight w:val="none"/>
          <w:lang w:val="en-US" w:eastAsia="zh-CN"/>
          <w14:textFill>
            <w14:solidFill>
              <w14:schemeClr w14:val="tx1"/>
            </w14:solidFill>
          </w14:textFill>
        </w:rPr>
      </w:pPr>
      <w:r>
        <w:rPr>
          <w:rFonts w:hint="eastAsia" w:ascii="微软雅黑" w:hAnsi="微软雅黑" w:eastAsia="微软雅黑" w:cs="微软雅黑"/>
          <w:b w:val="0"/>
          <w:bCs/>
          <w:color w:val="000000" w:themeColor="text1"/>
          <w:sz w:val="44"/>
          <w:szCs w:val="44"/>
          <w:highlight w:val="none"/>
          <w:lang w:val="en-US" w:eastAsia="zh-CN"/>
          <w14:textFill>
            <w14:solidFill>
              <w14:schemeClr w14:val="tx1"/>
            </w14:solidFill>
          </w14:textFill>
        </w:rPr>
        <w:t>危险废物追溯系统采购</w:t>
      </w:r>
      <w:r>
        <w:rPr>
          <w:rFonts w:hint="eastAsia" w:ascii="微软雅黑" w:hAnsi="微软雅黑" w:eastAsia="微软雅黑" w:cs="微软雅黑"/>
          <w:b w:val="0"/>
          <w:bCs/>
          <w:color w:val="000000" w:themeColor="text1"/>
          <w:sz w:val="44"/>
          <w:szCs w:val="44"/>
          <w:highlight w:val="none"/>
          <w:lang w:eastAsia="zh-CN"/>
          <w14:textFill>
            <w14:solidFill>
              <w14:schemeClr w14:val="tx1"/>
            </w14:solidFill>
          </w14:textFill>
        </w:rPr>
        <w:t>方案</w:t>
      </w: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ind w:left="425" w:firstLine="0" w:firstLineChars="0"/>
        <w:jc w:val="center"/>
        <w:rPr>
          <w:rFonts w:hint="eastAsia" w:ascii="仿宋" w:hAnsi="仿宋" w:eastAsia="仿宋" w:cs="仿宋"/>
          <w:b/>
          <w:color w:val="000000" w:themeColor="text1"/>
          <w:sz w:val="32"/>
          <w:szCs w:val="32"/>
          <w:highlight w:val="non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p>
    <w:tbl>
      <w:tblPr>
        <w:tblStyle w:val="13"/>
        <w:tblW w:w="7560" w:type="dxa"/>
        <w:jc w:val="center"/>
        <w:tblLayout w:type="fixed"/>
        <w:tblCellMar>
          <w:top w:w="0" w:type="dxa"/>
          <w:left w:w="108" w:type="dxa"/>
          <w:bottom w:w="0" w:type="dxa"/>
          <w:right w:w="108" w:type="dxa"/>
        </w:tblCellMar>
      </w:tblPr>
      <w:tblGrid>
        <w:gridCol w:w="1701"/>
        <w:gridCol w:w="5859"/>
      </w:tblGrid>
      <w:tr>
        <w:tblPrEx>
          <w:tblCellMar>
            <w:top w:w="0" w:type="dxa"/>
            <w:left w:w="108" w:type="dxa"/>
            <w:bottom w:w="0" w:type="dxa"/>
            <w:right w:w="108" w:type="dxa"/>
          </w:tblCellMar>
        </w:tblPrEx>
        <w:trPr>
          <w:trHeight w:val="662" w:hRule="atLeast"/>
          <w:jc w:val="center"/>
        </w:trPr>
        <w:tc>
          <w:tcPr>
            <w:tcW w:w="1701" w:type="dxa"/>
            <w:vAlign w:val="center"/>
          </w:tcPr>
          <w:p>
            <w:pPr>
              <w:pStyle w:val="15"/>
              <w:spacing w:line="320" w:lineRule="exact"/>
              <w:ind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项目名称：</w:t>
            </w:r>
          </w:p>
        </w:tc>
        <w:tc>
          <w:tcPr>
            <w:tcW w:w="5859" w:type="dxa"/>
            <w:tcBorders>
              <w:bottom w:val="single" w:color="000000" w:themeColor="text1" w:sz="12" w:space="0"/>
            </w:tcBorders>
            <w:vAlign w:val="center"/>
          </w:tcPr>
          <w:p>
            <w:pPr>
              <w:pStyle w:val="15"/>
              <w:ind w:left="425" w:firstLine="0" w:firstLineChars="0"/>
              <w:jc w:val="center"/>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危险废物追溯系统采购</w:t>
            </w:r>
            <w:r>
              <w:rPr>
                <w:rFonts w:hint="eastAsia" w:ascii="仿宋" w:hAnsi="仿宋" w:eastAsia="仿宋" w:cs="仿宋"/>
                <w:b/>
                <w:bCs/>
                <w:color w:val="000000" w:themeColor="text1"/>
                <w:sz w:val="32"/>
                <w:szCs w:val="32"/>
                <w:highlight w:val="none"/>
                <w:lang w:eastAsia="zh-CN"/>
                <w14:textFill>
                  <w14:solidFill>
                    <w14:schemeClr w14:val="tx1"/>
                  </w14:solidFill>
                </w14:textFill>
              </w:rPr>
              <w:t>方案</w:t>
            </w:r>
          </w:p>
        </w:tc>
      </w:tr>
      <w:tr>
        <w:tblPrEx>
          <w:tblCellMar>
            <w:top w:w="0" w:type="dxa"/>
            <w:left w:w="108" w:type="dxa"/>
            <w:bottom w:w="0" w:type="dxa"/>
            <w:right w:w="108" w:type="dxa"/>
          </w:tblCellMar>
        </w:tblPrEx>
        <w:trPr>
          <w:trHeight w:val="662" w:hRule="atLeast"/>
          <w:jc w:val="center"/>
        </w:trPr>
        <w:tc>
          <w:tcPr>
            <w:tcW w:w="1701" w:type="dxa"/>
            <w:vAlign w:val="center"/>
          </w:tcPr>
          <w:p>
            <w:pPr>
              <w:pStyle w:val="15"/>
              <w:spacing w:line="320" w:lineRule="exact"/>
              <w:ind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建设单位：</w:t>
            </w:r>
          </w:p>
        </w:tc>
        <w:tc>
          <w:tcPr>
            <w:tcW w:w="5859" w:type="dxa"/>
            <w:tcBorders>
              <w:top w:val="single" w:color="000000" w:themeColor="text1" w:sz="12" w:space="0"/>
              <w:bottom w:val="single" w:color="000000" w:themeColor="text1" w:sz="12" w:space="0"/>
            </w:tcBorders>
            <w:vAlign w:val="center"/>
          </w:tcPr>
          <w:p>
            <w:pPr>
              <w:pStyle w:val="15"/>
              <w:spacing w:line="320" w:lineRule="exact"/>
              <w:ind w:firstLine="0" w:firstLineChars="0"/>
              <w:jc w:val="center"/>
              <w:rPr>
                <w:rFonts w:hint="eastAsia" w:ascii="仿宋" w:hAnsi="仿宋" w:eastAsia="仿宋" w:cs="仿宋"/>
                <w:b/>
                <w:bCs/>
                <w:color w:val="000000" w:themeColor="text1"/>
                <w:sz w:val="32"/>
                <w:szCs w:val="32"/>
                <w:highlight w:val="none"/>
                <w:u w:val="single"/>
                <w:lang w:val="en-US" w:eastAsia="zh-CN"/>
                <w14:textFill>
                  <w14:solidFill>
                    <w14:schemeClr w14:val="tx1"/>
                  </w14:solidFill>
                </w14:textFill>
              </w:rPr>
            </w:pPr>
          </w:p>
        </w:tc>
      </w:tr>
      <w:tr>
        <w:tblPrEx>
          <w:tblCellMar>
            <w:top w:w="0" w:type="dxa"/>
            <w:left w:w="108" w:type="dxa"/>
            <w:bottom w:w="0" w:type="dxa"/>
            <w:right w:w="108" w:type="dxa"/>
          </w:tblCellMar>
        </w:tblPrEx>
        <w:trPr>
          <w:trHeight w:val="662" w:hRule="atLeast"/>
          <w:jc w:val="center"/>
        </w:trPr>
        <w:tc>
          <w:tcPr>
            <w:tcW w:w="1701" w:type="dxa"/>
            <w:vAlign w:val="center"/>
          </w:tcPr>
          <w:p>
            <w:pPr>
              <w:spacing w:line="320" w:lineRule="exact"/>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lang w:eastAsia="zh-CN"/>
                <w14:textFill>
                  <w14:solidFill>
                    <w14:schemeClr w14:val="tx1"/>
                  </w14:solidFill>
                </w14:textFill>
              </w:rPr>
              <w:t>编制</w:t>
            </w:r>
            <w:r>
              <w:rPr>
                <w:rFonts w:hint="eastAsia" w:ascii="仿宋" w:hAnsi="仿宋" w:eastAsia="仿宋" w:cs="仿宋"/>
                <w:b/>
                <w:bCs/>
                <w:color w:val="000000" w:themeColor="text1"/>
                <w:sz w:val="32"/>
                <w:szCs w:val="32"/>
                <w:highlight w:val="none"/>
                <w14:textFill>
                  <w14:solidFill>
                    <w14:schemeClr w14:val="tx1"/>
                  </w14:solidFill>
                </w14:textFill>
              </w:rPr>
              <w:t>日期：</w:t>
            </w:r>
          </w:p>
        </w:tc>
        <w:tc>
          <w:tcPr>
            <w:tcW w:w="5859" w:type="dxa"/>
            <w:tcBorders>
              <w:top w:val="single" w:color="000000" w:themeColor="text1" w:sz="12" w:space="0"/>
              <w:bottom w:val="single" w:color="000000" w:themeColor="text1" w:sz="12" w:space="0"/>
            </w:tcBorders>
            <w:vAlign w:val="center"/>
          </w:tcPr>
          <w:p>
            <w:pPr>
              <w:pStyle w:val="15"/>
              <w:spacing w:line="320" w:lineRule="exact"/>
              <w:ind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202</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4</w:t>
            </w:r>
            <w:r>
              <w:rPr>
                <w:rFonts w:hint="eastAsia" w:ascii="仿宋" w:hAnsi="仿宋" w:eastAsia="仿宋" w:cs="仿宋"/>
                <w:b/>
                <w:bCs/>
                <w:color w:val="000000" w:themeColor="text1"/>
                <w:sz w:val="32"/>
                <w:szCs w:val="32"/>
                <w:highlight w:val="none"/>
                <w14:textFill>
                  <w14:solidFill>
                    <w14:schemeClr w14:val="tx1"/>
                  </w14:solidFill>
                </w14:textFill>
              </w:rPr>
              <w:t>年</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8</w:t>
            </w:r>
            <w:r>
              <w:rPr>
                <w:rFonts w:hint="eastAsia" w:ascii="仿宋" w:hAnsi="仿宋" w:eastAsia="仿宋" w:cs="仿宋"/>
                <w:b/>
                <w:bCs/>
                <w:color w:val="000000" w:themeColor="text1"/>
                <w:sz w:val="32"/>
                <w:szCs w:val="32"/>
                <w:highlight w:val="none"/>
                <w14:textFill>
                  <w14:solidFill>
                    <w14:schemeClr w14:val="tx1"/>
                  </w14:solidFill>
                </w14:textFill>
              </w:rPr>
              <w:t>月</w:t>
            </w:r>
          </w:p>
        </w:tc>
      </w:tr>
      <w:tr>
        <w:tblPrEx>
          <w:tblCellMar>
            <w:top w:w="0" w:type="dxa"/>
            <w:left w:w="108" w:type="dxa"/>
            <w:bottom w:w="0" w:type="dxa"/>
            <w:right w:w="108" w:type="dxa"/>
          </w:tblCellMar>
        </w:tblPrEx>
        <w:trPr>
          <w:trHeight w:val="662" w:hRule="atLeast"/>
          <w:jc w:val="center"/>
        </w:trPr>
        <w:tc>
          <w:tcPr>
            <w:tcW w:w="1701" w:type="dxa"/>
            <w:vAlign w:val="center"/>
          </w:tcPr>
          <w:p>
            <w:pPr>
              <w:pStyle w:val="15"/>
              <w:spacing w:line="320" w:lineRule="exact"/>
              <w:ind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lang w:eastAsia="zh-CN"/>
                <w14:textFill>
                  <w14:solidFill>
                    <w14:schemeClr w14:val="tx1"/>
                  </w14:solidFill>
                </w14:textFill>
              </w:rPr>
              <w:t>编制</w:t>
            </w:r>
            <w:r>
              <w:rPr>
                <w:rFonts w:hint="eastAsia" w:ascii="仿宋" w:hAnsi="仿宋" w:eastAsia="仿宋" w:cs="仿宋"/>
                <w:b/>
                <w:bCs/>
                <w:color w:val="000000" w:themeColor="text1"/>
                <w:sz w:val="32"/>
                <w:szCs w:val="32"/>
                <w:highlight w:val="none"/>
                <w14:textFill>
                  <w14:solidFill>
                    <w14:schemeClr w14:val="tx1"/>
                  </w14:solidFill>
                </w14:textFill>
              </w:rPr>
              <w:t>单位：</w:t>
            </w:r>
          </w:p>
        </w:tc>
        <w:tc>
          <w:tcPr>
            <w:tcW w:w="5859" w:type="dxa"/>
            <w:tcBorders>
              <w:top w:val="single" w:color="000000" w:themeColor="text1" w:sz="12" w:space="0"/>
              <w:bottom w:val="single" w:color="000000" w:themeColor="text1" w:sz="12" w:space="0"/>
            </w:tcBorders>
            <w:vAlign w:val="center"/>
          </w:tcPr>
          <w:p>
            <w:pPr>
              <w:pStyle w:val="15"/>
              <w:spacing w:line="320" w:lineRule="exact"/>
              <w:ind w:firstLine="0" w:firstLineChars="0"/>
              <w:jc w:val="center"/>
              <w:rPr>
                <w:rFonts w:hint="eastAsia" w:ascii="仿宋" w:hAnsi="仿宋" w:eastAsia="仿宋" w:cs="仿宋"/>
                <w:b/>
                <w:bCs/>
                <w:color w:val="000000" w:themeColor="text1"/>
                <w:sz w:val="32"/>
                <w:szCs w:val="32"/>
                <w:highlight w:val="none"/>
                <w:u w:val="single"/>
                <w:lang w:eastAsia="zh-CN"/>
                <w14:textFill>
                  <w14:solidFill>
                    <w14:schemeClr w14:val="tx1"/>
                  </w14:solidFill>
                </w14:textFill>
              </w:rPr>
            </w:pPr>
            <w:r>
              <w:rPr>
                <w:rFonts w:hint="eastAsia" w:ascii="仿宋" w:hAnsi="仿宋" w:eastAsia="仿宋" w:cs="仿宋"/>
                <w:b/>
                <w:bCs/>
                <w:color w:val="000000" w:themeColor="text1"/>
                <w:sz w:val="32"/>
                <w:szCs w:val="32"/>
                <w:highlight w:val="none"/>
                <w:lang w:eastAsia="zh-CN"/>
                <w14:textFill>
                  <w14:solidFill>
                    <w14:schemeClr w14:val="tx1"/>
                  </w14:solidFill>
                </w14:textFill>
              </w:rPr>
              <w:t>六盘水供电局供应链服务中心</w:t>
            </w:r>
          </w:p>
        </w:tc>
      </w:tr>
    </w:tbl>
    <w:p>
      <w:pPr>
        <w:pStyle w:val="15"/>
        <w:spacing w:line="320" w:lineRule="exact"/>
        <w:ind w:left="425"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14:textFill>
            <w14:solidFill>
              <w14:schemeClr w14:val="tx1"/>
            </w14:solidFill>
          </w14:textFill>
        </w:rPr>
      </w:pPr>
    </w:p>
    <w:p>
      <w:pPr>
        <w:pStyle w:val="15"/>
        <w:spacing w:line="320" w:lineRule="exact"/>
        <w:ind w:left="425" w:firstLine="0" w:firstLineChars="0"/>
        <w:rPr>
          <w:rFonts w:hint="eastAsia" w:ascii="仿宋" w:hAnsi="仿宋" w:eastAsia="仿宋" w:cs="仿宋"/>
          <w:b/>
          <w:bCs/>
          <w:color w:val="000000" w:themeColor="text1"/>
          <w:sz w:val="32"/>
          <w:szCs w:val="32"/>
          <w:highlight w:val="none"/>
          <w:u w:val="single"/>
          <w14:textFill>
            <w14:solidFill>
              <w14:schemeClr w14:val="tx1"/>
            </w14:solidFill>
          </w14:textFill>
        </w:rPr>
      </w:pP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br w:type="page"/>
      </w:r>
    </w:p>
    <w:p>
      <w:pPr>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根据《贵州省生态环境厅关于进一步提升危险废物全过程信息化和规范化环境管理有关工作的通知》危险废物处置工作需采购危险废物追溯系统。</w:t>
      </w:r>
    </w:p>
    <w:p>
      <w:pPr>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具体采购方案如下：</w:t>
      </w:r>
    </w:p>
    <w:p>
      <w:pPr>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bookmarkStart w:id="0" w:name="_GoBack"/>
      <w:bookmarkEnd w:id="0"/>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一、提供满足六盘水供电局危险废物处置工作开展要求危险废物追溯系统两套；</w:t>
      </w:r>
    </w:p>
    <w:p>
      <w:pPr>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二、基础服务</w:t>
      </w:r>
    </w:p>
    <w:p>
      <w:pPr>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default"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服务期三年，设备所有权归甲方所有，乙方提供产品质保三年服务，耗材由乙方提供。</w:t>
      </w:r>
    </w:p>
    <w:p>
      <w:pPr>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default"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服务地址：甲方指定地址。</w:t>
      </w:r>
    </w:p>
    <w:p>
      <w:pPr>
        <w:rPr>
          <w:rFonts w:hint="default"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t xml:space="preserve"> 三、乙方须持有符合贵州省生态环境保护厅要求的相关资质及营业执照。</w:t>
      </w:r>
    </w:p>
    <w:p>
      <w:pPr>
        <w:rPr>
          <w:rFonts w:hint="eastAsia" w:ascii="仿宋" w:hAnsi="仿宋" w:eastAsia="仿宋" w:cs="仿宋"/>
          <w:color w:val="000000" w:themeColor="text1"/>
          <w:sz w:val="32"/>
          <w:szCs w:val="32"/>
          <w:highlight w:val="none"/>
          <w:lang w:val="en-US" w:eastAsia="zh-CN"/>
          <w14:textFill>
            <w14:solidFill>
              <w14:schemeClr w14:val="tx1"/>
            </w14:solidFill>
          </w14:textFill>
        </w:rPr>
      </w:pPr>
    </w:p>
    <w:p>
      <w:pPr>
        <w:rPr>
          <w:rFonts w:hint="eastAsia" w:ascii="仿宋" w:hAnsi="仿宋" w:eastAsia="仿宋" w:cs="仿宋"/>
          <w:color w:val="000000" w:themeColor="text1"/>
          <w:sz w:val="32"/>
          <w:szCs w:val="32"/>
          <w:highlight w:val="none"/>
          <w:lang w:val="en-US" w:eastAsia="zh-CN"/>
          <w14:textFill>
            <w14:solidFill>
              <w14:schemeClr w14:val="tx1"/>
            </w14:solidFill>
          </w14:textFill>
        </w:rPr>
      </w:pPr>
    </w:p>
    <w:p>
      <w:pPr>
        <w:rPr>
          <w:rFonts w:hint="eastAsia" w:ascii="仿宋" w:hAnsi="仿宋" w:eastAsia="仿宋" w:cs="仿宋"/>
          <w:color w:val="000000" w:themeColor="text1"/>
          <w:sz w:val="32"/>
          <w:szCs w:val="32"/>
          <w:highlight w:val="none"/>
          <w14:textFill>
            <w14:solidFill>
              <w14:schemeClr w14:val="tx1"/>
            </w14:solidFill>
          </w14:textFill>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Verdana-Bold">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D4C8E"/>
    <w:rsid w:val="03F7785A"/>
    <w:rsid w:val="04176523"/>
    <w:rsid w:val="04C63E46"/>
    <w:rsid w:val="05AE605F"/>
    <w:rsid w:val="07216AE2"/>
    <w:rsid w:val="073360BD"/>
    <w:rsid w:val="074D6968"/>
    <w:rsid w:val="0803604B"/>
    <w:rsid w:val="08467321"/>
    <w:rsid w:val="093A6675"/>
    <w:rsid w:val="0B865355"/>
    <w:rsid w:val="0C3C77C2"/>
    <w:rsid w:val="0C6173DE"/>
    <w:rsid w:val="0C7C4062"/>
    <w:rsid w:val="0CC725EC"/>
    <w:rsid w:val="0DD34156"/>
    <w:rsid w:val="0F1A3753"/>
    <w:rsid w:val="0F3B1FB3"/>
    <w:rsid w:val="0FB71F81"/>
    <w:rsid w:val="0FC26321"/>
    <w:rsid w:val="107C35CF"/>
    <w:rsid w:val="1111746F"/>
    <w:rsid w:val="12952F66"/>
    <w:rsid w:val="13A34236"/>
    <w:rsid w:val="14350362"/>
    <w:rsid w:val="156839A2"/>
    <w:rsid w:val="169805F4"/>
    <w:rsid w:val="16AE1F94"/>
    <w:rsid w:val="16DB32B4"/>
    <w:rsid w:val="17C23271"/>
    <w:rsid w:val="17D912A0"/>
    <w:rsid w:val="18A40BC9"/>
    <w:rsid w:val="19B0222B"/>
    <w:rsid w:val="19D76D7C"/>
    <w:rsid w:val="1BE770FA"/>
    <w:rsid w:val="1C220A15"/>
    <w:rsid w:val="1C9534A3"/>
    <w:rsid w:val="1CAD0994"/>
    <w:rsid w:val="1CC45417"/>
    <w:rsid w:val="1CC45CDD"/>
    <w:rsid w:val="1DF0665E"/>
    <w:rsid w:val="1E6A4663"/>
    <w:rsid w:val="1E9D1D46"/>
    <w:rsid w:val="1F5C5C5B"/>
    <w:rsid w:val="1FC23CA6"/>
    <w:rsid w:val="206165B6"/>
    <w:rsid w:val="21515666"/>
    <w:rsid w:val="223976B5"/>
    <w:rsid w:val="23861A54"/>
    <w:rsid w:val="24485B64"/>
    <w:rsid w:val="24D35C2C"/>
    <w:rsid w:val="259207B1"/>
    <w:rsid w:val="269B4E76"/>
    <w:rsid w:val="26D12B9F"/>
    <w:rsid w:val="26F843D3"/>
    <w:rsid w:val="274563CD"/>
    <w:rsid w:val="28442C99"/>
    <w:rsid w:val="28AB7D51"/>
    <w:rsid w:val="293B7327"/>
    <w:rsid w:val="294B7965"/>
    <w:rsid w:val="29757CEA"/>
    <w:rsid w:val="298567F4"/>
    <w:rsid w:val="299D0DBA"/>
    <w:rsid w:val="29ED4A29"/>
    <w:rsid w:val="2A3D2C2B"/>
    <w:rsid w:val="2A446D64"/>
    <w:rsid w:val="2A650A57"/>
    <w:rsid w:val="2B6C7C6C"/>
    <w:rsid w:val="2B8F6FF6"/>
    <w:rsid w:val="2C1E1CA0"/>
    <w:rsid w:val="2C765D7F"/>
    <w:rsid w:val="2C9E3E55"/>
    <w:rsid w:val="2D1D3647"/>
    <w:rsid w:val="2DFD7A5A"/>
    <w:rsid w:val="2F154177"/>
    <w:rsid w:val="2F8B6071"/>
    <w:rsid w:val="305C6469"/>
    <w:rsid w:val="309E535B"/>
    <w:rsid w:val="321C68DF"/>
    <w:rsid w:val="33036367"/>
    <w:rsid w:val="34E950E4"/>
    <w:rsid w:val="367A4DFA"/>
    <w:rsid w:val="37E43DDC"/>
    <w:rsid w:val="38996C55"/>
    <w:rsid w:val="3A253286"/>
    <w:rsid w:val="3A712D74"/>
    <w:rsid w:val="3B023801"/>
    <w:rsid w:val="3B551A74"/>
    <w:rsid w:val="3E422D28"/>
    <w:rsid w:val="3E95278C"/>
    <w:rsid w:val="3F841847"/>
    <w:rsid w:val="3FB3469B"/>
    <w:rsid w:val="40666E18"/>
    <w:rsid w:val="40BE7759"/>
    <w:rsid w:val="40DC1131"/>
    <w:rsid w:val="41283EAE"/>
    <w:rsid w:val="41425B1E"/>
    <w:rsid w:val="41734A84"/>
    <w:rsid w:val="41C14D9D"/>
    <w:rsid w:val="42BC5757"/>
    <w:rsid w:val="43E6713E"/>
    <w:rsid w:val="43F87568"/>
    <w:rsid w:val="459061A7"/>
    <w:rsid w:val="45FB0EB4"/>
    <w:rsid w:val="48BF5ED0"/>
    <w:rsid w:val="48D507A7"/>
    <w:rsid w:val="4A606796"/>
    <w:rsid w:val="4B9D7810"/>
    <w:rsid w:val="4BFA2679"/>
    <w:rsid w:val="4C176C96"/>
    <w:rsid w:val="4C775A78"/>
    <w:rsid w:val="4D176E22"/>
    <w:rsid w:val="4D333CEE"/>
    <w:rsid w:val="4DA91FD9"/>
    <w:rsid w:val="4DD64C83"/>
    <w:rsid w:val="4DF41C64"/>
    <w:rsid w:val="4F8627FB"/>
    <w:rsid w:val="4FC0489D"/>
    <w:rsid w:val="4FDF6A83"/>
    <w:rsid w:val="5123668C"/>
    <w:rsid w:val="51331174"/>
    <w:rsid w:val="51FF0F85"/>
    <w:rsid w:val="52402DA2"/>
    <w:rsid w:val="52F47D3C"/>
    <w:rsid w:val="534558E3"/>
    <w:rsid w:val="54172B75"/>
    <w:rsid w:val="545A6004"/>
    <w:rsid w:val="547A0454"/>
    <w:rsid w:val="55123E8F"/>
    <w:rsid w:val="55263ED0"/>
    <w:rsid w:val="557A4C89"/>
    <w:rsid w:val="5593401E"/>
    <w:rsid w:val="55DE7676"/>
    <w:rsid w:val="566E2E09"/>
    <w:rsid w:val="568850AA"/>
    <w:rsid w:val="56B76A9F"/>
    <w:rsid w:val="5781755C"/>
    <w:rsid w:val="59313B08"/>
    <w:rsid w:val="5ADD3B7D"/>
    <w:rsid w:val="5B5D7A66"/>
    <w:rsid w:val="5F9D0580"/>
    <w:rsid w:val="60D27C60"/>
    <w:rsid w:val="60F87024"/>
    <w:rsid w:val="62742987"/>
    <w:rsid w:val="62EB4F4D"/>
    <w:rsid w:val="655067F7"/>
    <w:rsid w:val="658E2044"/>
    <w:rsid w:val="663D7E90"/>
    <w:rsid w:val="667D63A0"/>
    <w:rsid w:val="68460E6D"/>
    <w:rsid w:val="68527E34"/>
    <w:rsid w:val="6A762ABF"/>
    <w:rsid w:val="6A90057A"/>
    <w:rsid w:val="6B166CD1"/>
    <w:rsid w:val="6BA77061"/>
    <w:rsid w:val="6C9F4F64"/>
    <w:rsid w:val="6D5E2269"/>
    <w:rsid w:val="6E821BA6"/>
    <w:rsid w:val="6F156549"/>
    <w:rsid w:val="6F5206AB"/>
    <w:rsid w:val="702275C0"/>
    <w:rsid w:val="703E6382"/>
    <w:rsid w:val="72431602"/>
    <w:rsid w:val="72F54EE3"/>
    <w:rsid w:val="74D57312"/>
    <w:rsid w:val="7628169E"/>
    <w:rsid w:val="76397F86"/>
    <w:rsid w:val="769B41A2"/>
    <w:rsid w:val="770E3F48"/>
    <w:rsid w:val="782D126E"/>
    <w:rsid w:val="784952E3"/>
    <w:rsid w:val="785D34FA"/>
    <w:rsid w:val="78CA5E54"/>
    <w:rsid w:val="79B84D47"/>
    <w:rsid w:val="7A105ADF"/>
    <w:rsid w:val="7A623F03"/>
    <w:rsid w:val="7C0B180E"/>
    <w:rsid w:val="7C364AC2"/>
    <w:rsid w:val="7EA21364"/>
    <w:rsid w:val="7F2C4782"/>
    <w:rsid w:val="7FA31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4">
    <w:name w:val="heading 1"/>
    <w:basedOn w:val="1"/>
    <w:next w:val="1"/>
    <w:qFormat/>
    <w:uiPriority w:val="9"/>
    <w:pPr>
      <w:keepNext/>
      <w:keepLines/>
      <w:spacing w:before="340" w:after="330" w:line="576" w:lineRule="auto"/>
      <w:outlineLvl w:val="0"/>
    </w:pPr>
    <w:rPr>
      <w:b/>
      <w:bCs/>
      <w:kern w:val="44"/>
      <w:sz w:val="44"/>
      <w:szCs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7"/>
    <w:next w:val="7"/>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line="240" w:lineRule="auto"/>
      <w:jc w:val="both"/>
      <w:outlineLvl w:val="9"/>
    </w:pPr>
    <w:rPr>
      <w:rFonts w:ascii="Arial" w:hAnsi="Arial" w:eastAsia="仿宋" w:cs="Arial"/>
      <w:b w:val="0"/>
      <w:color w:val="000000" w:themeColor="text1"/>
      <w:kern w:val="0"/>
      <w:sz w:val="32"/>
      <w:szCs w:val="32"/>
      <w14:textFill>
        <w14:solidFill>
          <w14:schemeClr w14:val="tx1"/>
        </w14:solidFill>
      </w14:textFill>
    </w:rPr>
  </w:style>
  <w:style w:type="paragraph" w:styleId="3">
    <w:name w:val="Title"/>
    <w:basedOn w:val="1"/>
    <w:next w:val="1"/>
    <w:qFormat/>
    <w:uiPriority w:val="0"/>
    <w:pPr>
      <w:widowControl/>
      <w:spacing w:line="240" w:lineRule="auto"/>
      <w:ind w:firstLine="880" w:firstLineChars="200"/>
      <w:jc w:val="center"/>
      <w:outlineLvl w:val="0"/>
    </w:pPr>
    <w:rPr>
      <w:rFonts w:ascii="Arial" w:hAnsi="Arial" w:eastAsia="仿宋" w:cs="Arial"/>
      <w:b/>
      <w:bCs/>
      <w:color w:val="FF0000"/>
      <w:kern w:val="0"/>
      <w:sz w:val="32"/>
      <w:szCs w:val="32"/>
    </w:rPr>
  </w:style>
  <w:style w:type="paragraph" w:customStyle="1" w:styleId="7">
    <w:name w:val="Default"/>
    <w:qFormat/>
    <w:uiPriority w:val="0"/>
    <w:pPr>
      <w:widowControl w:val="0"/>
      <w:autoSpaceDE w:val="0"/>
      <w:autoSpaceDN w:val="0"/>
      <w:adjustRightInd w:val="0"/>
    </w:pPr>
    <w:rPr>
      <w:rFonts w:ascii="Verdana-Bold" w:hAnsi="Verdana-Bold" w:eastAsia="宋体" w:cs="Times New Roman"/>
      <w:lang w:val="en-US" w:eastAsia="zh-CN" w:bidi="ar-SA"/>
    </w:rPr>
  </w:style>
  <w:style w:type="paragraph" w:styleId="8">
    <w:name w:val="Normal Indent"/>
    <w:basedOn w:val="1"/>
    <w:qFormat/>
    <w:uiPriority w:val="0"/>
    <w:pPr>
      <w:ind w:firstLine="420" w:firstLineChars="200"/>
    </w:pPr>
    <w:rPr>
      <w:sz w:val="21"/>
      <w:szCs w:val="24"/>
    </w:rPr>
  </w:style>
  <w:style w:type="paragraph" w:styleId="9">
    <w:name w:val="Body Text Indent"/>
    <w:basedOn w:val="1"/>
    <w:unhideWhenUsed/>
    <w:qFormat/>
    <w:uiPriority w:val="0"/>
    <w:pPr>
      <w:spacing w:after="120"/>
      <w:ind w:left="420" w:leftChars="200"/>
    </w:pPr>
  </w:style>
  <w:style w:type="paragraph" w:styleId="10">
    <w:name w:val="footer"/>
    <w:basedOn w:val="1"/>
    <w:unhideWhenUsed/>
    <w:qFormat/>
    <w:uiPriority w:val="0"/>
    <w:pPr>
      <w:tabs>
        <w:tab w:val="center" w:pos="4153"/>
        <w:tab w:val="right" w:pos="8306"/>
      </w:tabs>
      <w:snapToGrid w:val="0"/>
      <w:jc w:val="left"/>
    </w:pPr>
    <w:rPr>
      <w:sz w:val="18"/>
      <w:szCs w:val="18"/>
    </w:rPr>
  </w:style>
  <w:style w:type="paragraph" w:styleId="11">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2"/>
    <w:basedOn w:val="9"/>
    <w:next w:val="2"/>
    <w:qFormat/>
    <w:uiPriority w:val="0"/>
    <w:pPr>
      <w:spacing w:line="240" w:lineRule="auto"/>
      <w:ind w:firstLine="420" w:firstLineChars="200"/>
    </w:pPr>
    <w:rPr>
      <w:rFonts w:ascii="Times New Roman" w:hAnsi="Times New Roman"/>
      <w:sz w:val="21"/>
      <w:szCs w:val="24"/>
    </w:rPr>
  </w:style>
  <w:style w:type="paragraph" w:customStyle="1" w:styleId="15">
    <w:name w:val="列表段落1"/>
    <w:basedOn w:val="1"/>
    <w:qFormat/>
    <w:uiPriority w:val="34"/>
    <w:pPr>
      <w:ind w:firstLine="420" w:firstLineChars="200"/>
    </w:pPr>
  </w:style>
  <w:style w:type="paragraph" w:customStyle="1" w:styleId="16">
    <w:name w:val="文本正文"/>
    <w:basedOn w:val="1"/>
    <w:qFormat/>
    <w:uiPriority w:val="0"/>
    <w:pPr>
      <w:ind w:firstLine="560" w:firstLineChars="200"/>
    </w:pPr>
    <w:rPr>
      <w:rFonts w:ascii="Times New Roman" w:hAnsi="Times New Roman"/>
      <w:color w:val="auto"/>
      <w:kern w:val="0"/>
      <w:sz w:val="20"/>
      <w:szCs w:val="20"/>
    </w:rPr>
  </w:style>
  <w:style w:type="paragraph" w:customStyle="1" w:styleId="17">
    <w:name w:val="文章三级标题"/>
    <w:basedOn w:val="1"/>
    <w:next w:val="18"/>
    <w:qFormat/>
    <w:uiPriority w:val="0"/>
    <w:pPr>
      <w:jc w:val="left"/>
      <w:outlineLvl w:val="2"/>
    </w:pPr>
    <w:rPr>
      <w:rFonts w:ascii="宋体" w:hAnsi="宋体"/>
      <w:b/>
      <w:szCs w:val="24"/>
    </w:rPr>
  </w:style>
  <w:style w:type="paragraph" w:customStyle="1" w:styleId="18">
    <w:name w:val="文章正文"/>
    <w:basedOn w:val="1"/>
    <w:qFormat/>
    <w:uiPriority w:val="0"/>
    <w:pPr>
      <w:jc w:val="left"/>
    </w:pPr>
    <w:rPr>
      <w:rFonts w:ascii="宋体" w:hAnsi="宋体"/>
      <w:szCs w:val="24"/>
    </w:rPr>
  </w:style>
  <w:style w:type="paragraph" w:customStyle="1" w:styleId="19">
    <w:name w:val="向炜正文"/>
    <w:basedOn w:val="8"/>
    <w:qFormat/>
    <w:uiPriority w:val="0"/>
    <w:pPr>
      <w:spacing w:line="360" w:lineRule="auto"/>
    </w:pPr>
    <w:rPr>
      <w:bCs/>
      <w:sz w:val="24"/>
    </w:rPr>
  </w:style>
  <w:style w:type="paragraph" w:customStyle="1" w:styleId="20">
    <w:name w:val="向炜样式3"/>
    <w:basedOn w:val="6"/>
    <w:qFormat/>
    <w:uiPriority w:val="0"/>
    <w:pPr>
      <w:spacing w:line="360" w:lineRule="auto"/>
    </w:pPr>
    <w:rPr>
      <w:sz w:val="24"/>
    </w:rPr>
  </w:style>
  <w:style w:type="paragraph" w:customStyle="1" w:styleId="21">
    <w:name w:val="正文1"/>
    <w:basedOn w:val="1"/>
    <w:qFormat/>
    <w:uiPriority w:val="0"/>
    <w:pPr>
      <w:ind w:firstLine="420" w:firstLineChars="200"/>
    </w:pPr>
    <w:rPr>
      <w:rFonts w:ascii="宋体" w:hAnsi="宋体" w:eastAsiaTheme="minorEastAsia" w:cstheme="minorBidi"/>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2021-12-10T01:25:00Z</dcterms:created>
  <dc:creator>admin</dc:creator>
  <cp:lastModifiedBy>28A3EDADBFBA47E98FFA8462D0238650</cp:lastModifiedBy>
  <dcterms:modified xsi:type="dcterms:W3CDTF">2024-08-28T08:15:50Z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C6F76A59F6C449C38F99746A4F26AA87</vt:lpwstr>
  </property>
</Properties>
</file>