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eastAsia" w:ascii="宋体" w:hAnsi="宋体" w:eastAsia="宋体" w:cs="宋体"/>
          <w:b/>
          <w:sz w:val="44"/>
          <w:szCs w:val="44"/>
        </w:rPr>
      </w:pPr>
      <w:r>
        <w:rPr>
          <w:rFonts w:hint="eastAsia" w:ascii="宋体" w:hAnsi="宋体" w:eastAsia="宋体" w:cs="宋体"/>
          <w:b/>
          <w:sz w:val="44"/>
          <w:szCs w:val="44"/>
        </w:rPr>
        <w:t>南网产业投资集团2024年第一批管理创新项目</w:t>
      </w:r>
    </w:p>
    <w:p>
      <w:pPr>
        <w:jc w:val="center"/>
        <w:outlineLvl w:val="0"/>
        <w:rPr>
          <w:rFonts w:ascii="宋体" w:hAnsi="宋体" w:eastAsia="宋体" w:cs="宋体"/>
          <w:b/>
          <w:sz w:val="44"/>
          <w:szCs w:val="44"/>
        </w:rPr>
      </w:pPr>
      <w:bookmarkStart w:id="0" w:name="_GoBack"/>
      <w:bookmarkEnd w:id="0"/>
      <w:r>
        <w:rPr>
          <w:rFonts w:hint="eastAsia" w:ascii="宋体" w:hAnsi="宋体" w:eastAsia="宋体" w:cs="宋体"/>
          <w:b/>
          <w:sz w:val="44"/>
          <w:szCs w:val="44"/>
        </w:rPr>
        <w:t>可行性研究报告及经费评审项目（服务）要求</w:t>
      </w:r>
    </w:p>
    <w:p>
      <w:pPr>
        <w:pStyle w:val="2"/>
      </w:pPr>
    </w:p>
    <w:p>
      <w:pPr>
        <w:pStyle w:val="5"/>
        <w:numPr>
          <w:ilvl w:val="0"/>
          <w:numId w:val="1"/>
        </w:numPr>
        <w:spacing w:line="560" w:lineRule="exact"/>
        <w:ind w:firstLineChars="0"/>
        <w:outlineLvl w:val="0"/>
        <w:rPr>
          <w:rFonts w:ascii="黑体" w:hAnsi="黑体" w:eastAsia="黑体" w:cs="黑体"/>
          <w:bCs/>
          <w:sz w:val="32"/>
          <w:szCs w:val="32"/>
        </w:rPr>
      </w:pPr>
      <w:r>
        <w:rPr>
          <w:rFonts w:hint="eastAsia" w:ascii="黑体" w:hAnsi="黑体" w:eastAsia="黑体" w:cs="黑体"/>
          <w:bCs/>
          <w:sz w:val="32"/>
          <w:szCs w:val="32"/>
        </w:rPr>
        <w:t>项目背景</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rFonts w:hint="default" w:asciiTheme="minorEastAsia" w:hAnsiTheme="minorEastAsia" w:eastAsiaTheme="minorEastAsia" w:cstheme="minorEastAsia"/>
          <w:sz w:val="32"/>
          <w:szCs w:val="32"/>
          <w:lang w:val="en-US" w:eastAsia="zh-CN"/>
        </w:rPr>
      </w:pPr>
      <w:r>
        <w:rPr>
          <w:rFonts w:hint="eastAsia" w:asciiTheme="minorEastAsia" w:hAnsiTheme="minorEastAsia" w:cstheme="minorEastAsia"/>
          <w:sz w:val="32"/>
          <w:szCs w:val="32"/>
        </w:rPr>
        <w:t>根据《公司管理创新工作管理办法》以及《公司管理创新经费取费规范管理要求》，开展南网产业投资集团2024年第一批管理创新项目可行性研究报告以及经费评审，以满足相关行业和国家标准要求</w:t>
      </w:r>
      <w:r>
        <w:rPr>
          <w:rFonts w:hint="eastAsia" w:asciiTheme="minorEastAsia" w:hAnsiTheme="minorEastAsia" w:cstheme="minorEastAsia"/>
          <w:sz w:val="32"/>
          <w:szCs w:val="32"/>
          <w:lang w:eastAsia="zh-CN"/>
        </w:rPr>
        <w:t>，</w:t>
      </w:r>
      <w:r>
        <w:rPr>
          <w:rFonts w:hint="eastAsia" w:asciiTheme="minorEastAsia" w:hAnsiTheme="minorEastAsia" w:cstheme="minorEastAsia"/>
          <w:sz w:val="32"/>
          <w:szCs w:val="32"/>
        </w:rPr>
        <w:t>具体评审包括“南网电动公司产品研发过程管控和实验室业务质量管理”、“以科创专区完善电商化推广机制促进科技成果转化为新质生产力的研究”、“科技创新全过程评价体系建设研究项目”等九项管理创新项目。</w:t>
      </w:r>
    </w:p>
    <w:p>
      <w:pPr>
        <w:spacing w:line="560" w:lineRule="exact"/>
        <w:ind w:firstLine="640" w:firstLineChars="200"/>
        <w:outlineLvl w:val="0"/>
        <w:rPr>
          <w:rFonts w:ascii="黑体" w:hAnsi="黑体" w:eastAsia="黑体" w:cs="黑体"/>
          <w:bCs/>
          <w:sz w:val="32"/>
          <w:szCs w:val="32"/>
        </w:rPr>
      </w:pPr>
      <w:r>
        <w:rPr>
          <w:rFonts w:hint="eastAsia" w:ascii="黑体" w:hAnsi="黑体" w:eastAsia="黑体" w:cs="黑体"/>
          <w:bCs/>
          <w:sz w:val="32"/>
          <w:szCs w:val="32"/>
        </w:rPr>
        <w:t>二、投标方基本要求</w:t>
      </w:r>
    </w:p>
    <w:p>
      <w:pPr>
        <w:spacing w:line="560" w:lineRule="exact"/>
        <w:ind w:firstLine="640" w:firstLineChars="200"/>
        <w:outlineLvl w:val="0"/>
        <w:rPr>
          <w:rFonts w:hint="eastAsia" w:asciiTheme="minorEastAsia" w:hAnsiTheme="minorEastAsia" w:cstheme="minorEastAsia"/>
          <w:sz w:val="32"/>
          <w:szCs w:val="32"/>
          <w:lang w:val="en-US" w:eastAsia="zh-CN"/>
        </w:rPr>
      </w:pPr>
      <w:r>
        <w:rPr>
          <w:rFonts w:hint="eastAsia" w:asciiTheme="minorEastAsia" w:hAnsiTheme="minorEastAsia" w:cstheme="minorEastAsia"/>
          <w:sz w:val="32"/>
          <w:szCs w:val="32"/>
        </w:rPr>
        <w:t>1.具有独立法人资格，持有合法有效的企业法人营业执照，具备</w:t>
      </w:r>
      <w:r>
        <w:rPr>
          <w:rFonts w:hint="eastAsia" w:asciiTheme="minorEastAsia" w:hAnsiTheme="minorEastAsia" w:cstheme="minorEastAsia"/>
          <w:sz w:val="32"/>
          <w:szCs w:val="32"/>
          <w:lang w:val="en-US" w:eastAsia="zh-CN"/>
        </w:rPr>
        <w:t>工程咨询单位咨询丙级及以上资质的单位。</w:t>
      </w:r>
    </w:p>
    <w:p>
      <w:pPr>
        <w:spacing w:line="560" w:lineRule="exact"/>
        <w:ind w:firstLine="640" w:firstLineChars="200"/>
        <w:outlineLvl w:val="0"/>
        <w:rPr>
          <w:rFonts w:asciiTheme="minorEastAsia" w:hAnsiTheme="minorEastAsia" w:cstheme="minorEastAsia"/>
          <w:sz w:val="32"/>
          <w:szCs w:val="32"/>
        </w:rPr>
      </w:pPr>
      <w:r>
        <w:rPr>
          <w:rFonts w:hint="eastAsia" w:asciiTheme="minorEastAsia" w:hAnsiTheme="minorEastAsia" w:cstheme="minorEastAsia"/>
          <w:sz w:val="32"/>
          <w:szCs w:val="32"/>
        </w:rPr>
        <w:t>2.近3年的经营活动中没有重大违法记录，不存在财产被查封、冻结或接管、被宣告破产以及任何其他可能影响投标资格的情形。</w:t>
      </w:r>
    </w:p>
    <w:p>
      <w:pPr>
        <w:spacing w:line="560" w:lineRule="exact"/>
        <w:ind w:firstLine="640" w:firstLineChars="200"/>
        <w:outlineLvl w:val="0"/>
        <w:rPr>
          <w:rFonts w:ascii="黑体" w:hAnsi="黑体" w:eastAsia="黑体" w:cs="黑体"/>
          <w:bCs/>
          <w:sz w:val="32"/>
          <w:szCs w:val="32"/>
        </w:rPr>
      </w:pPr>
      <w:r>
        <w:rPr>
          <w:rFonts w:hint="eastAsia" w:ascii="黑体" w:hAnsi="黑体" w:eastAsia="黑体" w:cs="黑体"/>
          <w:bCs/>
          <w:sz w:val="32"/>
          <w:szCs w:val="32"/>
        </w:rPr>
        <w:t>三、投标方负责人员要求</w:t>
      </w:r>
    </w:p>
    <w:p>
      <w:pPr>
        <w:spacing w:line="560" w:lineRule="exact"/>
        <w:ind w:firstLine="640" w:firstLineChars="200"/>
        <w:outlineLvl w:val="0"/>
        <w:rPr>
          <w:rFonts w:asciiTheme="minorEastAsia" w:hAnsiTheme="minorEastAsia" w:cstheme="minorEastAsia"/>
          <w:sz w:val="32"/>
          <w:szCs w:val="32"/>
        </w:rPr>
      </w:pPr>
      <w:r>
        <w:rPr>
          <w:rFonts w:hint="eastAsia" w:asciiTheme="minorEastAsia" w:hAnsiTheme="minorEastAsia" w:cstheme="minorEastAsia"/>
          <w:sz w:val="32"/>
          <w:szCs w:val="32"/>
        </w:rPr>
        <w:t>提供可行性研究报告以及经费评审服务同类项目业绩合同不少于（含）3份。</w:t>
      </w:r>
    </w:p>
    <w:p>
      <w:pPr>
        <w:spacing w:line="560" w:lineRule="exact"/>
        <w:ind w:firstLine="640" w:firstLineChars="200"/>
        <w:outlineLvl w:val="0"/>
        <w:rPr>
          <w:rFonts w:ascii="黑体" w:hAnsi="黑体" w:eastAsia="黑体" w:cs="黑体"/>
          <w:bCs/>
          <w:sz w:val="32"/>
          <w:szCs w:val="32"/>
        </w:rPr>
      </w:pPr>
      <w:r>
        <w:rPr>
          <w:rFonts w:hint="eastAsia" w:ascii="黑体" w:hAnsi="黑体" w:eastAsia="黑体" w:cs="黑体"/>
          <w:bCs/>
          <w:sz w:val="32"/>
          <w:szCs w:val="32"/>
        </w:rPr>
        <w:t>四、投标方服务能力要求</w:t>
      </w:r>
    </w:p>
    <w:p>
      <w:pPr>
        <w:pStyle w:val="2"/>
        <w:spacing w:before="0" w:beforeAutospacing="0" w:after="0" w:afterAutospacing="0" w:line="560" w:lineRule="exact"/>
        <w:ind w:left="0" w:leftChars="0" w:firstLine="640" w:firstLineChars="200"/>
        <w:rPr>
          <w:rFonts w:asciiTheme="minorEastAsia" w:hAnsiTheme="minorEastAsia" w:cstheme="minorEastAsia"/>
          <w:sz w:val="32"/>
          <w:szCs w:val="32"/>
        </w:rPr>
      </w:pPr>
      <w:r>
        <w:rPr>
          <w:rFonts w:hint="eastAsia" w:asciiTheme="minorEastAsia" w:hAnsiTheme="minorEastAsia" w:cstheme="minorEastAsia"/>
          <w:sz w:val="32"/>
          <w:szCs w:val="32"/>
        </w:rPr>
        <w:t>应具备分析和解决问题的能力，并具备较完整的内部管理体系，主要包括但不限于：</w:t>
      </w:r>
    </w:p>
    <w:p>
      <w:pPr>
        <w:pStyle w:val="2"/>
        <w:spacing w:before="0" w:beforeAutospacing="0" w:after="0" w:afterAutospacing="0" w:line="560" w:lineRule="exact"/>
        <w:ind w:left="0" w:leftChars="0" w:firstLine="640" w:firstLineChars="200"/>
        <w:rPr>
          <w:rFonts w:asciiTheme="minorEastAsia" w:hAnsiTheme="minorEastAsia" w:cstheme="minorEastAsia"/>
          <w:sz w:val="32"/>
          <w:szCs w:val="32"/>
        </w:rPr>
      </w:pPr>
      <w:r>
        <w:rPr>
          <w:rFonts w:hint="eastAsia" w:asciiTheme="minorEastAsia" w:hAnsiTheme="minorEastAsia" w:cstheme="minorEastAsia"/>
          <w:sz w:val="32"/>
          <w:szCs w:val="32"/>
        </w:rPr>
        <w:t>（1）确定项目经理，负责可行性研究报告以及经费评审相关工作事宜的沟通、联系与推动，组织专业人员形成</w:t>
      </w:r>
      <w:r>
        <w:rPr>
          <w:rFonts w:hint="eastAsia" w:asciiTheme="minorEastAsia" w:hAnsiTheme="minorEastAsia" w:cstheme="minorEastAsia"/>
          <w:sz w:val="32"/>
          <w:szCs w:val="32"/>
          <w:lang w:val="en-US" w:eastAsia="zh-CN"/>
        </w:rPr>
        <w:t>评审</w:t>
      </w:r>
      <w:r>
        <w:rPr>
          <w:rFonts w:hint="eastAsia" w:asciiTheme="minorEastAsia" w:hAnsiTheme="minorEastAsia" w:cstheme="minorEastAsia"/>
          <w:sz w:val="32"/>
          <w:szCs w:val="32"/>
        </w:rPr>
        <w:t>小组，制定详细的</w:t>
      </w:r>
      <w:r>
        <w:rPr>
          <w:rFonts w:hint="eastAsia" w:asciiTheme="minorEastAsia" w:hAnsiTheme="minorEastAsia" w:cstheme="minorEastAsia"/>
          <w:sz w:val="32"/>
          <w:szCs w:val="32"/>
          <w:lang w:val="en-US" w:eastAsia="zh-CN"/>
        </w:rPr>
        <w:t>评审</w:t>
      </w:r>
      <w:r>
        <w:rPr>
          <w:rFonts w:hint="eastAsia" w:asciiTheme="minorEastAsia" w:hAnsiTheme="minorEastAsia" w:cstheme="minorEastAsia"/>
          <w:sz w:val="32"/>
          <w:szCs w:val="32"/>
        </w:rPr>
        <w:t>工作执行计划并安排实施；</w:t>
      </w:r>
    </w:p>
    <w:p>
      <w:pPr>
        <w:pStyle w:val="2"/>
        <w:spacing w:before="0" w:beforeAutospacing="0" w:after="0" w:afterAutospacing="0" w:line="560" w:lineRule="exact"/>
        <w:ind w:left="0" w:leftChars="0" w:firstLine="640" w:firstLineChars="200"/>
        <w:rPr>
          <w:rFonts w:asciiTheme="minorEastAsia" w:hAnsiTheme="minorEastAsia" w:cstheme="minorEastAsia"/>
          <w:sz w:val="32"/>
          <w:szCs w:val="32"/>
        </w:rPr>
      </w:pPr>
      <w:r>
        <w:rPr>
          <w:rFonts w:hint="eastAsia" w:asciiTheme="minorEastAsia" w:hAnsiTheme="minorEastAsia" w:cstheme="minorEastAsia"/>
          <w:sz w:val="32"/>
          <w:szCs w:val="32"/>
        </w:rPr>
        <w:t>（2）成立专属团队，并确保该小组成员具有提供相关服务的能力，并保证团队负责人及成员稳定；</w:t>
      </w:r>
    </w:p>
    <w:p>
      <w:pPr>
        <w:pStyle w:val="2"/>
        <w:spacing w:before="0" w:beforeAutospacing="0" w:after="0" w:afterAutospacing="0" w:line="560" w:lineRule="exact"/>
        <w:ind w:left="0" w:leftChars="0" w:firstLine="640" w:firstLineChars="200"/>
        <w:rPr>
          <w:rFonts w:asciiTheme="minorEastAsia" w:hAnsiTheme="minorEastAsia" w:cstheme="minorEastAsia"/>
          <w:sz w:val="32"/>
          <w:szCs w:val="32"/>
        </w:rPr>
      </w:pPr>
      <w:r>
        <w:rPr>
          <w:rFonts w:hint="eastAsia" w:asciiTheme="minorEastAsia" w:hAnsiTheme="minorEastAsia" w:cstheme="minorEastAsia"/>
          <w:sz w:val="32"/>
          <w:szCs w:val="32"/>
        </w:rPr>
        <w:t>（3）应当独立完成相关工作，不得向任何第三方分包或转包；</w:t>
      </w:r>
    </w:p>
    <w:p>
      <w:pPr>
        <w:pStyle w:val="2"/>
        <w:spacing w:before="0" w:beforeAutospacing="0" w:after="0" w:afterAutospacing="0" w:line="560" w:lineRule="exact"/>
        <w:ind w:left="0" w:leftChars="0" w:firstLine="640" w:firstLineChars="200"/>
        <w:rPr>
          <w:rFonts w:hint="eastAsia" w:asciiTheme="minorEastAsia" w:hAnsiTheme="minorEastAsia" w:eastAsiaTheme="minorEastAsia" w:cstheme="minorEastAsia"/>
          <w:sz w:val="32"/>
          <w:szCs w:val="32"/>
          <w:lang w:eastAsia="zh-CN"/>
        </w:rPr>
      </w:pPr>
      <w:r>
        <w:rPr>
          <w:rFonts w:hint="eastAsia" w:asciiTheme="minorEastAsia" w:hAnsiTheme="minorEastAsia" w:cstheme="minorEastAsia"/>
          <w:sz w:val="32"/>
          <w:szCs w:val="32"/>
        </w:rPr>
        <w:t>（4）建立关于遵循法律法规要求、保密承诺和顾客知识产权保护等方面的规则</w:t>
      </w:r>
      <w:r>
        <w:rPr>
          <w:rFonts w:hint="eastAsia" w:asciiTheme="minorEastAsia" w:hAnsiTheme="minorEastAsia" w:cstheme="minorEastAsia"/>
          <w:sz w:val="32"/>
          <w:szCs w:val="32"/>
          <w:lang w:eastAsia="zh-CN"/>
        </w:rPr>
        <w:t>。</w:t>
      </w:r>
    </w:p>
    <w:p>
      <w:pPr>
        <w:pStyle w:val="2"/>
        <w:spacing w:before="0" w:beforeAutospacing="0" w:after="0" w:afterAutospacing="0" w:line="560" w:lineRule="exact"/>
        <w:ind w:left="0" w:leftChars="0" w:firstLine="640" w:firstLineChars="200"/>
        <w:rPr>
          <w:rFonts w:asciiTheme="minorEastAsia" w:hAnsiTheme="minorEastAsia" w:cstheme="minorEastAsia"/>
          <w:sz w:val="32"/>
          <w:szCs w:val="32"/>
        </w:rPr>
      </w:pPr>
    </w:p>
    <w:p>
      <w:pPr>
        <w:pStyle w:val="2"/>
        <w:ind w:left="0" w:leftChars="0"/>
      </w:pPr>
    </w:p>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AB4729"/>
    <w:multiLevelType w:val="multilevel"/>
    <w:tmpl w:val="6FAB4729"/>
    <w:lvl w:ilvl="0" w:tentative="0">
      <w:start w:val="1"/>
      <w:numFmt w:val="japaneseCounting"/>
      <w:lvlText w:val="%1、"/>
      <w:lvlJc w:val="left"/>
      <w:pPr>
        <w:ind w:left="1288" w:hanging="648"/>
      </w:pPr>
      <w:rPr>
        <w:rFonts w:hint="default"/>
      </w:rPr>
    </w:lvl>
    <w:lvl w:ilvl="1" w:tentative="0">
      <w:start w:val="1"/>
      <w:numFmt w:val="lowerLetter"/>
      <w:lvlText w:val="%2)"/>
      <w:lvlJc w:val="left"/>
      <w:pPr>
        <w:ind w:left="1520" w:hanging="440"/>
      </w:pPr>
    </w:lvl>
    <w:lvl w:ilvl="2" w:tentative="0">
      <w:start w:val="1"/>
      <w:numFmt w:val="lowerRoman"/>
      <w:lvlText w:val="%3."/>
      <w:lvlJc w:val="right"/>
      <w:pPr>
        <w:ind w:left="1960" w:hanging="440"/>
      </w:pPr>
    </w:lvl>
    <w:lvl w:ilvl="3" w:tentative="0">
      <w:start w:val="1"/>
      <w:numFmt w:val="decimal"/>
      <w:lvlText w:val="%4."/>
      <w:lvlJc w:val="left"/>
      <w:pPr>
        <w:ind w:left="2400" w:hanging="440"/>
      </w:pPr>
    </w:lvl>
    <w:lvl w:ilvl="4" w:tentative="0">
      <w:start w:val="1"/>
      <w:numFmt w:val="lowerLetter"/>
      <w:lvlText w:val="%5)"/>
      <w:lvlJc w:val="left"/>
      <w:pPr>
        <w:ind w:left="2840" w:hanging="440"/>
      </w:pPr>
    </w:lvl>
    <w:lvl w:ilvl="5" w:tentative="0">
      <w:start w:val="1"/>
      <w:numFmt w:val="lowerRoman"/>
      <w:lvlText w:val="%6."/>
      <w:lvlJc w:val="right"/>
      <w:pPr>
        <w:ind w:left="3280" w:hanging="440"/>
      </w:pPr>
    </w:lvl>
    <w:lvl w:ilvl="6" w:tentative="0">
      <w:start w:val="1"/>
      <w:numFmt w:val="decimal"/>
      <w:lvlText w:val="%7."/>
      <w:lvlJc w:val="left"/>
      <w:pPr>
        <w:ind w:left="3720" w:hanging="440"/>
      </w:pPr>
    </w:lvl>
    <w:lvl w:ilvl="7" w:tentative="0">
      <w:start w:val="1"/>
      <w:numFmt w:val="lowerLetter"/>
      <w:lvlText w:val="%8)"/>
      <w:lvlJc w:val="left"/>
      <w:pPr>
        <w:ind w:left="4160" w:hanging="440"/>
      </w:pPr>
    </w:lvl>
    <w:lvl w:ilvl="8" w:tentative="0">
      <w:start w:val="1"/>
      <w:numFmt w:val="lowerRoman"/>
      <w:lvlText w:val="%9."/>
      <w:lvlJc w:val="right"/>
      <w:pPr>
        <w:ind w:left="460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332ADA"/>
    <w:rsid w:val="00332082"/>
    <w:rsid w:val="003854F2"/>
    <w:rsid w:val="0046004C"/>
    <w:rsid w:val="004B025A"/>
    <w:rsid w:val="005E2354"/>
    <w:rsid w:val="00662495"/>
    <w:rsid w:val="006E0FC2"/>
    <w:rsid w:val="0094213B"/>
    <w:rsid w:val="00AC5840"/>
    <w:rsid w:val="00EF7080"/>
    <w:rsid w:val="04706FFA"/>
    <w:rsid w:val="07254947"/>
    <w:rsid w:val="0CE458D6"/>
    <w:rsid w:val="14A02B65"/>
    <w:rsid w:val="1E332ADA"/>
    <w:rsid w:val="20150212"/>
    <w:rsid w:val="239F31AD"/>
    <w:rsid w:val="25731D7F"/>
    <w:rsid w:val="265F25D3"/>
    <w:rsid w:val="2B0402E6"/>
    <w:rsid w:val="31487EAB"/>
    <w:rsid w:val="32A523FF"/>
    <w:rsid w:val="369C19A7"/>
    <w:rsid w:val="55315B32"/>
    <w:rsid w:val="5B8F58D4"/>
    <w:rsid w:val="61981990"/>
    <w:rsid w:val="62753E79"/>
    <w:rsid w:val="78BB6E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List Paragraph"/>
    <w:basedOn w:val="1"/>
    <w:unhideWhenUsed/>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571</Words>
  <Characters>31</Characters>
  <Lines>1</Lines>
  <Paragraphs>1</Paragraphs>
  <TotalTime>1</TotalTime>
  <ScaleCrop>false</ScaleCrop>
  <LinksUpToDate>false</LinksUpToDate>
  <CharactersWithSpaces>601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2024-04-15T06:24:00Z</dcterms:created>
  <dc:creator>Administrator</dc:creator>
  <cp:lastModifiedBy>陈英达</cp:lastModifiedBy>
  <dcterms:modified xsi:type="dcterms:W3CDTF">2024-09-02T00:51:36Z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CCE6D34917324EEBBB7E2FA45E9245FA</vt:lpwstr>
  </property>
</Properties>
</file>