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jc w:val="center"/>
        <w:rPr>
          <w:rFonts w:ascii="隶书" w:eastAsia="隶书"/>
          <w:sz w:val="56"/>
          <w:szCs w:val="56"/>
        </w:rPr>
      </w:pPr>
    </w:p>
    <w:p>
      <w:pPr>
        <w:pStyle w:val="6"/>
        <w:jc w:val="center"/>
        <w:rPr>
          <w:rFonts w:ascii="隶书" w:eastAsia="隶书"/>
          <w:sz w:val="56"/>
          <w:szCs w:val="56"/>
        </w:rPr>
      </w:pPr>
    </w:p>
    <w:p>
      <w:pPr>
        <w:pStyle w:val="6"/>
        <w:jc w:val="center"/>
        <w:rPr>
          <w:rFonts w:ascii="隶书" w:eastAsia="隶书"/>
          <w:sz w:val="56"/>
          <w:szCs w:val="56"/>
        </w:rPr>
      </w:pPr>
    </w:p>
    <w:p>
      <w:pPr>
        <w:pStyle w:val="16"/>
        <w:rPr>
          <w:rFonts w:hint="eastAsia" w:ascii="隶书" w:eastAsia="黑体"/>
          <w:sz w:val="48"/>
          <w:szCs w:val="48"/>
          <w:highlight w:val="none"/>
          <w:lang w:eastAsia="zh-CN"/>
        </w:rPr>
      </w:pPr>
      <w:r>
        <w:rPr>
          <w:rFonts w:hint="eastAsia" w:ascii="黑体" w:hAnsi="黑体" w:eastAsia="黑体" w:cs="黑体"/>
          <w:szCs w:val="52"/>
          <w:highlight w:val="none"/>
          <w:lang w:val="en-US" w:eastAsia="zh-CN"/>
        </w:rPr>
        <w:t>一种多相同步极性自动测试仪职创项目测试加工费零星采购</w:t>
      </w:r>
    </w:p>
    <w:p>
      <w:pPr>
        <w:pStyle w:val="6"/>
        <w:jc w:val="center"/>
        <w:rPr>
          <w:rFonts w:ascii="隶书" w:eastAsia="隶书"/>
          <w:sz w:val="48"/>
          <w:szCs w:val="48"/>
        </w:rPr>
      </w:pPr>
    </w:p>
    <w:p>
      <w:pPr>
        <w:pStyle w:val="6"/>
        <w:jc w:val="center"/>
        <w:rPr>
          <w:rFonts w:ascii="隶书" w:eastAsia="隶书"/>
          <w:sz w:val="48"/>
          <w:szCs w:val="48"/>
        </w:rPr>
      </w:pPr>
    </w:p>
    <w:p>
      <w:pPr>
        <w:pStyle w:val="6"/>
        <w:jc w:val="both"/>
        <w:rPr>
          <w:rFonts w:ascii="隶书" w:eastAsia="隶书"/>
          <w:sz w:val="48"/>
          <w:szCs w:val="48"/>
        </w:rPr>
      </w:pPr>
    </w:p>
    <w:p>
      <w:pPr>
        <w:pStyle w:val="6"/>
        <w:jc w:val="center"/>
        <w:rPr>
          <w:rFonts w:ascii="黑体" w:hAnsi="黑体" w:eastAsia="黑体" w:cs="黑体"/>
          <w:sz w:val="52"/>
          <w:szCs w:val="52"/>
        </w:rPr>
      </w:pPr>
      <w:r>
        <w:rPr>
          <w:rFonts w:hint="eastAsia" w:ascii="黑体" w:hAnsi="黑体" w:eastAsia="黑体" w:cs="黑体"/>
          <w:sz w:val="52"/>
          <w:szCs w:val="52"/>
        </w:rPr>
        <w:t>技术规范书</w:t>
      </w:r>
    </w:p>
    <w:p>
      <w:pPr>
        <w:spacing w:before="156" w:beforeLines="50"/>
        <w:rPr>
          <w:rFonts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hint="default" w:ascii="楷体_GB2312" w:hAnsi="宋体" w:eastAsia="楷体_GB2312"/>
          <w:sz w:val="32"/>
          <w:szCs w:val="32"/>
          <w:highlight w:val="none"/>
          <w:lang w:val="en-US" w:eastAsia="zh-CN"/>
        </w:rPr>
      </w:pPr>
      <w:bookmarkStart w:id="0" w:name="_Toc29868"/>
      <w:bookmarkStart w:id="1" w:name="_Toc26266"/>
      <w:bookmarkStart w:id="2" w:name="_Toc6059"/>
      <w:r>
        <w:rPr>
          <w:rFonts w:hint="eastAsia" w:ascii="楷体_GB2312" w:hAnsi="宋体" w:eastAsia="楷体_GB2312"/>
          <w:sz w:val="32"/>
          <w:szCs w:val="32"/>
          <w:highlight w:val="none"/>
          <w:lang w:val="en-US" w:eastAsia="zh-CN"/>
        </w:rPr>
        <w:t>2024年 08月 29日</w:t>
      </w:r>
    </w:p>
    <w:p>
      <w:pPr>
        <w:spacing w:line="480" w:lineRule="auto"/>
        <w:jc w:val="center"/>
        <w:outlineLvl w:val="0"/>
        <w:rPr>
          <w:rFonts w:asciiTheme="minorEastAsia" w:hAnsiTheme="minorEastAsia" w:eastAsiaTheme="minorEastAsia" w:cstheme="minorEastAsia"/>
          <w:bCs/>
          <w:sz w:val="44"/>
          <w:szCs w:val="36"/>
        </w:rPr>
      </w:pPr>
    </w:p>
    <w:p>
      <w:pPr>
        <w:rPr>
          <w:rFonts w:hint="eastAsia" w:asciiTheme="minorEastAsia" w:hAnsiTheme="minorEastAsia" w:eastAsiaTheme="minorEastAsia" w:cstheme="minorEastAsia"/>
          <w:bCs/>
          <w:sz w:val="44"/>
          <w:szCs w:val="36"/>
        </w:rPr>
      </w:pPr>
      <w:r>
        <w:rPr>
          <w:rFonts w:hint="eastAsia" w:asciiTheme="minorEastAsia" w:hAnsiTheme="minorEastAsia" w:eastAsiaTheme="minorEastAsia" w:cstheme="minorEastAsia"/>
          <w:bCs/>
          <w:sz w:val="44"/>
          <w:szCs w:val="36"/>
        </w:rPr>
        <w:br w:type="page"/>
      </w:r>
    </w:p>
    <w:bookmarkEnd w:id="0"/>
    <w:bookmarkEnd w:id="1"/>
    <w:bookmarkEnd w:id="2"/>
    <w:p>
      <w:pPr>
        <w:pStyle w:val="20"/>
        <w:spacing w:before="312"/>
        <w:rPr>
          <w:szCs w:val="22"/>
        </w:rPr>
      </w:pPr>
    </w:p>
    <w:p>
      <w:pPr>
        <w:pStyle w:val="20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3" w:name="_Toc16459"/>
      <w:r>
        <w:rPr>
          <w:rFonts w:hint="eastAsia" w:ascii="黑体" w:hAnsi="黑体" w:eastAsia="黑体" w:cs="黑体"/>
          <w:sz w:val="28"/>
          <w:szCs w:val="28"/>
        </w:rPr>
        <w:t>1  标的概况</w:t>
      </w:r>
      <w:bookmarkEnd w:id="3"/>
      <w:bookmarkStart w:id="4" w:name="_Toc7301"/>
      <w:bookmarkStart w:id="5" w:name="_Toc17049"/>
    </w:p>
    <w:p>
      <w:pPr>
        <w:adjustRightInd w:val="0"/>
        <w:snapToGrid w:val="0"/>
        <w:spacing w:line="360" w:lineRule="auto"/>
        <w:outlineLvl w:val="0"/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000000"/>
          <w:sz w:val="24"/>
        </w:rPr>
        <w:t>标的名称：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lang w:val="en-US" w:eastAsia="zh-CN"/>
        </w:rPr>
        <w:t>一种多相同步极性自动测试仪</w:t>
      </w:r>
      <w:bookmarkEnd w:id="4"/>
      <w:bookmarkEnd w:id="5"/>
    </w:p>
    <w:p>
      <w:pPr>
        <w:spacing w:line="360" w:lineRule="auto"/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bookmarkStart w:id="6" w:name="_Toc7671"/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将主机壳体、从机壳体、主机储能模块、主机控制板、从机控制板、从机液晶屏、供电电池等元器件进行加工组装以及测试，完成多相同步极性自动测试仪装置；具体实现以下功能：</w:t>
      </w:r>
      <w:r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通过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利用该测试仪对多绕组电流互感器</w:t>
      </w:r>
      <w:r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进行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多相、多绕组的极性</w:t>
      </w:r>
      <w:r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校验，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根据自动判断出的结果与实际情况进行对比，检验其极性测试功能的准确性；同时，进行打印功能的检测，观察打印输出情况。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数量：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1套</w:t>
      </w:r>
    </w:p>
    <w:p>
      <w:pPr>
        <w:spacing w:line="360" w:lineRule="auto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测试化验地点：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东莞市东宝路219号</w:t>
      </w:r>
    </w:p>
    <w:p>
      <w:pPr>
        <w:spacing w:line="360" w:lineRule="auto"/>
        <w:rPr>
          <w:rFonts w:hint="default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</w:rPr>
        <w:t>工期：</w:t>
      </w:r>
      <w:r>
        <w:rPr>
          <w:rFonts w:hint="eastAsia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  <w:t>2024-10-30</w:t>
      </w:r>
    </w:p>
    <w:p>
      <w:pPr>
        <w:pStyle w:val="20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2  测试/化验项目要求</w:t>
      </w:r>
      <w:bookmarkEnd w:id="6"/>
    </w:p>
    <w:p>
      <w:pPr>
        <w:spacing w:line="360" w:lineRule="auto"/>
        <w:outlineLvl w:val="1"/>
        <w:rPr>
          <w:rFonts w:ascii="黑体" w:hAnsi="黑体" w:eastAsia="黑体" w:cs="黑体"/>
          <w:bCs/>
          <w:color w:val="auto"/>
          <w:sz w:val="24"/>
          <w:highlight w:val="none"/>
        </w:rPr>
      </w:pPr>
      <w:bookmarkStart w:id="7" w:name="_Toc30644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2.1 项目及标准</w:t>
      </w:r>
    </w:p>
    <w:p>
      <w:pPr>
        <w:spacing w:line="360" w:lineRule="auto"/>
        <w:outlineLvl w:val="1"/>
        <w:rPr>
          <w:rFonts w:hint="default" w:ascii="黑体" w:hAnsi="黑体" w:eastAsia="黑体" w:cs="黑体"/>
          <w:bCs/>
          <w:color w:val="auto"/>
          <w:sz w:val="24"/>
          <w:highlight w:val="none"/>
          <w:lang w:val="en-US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多相同步极性自动测试仪装置研制出具第三方测试报告1份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2.2 运输方式</w:t>
      </w:r>
    </w:p>
    <w:p>
      <w:pPr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无要求</w:t>
      </w:r>
    </w:p>
    <w:p>
      <w:pPr>
        <w:spacing w:line="360" w:lineRule="auto"/>
        <w:outlineLvl w:val="1"/>
        <w:rPr>
          <w:rFonts w:ascii="黑体" w:hAnsi="黑体" w:eastAsia="黑体" w:cs="黑体"/>
          <w:bCs/>
          <w:sz w:val="24"/>
        </w:rPr>
      </w:pPr>
    </w:p>
    <w:bookmarkEnd w:id="7"/>
    <w:p>
      <w:pPr>
        <w:pStyle w:val="20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bookmarkStart w:id="8" w:name="_Toc16082"/>
      <w:r>
        <w:rPr>
          <w:rFonts w:hint="eastAsia" w:ascii="黑体" w:hAnsi="黑体" w:eastAsia="黑体" w:cs="黑体"/>
          <w:sz w:val="28"/>
          <w:szCs w:val="28"/>
        </w:rPr>
        <w:t>3  技术服务的要求</w:t>
      </w:r>
      <w:bookmarkEnd w:id="8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9" w:name="_Toc1749"/>
      <w:r>
        <w:rPr>
          <w:rFonts w:hint="eastAsia" w:ascii="黑体" w:hAnsi="黑体" w:eastAsia="黑体" w:cs="黑体"/>
          <w:bCs/>
          <w:sz w:val="24"/>
        </w:rPr>
        <w:t>3.1 资质要求</w:t>
      </w:r>
      <w:bookmarkEnd w:id="9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10" w:name="_Toc16023"/>
      <w:r>
        <w:rPr>
          <w:rFonts w:hint="eastAsia" w:ascii="黑体" w:hAnsi="黑体" w:eastAsia="黑体" w:cs="黑体"/>
          <w:bCs/>
          <w:sz w:val="24"/>
        </w:rPr>
        <w:t>3.2 人员、设备及场地要求</w:t>
      </w:r>
      <w:bookmarkEnd w:id="10"/>
    </w:p>
    <w:p>
      <w:pPr>
        <w:spacing w:line="360" w:lineRule="auto"/>
        <w:outlineLvl w:val="1"/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</w:pPr>
      <w:bookmarkStart w:id="11" w:name="_Toc9853"/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  <w:t>供应商须承诺至少安排一人专职与甲方对接跟进项目工作，并配合项目后期开展试点应用工作;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="黑体" w:hAnsi="黑体" w:eastAsia="黑体" w:cs="黑体"/>
          <w:bCs/>
          <w:sz w:val="24"/>
        </w:rPr>
        <w:t>3.3 转包及分包要求</w:t>
      </w:r>
      <w:bookmarkEnd w:id="11"/>
      <w:bookmarkStart w:id="12" w:name="_Toc27056"/>
      <w:bookmarkStart w:id="13" w:name="_Toc31460"/>
    </w:p>
    <w:p>
      <w:pPr>
        <w:rPr>
          <w:rFonts w:asciiTheme="minorEastAsia" w:hAnsiTheme="minorEastAsia" w:eastAsiaTheme="minorEastAsia" w:cstheme="minorEastAsia"/>
          <w:bCs/>
          <w:color w:val="auto"/>
          <w:sz w:val="24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</w:rPr>
        <w:t>原则上不准将业务进行转包或分包。</w:t>
      </w:r>
      <w:bookmarkEnd w:id="12"/>
      <w:bookmarkEnd w:id="13"/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bookmarkStart w:id="14" w:name="_Toc22454"/>
      <w:r>
        <w:rPr>
          <w:rFonts w:hint="eastAsia" w:ascii="黑体" w:hAnsi="黑体" w:eastAsia="黑体" w:cs="黑体"/>
          <w:bCs/>
          <w:sz w:val="24"/>
        </w:rPr>
        <w:t>3.4 信息保密要求</w:t>
      </w:r>
      <w:bookmarkEnd w:id="14"/>
    </w:p>
    <w:p>
      <w:pPr>
        <w:rPr>
          <w:rFonts w:asciiTheme="minorEastAsia" w:hAnsiTheme="minorEastAsia" w:eastAsiaTheme="minorEastAsia" w:cstheme="minorEastAsia"/>
          <w:bCs/>
          <w:color w:val="auto"/>
          <w:sz w:val="24"/>
          <w:highlight w:val="none"/>
        </w:rPr>
      </w:pPr>
      <w:bookmarkStart w:id="15" w:name="_Toc23607"/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  <w:t>需签订保密协议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000000"/>
          <w:sz w:val="24"/>
        </w:rPr>
      </w:pPr>
      <w:r>
        <w:rPr>
          <w:rFonts w:hint="eastAsia" w:ascii="黑体" w:hAnsi="黑体" w:eastAsia="黑体" w:cs="黑体"/>
          <w:bCs/>
          <w:sz w:val="24"/>
        </w:rPr>
        <w:t>3.5 其他要求</w:t>
      </w:r>
      <w:bookmarkEnd w:id="15"/>
      <w:bookmarkStart w:id="16" w:name="_Toc17063"/>
      <w:bookmarkStart w:id="17" w:name="_Toc30921"/>
    </w:p>
    <w:bookmarkEnd w:id="16"/>
    <w:bookmarkEnd w:id="17"/>
    <w:p>
      <w:pP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</w:pPr>
      <w:bookmarkStart w:id="18" w:name="_Toc21612"/>
      <w:bookmarkStart w:id="19" w:name="_Toc266713650"/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</w:rPr>
        <w:t>供应商需配合完成项目相关技术资料编写，包含但不限于整套加工设计图纸、技术总结报告、项目验收资料等;</w:t>
      </w:r>
    </w:p>
    <w:p>
      <w:pP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2.供应商配合甲方至少完成1项发明专利技术交底书、并申请受理:</w:t>
      </w:r>
    </w:p>
    <w:p>
      <w:pPr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3.供应商配合甲方至少完成1篇技术论文发表(录用通知)。</w:t>
      </w:r>
    </w:p>
    <w:p>
      <w:pPr>
        <w:pStyle w:val="20"/>
        <w:spacing w:before="312"/>
        <w:outlineLvl w:val="0"/>
        <w:rPr>
          <w:rFonts w:asciiTheme="minorEastAsia" w:hAnsiTheme="minorEastAsia" w:eastAsiaTheme="minorEastAsia" w:cstheme="minorEastAsia"/>
          <w:color w:val="000000"/>
        </w:rPr>
      </w:pPr>
      <w:r>
        <w:rPr>
          <w:rFonts w:hint="eastAsia" w:ascii="黑体" w:hAnsi="黑体" w:eastAsia="黑体" w:cs="黑体"/>
          <w:sz w:val="28"/>
          <w:szCs w:val="28"/>
        </w:rPr>
        <w:t>4  时间进度要求</w:t>
      </w:r>
      <w:bookmarkEnd w:id="18"/>
      <w:bookmarkEnd w:id="19"/>
      <w:bookmarkStart w:id="20" w:name="_Toc27224"/>
      <w:bookmarkStart w:id="21" w:name="_Toc11533"/>
    </w:p>
    <w:bookmarkEnd w:id="20"/>
    <w:bookmarkEnd w:id="21"/>
    <w:p>
      <w:pPr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bookmarkStart w:id="22" w:name="_Toc8651"/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工期：2个月</w:t>
      </w:r>
    </w:p>
    <w:p>
      <w:pPr>
        <w:pStyle w:val="20"/>
        <w:spacing w:before="312"/>
        <w:outlineLvl w:val="0"/>
        <w:rPr>
          <w:rFonts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>5  交付与验收</w:t>
      </w:r>
      <w:bookmarkEnd w:id="22"/>
      <w:bookmarkStart w:id="28" w:name="_GoBack"/>
      <w:bookmarkEnd w:id="28"/>
    </w:p>
    <w:p>
      <w:pPr>
        <w:spacing w:line="360" w:lineRule="auto"/>
        <w:outlineLvl w:val="1"/>
        <w:rPr>
          <w:rFonts w:hint="eastAsia" w:ascii="黑体" w:hAnsi="黑体" w:eastAsia="黑体" w:cs="黑体"/>
          <w:bCs/>
          <w:color w:val="auto"/>
          <w:sz w:val="24"/>
          <w:highlight w:val="none"/>
        </w:rPr>
      </w:pPr>
      <w:bookmarkStart w:id="23" w:name="_Toc3677"/>
      <w:bookmarkStart w:id="24" w:name="_Toc859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5.1 交付形式及数量要求</w:t>
      </w:r>
      <w:bookmarkEnd w:id="23"/>
    </w:p>
    <w:p>
      <w:pPr>
        <w:spacing w:line="360" w:lineRule="auto"/>
        <w:rPr>
          <w:rFonts w:hint="default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多相同步极性自动测试仪装置1套</w:t>
      </w:r>
    </w:p>
    <w:p>
      <w:pPr>
        <w:spacing w:line="360" w:lineRule="auto"/>
        <w:outlineLvl w:val="1"/>
        <w:rPr>
          <w:rFonts w:asciiTheme="minorEastAsia" w:hAnsiTheme="minorEastAsia" w:eastAsiaTheme="minorEastAsia" w:cstheme="minorEastAsia"/>
          <w:color w:val="auto"/>
          <w:sz w:val="24"/>
          <w:highlight w:val="none"/>
        </w:rPr>
      </w:pPr>
      <w:bookmarkStart w:id="25" w:name="_Toc21560"/>
      <w:r>
        <w:rPr>
          <w:rFonts w:hint="eastAsia" w:ascii="黑体" w:hAnsi="黑体" w:eastAsia="黑体" w:cs="黑体"/>
          <w:bCs/>
          <w:color w:val="auto"/>
          <w:sz w:val="24"/>
          <w:highlight w:val="none"/>
        </w:rPr>
        <w:t>5.2 验收</w:t>
      </w:r>
      <w:bookmarkEnd w:id="25"/>
      <w:bookmarkStart w:id="26" w:name="_Toc536"/>
      <w:bookmarkStart w:id="27" w:name="_Toc23588"/>
    </w:p>
    <w:bookmarkEnd w:id="26"/>
    <w:bookmarkEnd w:id="27"/>
    <w:p>
      <w:pPr>
        <w:spacing w:line="360" w:lineRule="auto"/>
        <w:rPr>
          <w:rFonts w:hint="default" w:asciiTheme="minorEastAsia" w:hAnsiTheme="minorEastAsia" w:eastAsiaTheme="minorEastAsia" w:cstheme="minorEastAsia"/>
          <w:color w:val="auto"/>
          <w:sz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color w:val="auto"/>
          <w:sz w:val="24"/>
          <w:highlight w:val="none"/>
          <w:lang w:val="en-US" w:eastAsia="zh-CN"/>
        </w:rPr>
        <w:t>按技术规范书要求验收，如验收不通过导致甲方造成损失将由中标方承担</w:t>
      </w:r>
    </w:p>
    <w:bookmarkEnd w:id="24"/>
    <w:p>
      <w:pPr>
        <w:spacing w:line="360" w:lineRule="auto"/>
        <w:rPr>
          <w:rFonts w:asciiTheme="minorEastAsia" w:hAnsiTheme="minorEastAsia" w:eastAsiaTheme="minorEastAsia" w:cstheme="minorEastAsia"/>
          <w:color w:val="000000"/>
          <w:sz w:val="24"/>
          <w:highlight w:val="yellow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5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BcMibgsAgAAV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FwyJuC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5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12C290B"/>
    <w:multiLevelType w:val="singleLevel"/>
    <w:tmpl w:val="D12C290B"/>
    <w:lvl w:ilvl="0" w:tentative="0">
      <w:start w:val="1"/>
      <w:numFmt w:val="decimal"/>
      <w:pStyle w:val="15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112EA9"/>
    <w:rsid w:val="000C764F"/>
    <w:rsid w:val="00DE6232"/>
    <w:rsid w:val="01D35542"/>
    <w:rsid w:val="027C11FC"/>
    <w:rsid w:val="0295401A"/>
    <w:rsid w:val="0303051E"/>
    <w:rsid w:val="047B7BC4"/>
    <w:rsid w:val="04BF0B83"/>
    <w:rsid w:val="04FE4EAD"/>
    <w:rsid w:val="05312146"/>
    <w:rsid w:val="056D4E14"/>
    <w:rsid w:val="06F52B3B"/>
    <w:rsid w:val="09F078C2"/>
    <w:rsid w:val="0A9773AF"/>
    <w:rsid w:val="0B715FA9"/>
    <w:rsid w:val="0BD1033B"/>
    <w:rsid w:val="0BFD7548"/>
    <w:rsid w:val="0C8C1EEF"/>
    <w:rsid w:val="0D0C14ED"/>
    <w:rsid w:val="0D6039E5"/>
    <w:rsid w:val="0DDE0C6E"/>
    <w:rsid w:val="0FBF064C"/>
    <w:rsid w:val="10011F66"/>
    <w:rsid w:val="10972384"/>
    <w:rsid w:val="11402C86"/>
    <w:rsid w:val="13566E57"/>
    <w:rsid w:val="13A42991"/>
    <w:rsid w:val="14421D4B"/>
    <w:rsid w:val="147F0C66"/>
    <w:rsid w:val="1558413F"/>
    <w:rsid w:val="155E4129"/>
    <w:rsid w:val="16CE51A3"/>
    <w:rsid w:val="16F77748"/>
    <w:rsid w:val="1A316175"/>
    <w:rsid w:val="1A830B36"/>
    <w:rsid w:val="1ADD4B0E"/>
    <w:rsid w:val="1B843116"/>
    <w:rsid w:val="1BF021DF"/>
    <w:rsid w:val="1BFA3C82"/>
    <w:rsid w:val="1C672B50"/>
    <w:rsid w:val="1D8D437A"/>
    <w:rsid w:val="1DA01B05"/>
    <w:rsid w:val="1FBD1E67"/>
    <w:rsid w:val="1FD9003C"/>
    <w:rsid w:val="21CA3C88"/>
    <w:rsid w:val="234277A0"/>
    <w:rsid w:val="234B187D"/>
    <w:rsid w:val="23A116F1"/>
    <w:rsid w:val="24C9435F"/>
    <w:rsid w:val="24EA7C79"/>
    <w:rsid w:val="250F564D"/>
    <w:rsid w:val="252B1EB7"/>
    <w:rsid w:val="256870E0"/>
    <w:rsid w:val="25E42BF8"/>
    <w:rsid w:val="265249D6"/>
    <w:rsid w:val="275D5D26"/>
    <w:rsid w:val="275F7D29"/>
    <w:rsid w:val="27F81146"/>
    <w:rsid w:val="27FC3C6A"/>
    <w:rsid w:val="28BE48E2"/>
    <w:rsid w:val="29F81415"/>
    <w:rsid w:val="2A441357"/>
    <w:rsid w:val="2B6721B0"/>
    <w:rsid w:val="2C191EA0"/>
    <w:rsid w:val="2C4618E3"/>
    <w:rsid w:val="2CA3124A"/>
    <w:rsid w:val="2D7977AC"/>
    <w:rsid w:val="2D8F39A1"/>
    <w:rsid w:val="2DAC4578"/>
    <w:rsid w:val="2DB36870"/>
    <w:rsid w:val="2DEA6350"/>
    <w:rsid w:val="2E260032"/>
    <w:rsid w:val="2E2E5B4F"/>
    <w:rsid w:val="2E380045"/>
    <w:rsid w:val="2EFA1D2E"/>
    <w:rsid w:val="2F2E6BFF"/>
    <w:rsid w:val="2FC241F2"/>
    <w:rsid w:val="30045C2F"/>
    <w:rsid w:val="30DF2B6C"/>
    <w:rsid w:val="313E1E7A"/>
    <w:rsid w:val="32653DEB"/>
    <w:rsid w:val="32887BF4"/>
    <w:rsid w:val="330E4E8B"/>
    <w:rsid w:val="33161353"/>
    <w:rsid w:val="33471388"/>
    <w:rsid w:val="334E3954"/>
    <w:rsid w:val="34255CC8"/>
    <w:rsid w:val="347E10AE"/>
    <w:rsid w:val="35791EC8"/>
    <w:rsid w:val="358A1AD4"/>
    <w:rsid w:val="358B06A1"/>
    <w:rsid w:val="35DF4389"/>
    <w:rsid w:val="35E41FA9"/>
    <w:rsid w:val="360B40D3"/>
    <w:rsid w:val="3661221B"/>
    <w:rsid w:val="37A433E0"/>
    <w:rsid w:val="37AE0477"/>
    <w:rsid w:val="38004B22"/>
    <w:rsid w:val="38D05FCB"/>
    <w:rsid w:val="390A3500"/>
    <w:rsid w:val="39140E3A"/>
    <w:rsid w:val="39855B4F"/>
    <w:rsid w:val="398C2739"/>
    <w:rsid w:val="39E974DB"/>
    <w:rsid w:val="3C4C5078"/>
    <w:rsid w:val="3DDE3626"/>
    <w:rsid w:val="3EA348A3"/>
    <w:rsid w:val="401C5798"/>
    <w:rsid w:val="40794199"/>
    <w:rsid w:val="408A19B3"/>
    <w:rsid w:val="40F0643B"/>
    <w:rsid w:val="410217F6"/>
    <w:rsid w:val="419C13AE"/>
    <w:rsid w:val="41A73FEA"/>
    <w:rsid w:val="41B40E40"/>
    <w:rsid w:val="42A30678"/>
    <w:rsid w:val="42A37264"/>
    <w:rsid w:val="42DF02D2"/>
    <w:rsid w:val="44C917FC"/>
    <w:rsid w:val="450D16B8"/>
    <w:rsid w:val="45AD67D6"/>
    <w:rsid w:val="45CF1EF0"/>
    <w:rsid w:val="47097B32"/>
    <w:rsid w:val="47194E6E"/>
    <w:rsid w:val="47382C50"/>
    <w:rsid w:val="47977C86"/>
    <w:rsid w:val="48205CF0"/>
    <w:rsid w:val="48AE5D4E"/>
    <w:rsid w:val="49F22A9F"/>
    <w:rsid w:val="4A4B4604"/>
    <w:rsid w:val="4A566A25"/>
    <w:rsid w:val="4A7A1254"/>
    <w:rsid w:val="4A9A3B4D"/>
    <w:rsid w:val="4B045F3F"/>
    <w:rsid w:val="4B18258B"/>
    <w:rsid w:val="4C3F54C3"/>
    <w:rsid w:val="4CE147A6"/>
    <w:rsid w:val="4CF766DE"/>
    <w:rsid w:val="4DBF3FC8"/>
    <w:rsid w:val="4DDB7BC5"/>
    <w:rsid w:val="4E287A4C"/>
    <w:rsid w:val="4EDE6AF3"/>
    <w:rsid w:val="50692104"/>
    <w:rsid w:val="50C4507C"/>
    <w:rsid w:val="50E83C80"/>
    <w:rsid w:val="50E84976"/>
    <w:rsid w:val="52D27864"/>
    <w:rsid w:val="53CD308F"/>
    <w:rsid w:val="54C17E31"/>
    <w:rsid w:val="54E75E4E"/>
    <w:rsid w:val="54EC5F00"/>
    <w:rsid w:val="55BB08CE"/>
    <w:rsid w:val="55F5265A"/>
    <w:rsid w:val="56112EA9"/>
    <w:rsid w:val="56634F6B"/>
    <w:rsid w:val="56FE5647"/>
    <w:rsid w:val="572004CE"/>
    <w:rsid w:val="576E3E36"/>
    <w:rsid w:val="57D62605"/>
    <w:rsid w:val="59BD7DED"/>
    <w:rsid w:val="59E4535B"/>
    <w:rsid w:val="5AE252E1"/>
    <w:rsid w:val="5BAC42C7"/>
    <w:rsid w:val="5CBC1717"/>
    <w:rsid w:val="5E0B23A4"/>
    <w:rsid w:val="5E7F2B1D"/>
    <w:rsid w:val="5E9479C8"/>
    <w:rsid w:val="5EFF55AD"/>
    <w:rsid w:val="60446F8A"/>
    <w:rsid w:val="60A8111F"/>
    <w:rsid w:val="60B802FB"/>
    <w:rsid w:val="61633BDA"/>
    <w:rsid w:val="61B23647"/>
    <w:rsid w:val="61DA5F5E"/>
    <w:rsid w:val="61E33B45"/>
    <w:rsid w:val="62542CC4"/>
    <w:rsid w:val="630015B9"/>
    <w:rsid w:val="63FE5340"/>
    <w:rsid w:val="640B1F26"/>
    <w:rsid w:val="64132F2C"/>
    <w:rsid w:val="650664D0"/>
    <w:rsid w:val="65355760"/>
    <w:rsid w:val="666908C2"/>
    <w:rsid w:val="673113AB"/>
    <w:rsid w:val="67593ED7"/>
    <w:rsid w:val="68AC152E"/>
    <w:rsid w:val="695323C7"/>
    <w:rsid w:val="69EA7D86"/>
    <w:rsid w:val="6A2D0FBD"/>
    <w:rsid w:val="6B023115"/>
    <w:rsid w:val="6D2B4CBE"/>
    <w:rsid w:val="6D401C96"/>
    <w:rsid w:val="6D4A0BE9"/>
    <w:rsid w:val="6E06100F"/>
    <w:rsid w:val="6E5B1FD7"/>
    <w:rsid w:val="708F1B04"/>
    <w:rsid w:val="70E237AF"/>
    <w:rsid w:val="710C1A65"/>
    <w:rsid w:val="71497715"/>
    <w:rsid w:val="71C94BB9"/>
    <w:rsid w:val="7377313A"/>
    <w:rsid w:val="73FA6E86"/>
    <w:rsid w:val="744F7DDF"/>
    <w:rsid w:val="74572EAA"/>
    <w:rsid w:val="74E106B7"/>
    <w:rsid w:val="75700D85"/>
    <w:rsid w:val="75715F41"/>
    <w:rsid w:val="76497732"/>
    <w:rsid w:val="76890F73"/>
    <w:rsid w:val="770F4753"/>
    <w:rsid w:val="78376D79"/>
    <w:rsid w:val="790428F9"/>
    <w:rsid w:val="7A126AE1"/>
    <w:rsid w:val="7ABE2378"/>
    <w:rsid w:val="7AFB3926"/>
    <w:rsid w:val="7BFC3589"/>
    <w:rsid w:val="7C185614"/>
    <w:rsid w:val="7C257594"/>
    <w:rsid w:val="7CD02D3B"/>
    <w:rsid w:val="7E352FE9"/>
    <w:rsid w:val="7E6214B0"/>
    <w:rsid w:val="7EB61EE5"/>
    <w:rsid w:val="7FCE0606"/>
    <w:rsid w:val="7FF13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tabs>
        <w:tab w:val="left" w:pos="720"/>
      </w:tabs>
      <w:adjustRightInd w:val="0"/>
      <w:spacing w:line="320" w:lineRule="atLeast"/>
      <w:ind w:left="720" w:hanging="720"/>
      <w:outlineLvl w:val="1"/>
    </w:pPr>
    <w:rPr>
      <w:rFonts w:ascii="黑体" w:hAnsi="Arial" w:eastAsia="黑体" w:cs="宋体"/>
      <w:kern w:val="0"/>
      <w:sz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9">
    <w:name w:val="toc 1"/>
    <w:basedOn w:val="1"/>
    <w:next w:val="1"/>
    <w:qFormat/>
    <w:uiPriority w:val="0"/>
  </w:style>
  <w:style w:type="paragraph" w:styleId="10">
    <w:name w:val="toc 2"/>
    <w:basedOn w:val="1"/>
    <w:next w:val="1"/>
    <w:qFormat/>
    <w:uiPriority w:val="0"/>
    <w:pPr>
      <w:tabs>
        <w:tab w:val="right" w:leader="dot" w:pos="8302"/>
      </w:tabs>
      <w:snapToGrid w:val="0"/>
      <w:spacing w:line="360" w:lineRule="auto"/>
      <w:ind w:left="525" w:hanging="4"/>
    </w:pPr>
    <w:rPr>
      <w:sz w:val="24"/>
      <w:szCs w:val="20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4">
    <w:name w:val="Hyperlink"/>
    <w:basedOn w:val="13"/>
    <w:qFormat/>
    <w:uiPriority w:val="0"/>
  </w:style>
  <w:style w:type="paragraph" w:customStyle="1" w:styleId="15">
    <w:name w:val="标题1"/>
    <w:basedOn w:val="3"/>
    <w:next w:val="1"/>
    <w:qFormat/>
    <w:uiPriority w:val="0"/>
    <w:pPr>
      <w:numPr>
        <w:ilvl w:val="0"/>
        <w:numId w:val="1"/>
      </w:numPr>
    </w:pPr>
    <w:rPr>
      <w:rFonts w:hAnsi="黑体"/>
    </w:rPr>
  </w:style>
  <w:style w:type="paragraph" w:customStyle="1" w:styleId="16">
    <w:name w:val="首页项目名称"/>
    <w:link w:val="18"/>
    <w:qFormat/>
    <w:uiPriority w:val="0"/>
    <w:pPr>
      <w:jc w:val="center"/>
    </w:pPr>
    <w:rPr>
      <w:rFonts w:ascii="Times New Roman" w:hAnsi="Times New Roman" w:eastAsia="隶书" w:cs="Times New Roman"/>
      <w:sz w:val="52"/>
      <w:lang w:val="en-US" w:eastAsia="zh-CN" w:bidi="ar-SA"/>
    </w:rPr>
  </w:style>
  <w:style w:type="paragraph" w:customStyle="1" w:styleId="17">
    <w:name w:val="首页日期"/>
    <w:basedOn w:val="1"/>
    <w:link w:val="19"/>
    <w:qFormat/>
    <w:uiPriority w:val="0"/>
    <w:pPr>
      <w:jc w:val="center"/>
    </w:pPr>
    <w:rPr>
      <w:rFonts w:eastAsia="楷体"/>
      <w:sz w:val="32"/>
    </w:rPr>
  </w:style>
  <w:style w:type="character" w:customStyle="1" w:styleId="18">
    <w:name w:val="首页项目名称 Char"/>
    <w:link w:val="16"/>
    <w:qFormat/>
    <w:uiPriority w:val="0"/>
    <w:rPr>
      <w:rFonts w:ascii="Times New Roman" w:hAnsi="Times New Roman" w:eastAsia="隶书"/>
      <w:sz w:val="52"/>
    </w:rPr>
  </w:style>
  <w:style w:type="character" w:customStyle="1" w:styleId="19">
    <w:name w:val="首页日期 Char"/>
    <w:link w:val="17"/>
    <w:qFormat/>
    <w:uiPriority w:val="0"/>
    <w:rPr>
      <w:rFonts w:ascii="Times New Roman" w:hAnsi="Times New Roman" w:eastAsia="楷体"/>
      <w:sz w:val="32"/>
    </w:rPr>
  </w:style>
  <w:style w:type="paragraph" w:customStyle="1" w:styleId="20">
    <w:name w:val="一标题"/>
    <w:link w:val="21"/>
    <w:qFormat/>
    <w:uiPriority w:val="0"/>
    <w:pPr>
      <w:spacing w:before="100" w:beforeLines="100" w:line="360" w:lineRule="auto"/>
    </w:pPr>
    <w:rPr>
      <w:rFonts w:ascii="宋体" w:hAnsi="宋体" w:eastAsia="宋体" w:cs="Times New Roman"/>
      <w:b/>
      <w:sz w:val="24"/>
      <w:lang w:val="en-US" w:eastAsia="zh-CN" w:bidi="ar-SA"/>
    </w:rPr>
  </w:style>
  <w:style w:type="character" w:customStyle="1" w:styleId="21">
    <w:name w:val="一标题 Char"/>
    <w:link w:val="20"/>
    <w:qFormat/>
    <w:uiPriority w:val="0"/>
    <w:rPr>
      <w:rFonts w:ascii="宋体" w:hAnsi="宋体" w:eastAsia="宋体" w:cs="Times New Roman"/>
      <w:b/>
      <w:sz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2036</Words>
  <Characters>1503</Characters>
  <Lines>12</Lines>
  <Paragraphs>7</Paragraphs>
  <TotalTime>2</TotalTime>
  <ScaleCrop>false</ScaleCrop>
  <LinksUpToDate>false</LinksUpToDate>
  <CharactersWithSpaces>3532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2020-01-03T01:39:00Z</dcterms:created>
  <dc:creator>shenpeiyi</dc:creator>
  <cp:lastModifiedBy>任燕</cp:lastModifiedBy>
  <dcterms:modified xsi:type="dcterms:W3CDTF">2024-09-01T14:01:14Z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77DAB0809AD24D8F8E24892B840FCC1C</vt:lpwstr>
  </property>
</Properties>
</file>