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ascii="隶书" w:eastAsia="隶书"/>
          <w:sz w:val="56"/>
          <w:szCs w:val="56"/>
        </w:rPr>
      </w:pPr>
    </w:p>
    <w:p>
      <w:pPr>
        <w:pStyle w:val="8"/>
        <w:jc w:val="center"/>
        <w:rPr>
          <w:rFonts w:ascii="隶书" w:eastAsia="隶书"/>
          <w:sz w:val="56"/>
          <w:szCs w:val="56"/>
        </w:rPr>
      </w:pPr>
    </w:p>
    <w:p>
      <w:pPr>
        <w:pStyle w:val="8"/>
        <w:jc w:val="center"/>
        <w:rPr>
          <w:rFonts w:ascii="隶书" w:eastAsia="隶书"/>
          <w:sz w:val="56"/>
          <w:szCs w:val="56"/>
        </w:rPr>
      </w:pPr>
    </w:p>
    <w:p>
      <w:pPr>
        <w:pStyle w:val="18"/>
        <w:rPr>
          <w:rFonts w:ascii="隶书" w:eastAsia="隶书"/>
          <w:sz w:val="48"/>
          <w:szCs w:val="48"/>
        </w:rPr>
      </w:pPr>
      <w:r>
        <w:rPr>
          <w:rFonts w:hint="eastAsia" w:ascii="黑体" w:hAnsi="黑体" w:eastAsia="黑体" w:cs="黑体"/>
          <w:szCs w:val="52"/>
          <w:highlight w:val="none"/>
          <w:lang w:val="en-US" w:eastAsia="zh-CN"/>
        </w:rPr>
        <w:t>变电站便携式消谐装置职创项目测试加工费零星采购</w:t>
      </w:r>
    </w:p>
    <w:p>
      <w:pPr>
        <w:pStyle w:val="8"/>
        <w:jc w:val="center"/>
        <w:rPr>
          <w:rFonts w:ascii="黑体" w:hAnsi="黑体" w:eastAsia="黑体" w:cs="黑体"/>
          <w:sz w:val="52"/>
          <w:szCs w:val="52"/>
        </w:rPr>
      </w:pPr>
      <w:r>
        <w:rPr>
          <w:rFonts w:hint="eastAsia" w:ascii="黑体" w:hAnsi="黑体" w:eastAsia="黑体" w:cs="黑体"/>
          <w:sz w:val="52"/>
          <w:szCs w:val="52"/>
        </w:rPr>
        <w:t>技术规范书</w:t>
      </w:r>
    </w:p>
    <w:p>
      <w:pPr>
        <w:spacing w:before="156" w:beforeLines="50"/>
        <w:rPr>
          <w:rFonts w:ascii="楷体_GB2312" w:hAnsi="宋体" w:eastAsia="楷体_GB2312"/>
          <w:sz w:val="32"/>
          <w:szCs w:val="32"/>
        </w:rPr>
      </w:pPr>
    </w:p>
    <w:p>
      <w:pPr>
        <w:spacing w:before="156" w:beforeLines="50"/>
        <w:rPr>
          <w:rFonts w:ascii="楷体_GB2312" w:hAnsi="宋体" w:eastAsia="楷体_GB2312"/>
          <w:sz w:val="32"/>
          <w:szCs w:val="32"/>
        </w:rPr>
      </w:pPr>
    </w:p>
    <w:p>
      <w:pPr>
        <w:spacing w:before="156" w:beforeLines="50"/>
        <w:rPr>
          <w:rFonts w:ascii="楷体_GB2312" w:hAnsi="宋体" w:eastAsia="楷体_GB2312"/>
          <w:sz w:val="32"/>
          <w:szCs w:val="32"/>
        </w:rPr>
      </w:pPr>
    </w:p>
    <w:p>
      <w:pPr>
        <w:spacing w:before="156" w:beforeLines="50"/>
        <w:rPr>
          <w:rFonts w:ascii="楷体_GB2312" w:hAnsi="宋体" w:eastAsia="楷体_GB2312"/>
          <w:sz w:val="32"/>
          <w:szCs w:val="32"/>
        </w:rPr>
      </w:pPr>
    </w:p>
    <w:p>
      <w:pPr>
        <w:spacing w:before="156" w:beforeLines="50"/>
        <w:rPr>
          <w:rFonts w:ascii="楷体_GB2312" w:hAnsi="宋体" w:eastAsia="楷体_GB2312"/>
          <w:sz w:val="32"/>
          <w:szCs w:val="32"/>
        </w:rPr>
      </w:pPr>
    </w:p>
    <w:p>
      <w:pPr>
        <w:spacing w:before="156" w:beforeLines="50"/>
        <w:jc w:val="center"/>
        <w:rPr>
          <w:rFonts w:ascii="楷体_GB2312" w:hAnsi="宋体" w:eastAsia="楷体_GB2312"/>
          <w:sz w:val="32"/>
          <w:szCs w:val="32"/>
        </w:rPr>
      </w:pPr>
    </w:p>
    <w:p>
      <w:pPr>
        <w:spacing w:before="156" w:beforeLines="50"/>
        <w:jc w:val="center"/>
        <w:rPr>
          <w:rFonts w:ascii="楷体_GB2312" w:hAnsi="宋体" w:eastAsia="楷体_GB2312"/>
          <w:sz w:val="32"/>
          <w:szCs w:val="32"/>
        </w:rPr>
      </w:pPr>
    </w:p>
    <w:p>
      <w:pPr>
        <w:spacing w:before="156" w:beforeLines="50"/>
        <w:jc w:val="both"/>
        <w:rPr>
          <w:rFonts w:ascii="楷体_GB2312" w:hAnsi="宋体" w:eastAsia="楷体_GB2312"/>
          <w:sz w:val="32"/>
          <w:szCs w:val="32"/>
        </w:rPr>
      </w:pPr>
    </w:p>
    <w:p>
      <w:pPr>
        <w:spacing w:before="156" w:beforeLines="50"/>
        <w:jc w:val="center"/>
        <w:rPr>
          <w:rFonts w:asciiTheme="minorEastAsia" w:hAnsiTheme="minorEastAsia" w:eastAsiaTheme="minorEastAsia" w:cstheme="minorEastAsia"/>
          <w:bCs/>
          <w:sz w:val="44"/>
          <w:szCs w:val="36"/>
        </w:rPr>
      </w:pPr>
      <w:bookmarkStart w:id="0" w:name="_Toc6059"/>
      <w:bookmarkStart w:id="1" w:name="_Toc29868"/>
      <w:bookmarkStart w:id="2" w:name="_Toc26266"/>
      <w:r>
        <w:rPr>
          <w:rFonts w:hint="eastAsia" w:ascii="楷体_GB2312" w:hAnsi="宋体" w:eastAsia="楷体_GB2312"/>
          <w:sz w:val="32"/>
          <w:szCs w:val="32"/>
          <w:highlight w:val="none"/>
          <w:lang w:val="en-US" w:eastAsia="zh-CN"/>
        </w:rPr>
        <w:t>2024年 08月 29日</w:t>
      </w:r>
    </w:p>
    <w:p>
      <w:pPr>
        <w:rPr>
          <w:szCs w:val="22"/>
        </w:rPr>
      </w:pPr>
      <w:r>
        <w:rPr>
          <w:rFonts w:hint="eastAsia" w:asciiTheme="minorEastAsia" w:hAnsiTheme="minorEastAsia" w:eastAsiaTheme="minorEastAsia" w:cstheme="minorEastAsia"/>
          <w:bCs/>
          <w:sz w:val="44"/>
          <w:szCs w:val="36"/>
        </w:rPr>
        <w:br w:type="page"/>
      </w:r>
      <w:bookmarkEnd w:id="0"/>
      <w:bookmarkEnd w:id="1"/>
      <w:bookmarkEnd w:id="2"/>
    </w:p>
    <w:p>
      <w:pPr>
        <w:pStyle w:val="22"/>
        <w:spacing w:before="312"/>
        <w:outlineLvl w:val="0"/>
        <w:rPr>
          <w:rFonts w:ascii="黑体" w:hAnsi="黑体" w:eastAsia="黑体" w:cs="黑体"/>
          <w:sz w:val="28"/>
          <w:szCs w:val="28"/>
        </w:rPr>
      </w:pPr>
      <w:bookmarkStart w:id="3" w:name="_Toc16459"/>
      <w:r>
        <w:rPr>
          <w:rFonts w:hint="eastAsia" w:ascii="黑体" w:hAnsi="黑体" w:eastAsia="黑体" w:cs="黑体"/>
          <w:sz w:val="28"/>
          <w:szCs w:val="28"/>
        </w:rPr>
        <w:t>1  标的概况</w:t>
      </w:r>
      <w:bookmarkEnd w:id="3"/>
      <w:bookmarkStart w:id="4" w:name="_Toc7301"/>
      <w:bookmarkStart w:id="5" w:name="_Toc17049"/>
    </w:p>
    <w:p>
      <w:pPr>
        <w:adjustRightInd w:val="0"/>
        <w:snapToGrid w:val="0"/>
        <w:spacing w:line="360" w:lineRule="auto"/>
        <w:outlineLvl w:val="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标的名称：</w:t>
      </w:r>
      <w:bookmarkEnd w:id="4"/>
      <w:bookmarkEnd w:id="5"/>
      <w:r>
        <w:rPr>
          <w:rFonts w:hint="eastAsia" w:asciiTheme="minorEastAsia" w:hAnsiTheme="minorEastAsia" w:eastAsiaTheme="minorEastAsia" w:cstheme="minorEastAsia"/>
          <w:color w:val="000000"/>
          <w:sz w:val="24"/>
          <w:lang w:val="en-US" w:eastAsia="zh-CN"/>
        </w:rPr>
        <w:t>变电站便携式消谐装置</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将存储模块、锂电池充供电模块、电路板、消谐模块、微控制器、面板打印机、液晶屏、交流电压采样板、信号灯群、机壳等元器件和试验线、ABS箱子等附件进行加工组装以及测试，完成</w:t>
      </w:r>
      <w:r>
        <w:rPr>
          <w:rFonts w:hint="eastAsia" w:asciiTheme="minorEastAsia" w:hAnsiTheme="minorEastAsia" w:eastAsiaTheme="minorEastAsia" w:cstheme="minorEastAsia"/>
          <w:color w:val="000000"/>
          <w:sz w:val="24"/>
          <w:lang w:val="en-US" w:eastAsia="zh-CN"/>
        </w:rPr>
        <w:t>变电站便携式消谐装置</w:t>
      </w:r>
      <w:r>
        <w:rPr>
          <w:rFonts w:hint="eastAsia" w:asciiTheme="minorEastAsia" w:hAnsiTheme="minorEastAsia" w:eastAsiaTheme="minorEastAsia" w:cstheme="minorEastAsia"/>
          <w:bCs/>
          <w:color w:val="auto"/>
          <w:sz w:val="24"/>
          <w:highlight w:val="none"/>
          <w:lang w:val="en-US" w:eastAsia="zh-CN"/>
        </w:rPr>
        <w:t>。具体实现以下功能：</w:t>
      </w:r>
      <w:bookmarkStart w:id="6" w:name="_Toc28915"/>
      <w:r>
        <w:rPr>
          <w:rFonts w:hint="eastAsia" w:ascii="STSong-Light" w:hAnsi="STSong-Light" w:eastAsia="STSong-Light" w:cs="STSong-Light"/>
          <w:color w:val="000000"/>
          <w:kern w:val="0"/>
          <w:sz w:val="24"/>
          <w:szCs w:val="24"/>
          <w:lang w:val="en-US" w:eastAsia="zh-CN" w:bidi="ar"/>
        </w:rPr>
        <w:t>（1）</w:t>
      </w:r>
      <w:bookmarkEnd w:id="6"/>
      <w:r>
        <w:rPr>
          <w:rFonts w:hint="eastAsia" w:ascii="STSong-Light" w:hAnsi="STSong-Light" w:eastAsia="STSong-Light" w:cs="STSong-Light"/>
          <w:color w:val="000000"/>
          <w:kern w:val="0"/>
          <w:sz w:val="24"/>
          <w:szCs w:val="24"/>
          <w:lang w:val="en-US" w:eastAsia="zh-CN" w:bidi="ar"/>
        </w:rPr>
        <w:t>移动便携功能：需配备大容量锂电池保证消谐装置便携性和高续航，且配置电压插口和控制开关的设计实现装置快速拆接。</w:t>
      </w:r>
      <w:bookmarkStart w:id="7" w:name="_Toc27887"/>
      <w:r>
        <w:rPr>
          <w:rFonts w:hint="eastAsia" w:ascii="STSong-Light" w:hAnsi="STSong-Light" w:eastAsia="STSong-Light" w:cs="STSong-Light"/>
          <w:color w:val="000000"/>
          <w:kern w:val="0"/>
          <w:sz w:val="24"/>
          <w:szCs w:val="24"/>
          <w:lang w:val="en-US" w:eastAsia="zh-CN" w:bidi="ar"/>
        </w:rPr>
        <w:t>（2）故障类型精确判断：消谐装置可满足各种特征频率铁磁谐振故障消除</w:t>
      </w:r>
      <w:bookmarkEnd w:id="7"/>
      <w:r>
        <w:rPr>
          <w:rFonts w:hint="eastAsia" w:ascii="STSong-Light" w:hAnsi="STSong-Light" w:eastAsia="STSong-Light" w:cs="STSong-Light"/>
          <w:color w:val="000000"/>
          <w:kern w:val="0"/>
          <w:sz w:val="24"/>
          <w:szCs w:val="24"/>
          <w:lang w:val="en-US" w:eastAsia="zh-CN" w:bidi="ar"/>
        </w:rPr>
        <w:t>。（3）良好的人机交互功能：装置可简便设定及信息查看，事件实时记录存储及输出功能实现故障分析、事故追忆。从而</w:t>
      </w:r>
      <w:r>
        <w:rPr>
          <w:rFonts w:hint="eastAsia" w:ascii="宋体" w:hAnsi="宋体" w:eastAsia="宋体" w:cs="Times New Roman"/>
          <w:b w:val="0"/>
          <w:bCs w:val="0"/>
          <w:kern w:val="2"/>
          <w:sz w:val="24"/>
          <w:szCs w:val="24"/>
          <w:lang w:val="en-US" w:eastAsia="zh-CN" w:bidi="ar-SA"/>
        </w:rPr>
        <w:t>实现变电站内传统在线式消谐装置功能消失时快速紧急准确弥补站内消谐功能空白。</w:t>
      </w:r>
    </w:p>
    <w:p>
      <w:pPr>
        <w:spacing w:line="360" w:lineRule="auto"/>
        <w:rPr>
          <w:rFonts w:asciiTheme="minorEastAsia" w:hAnsiTheme="minorEastAsia" w:eastAsiaTheme="minorEastAsia" w:cstheme="minorEastAsia"/>
          <w:bCs/>
          <w:color w:val="C00000"/>
          <w:sz w:val="24"/>
        </w:rPr>
      </w:pPr>
      <w:r>
        <w:rPr>
          <w:rFonts w:hint="eastAsia" w:asciiTheme="minorEastAsia" w:hAnsiTheme="minorEastAsia" w:eastAsiaTheme="minorEastAsia" w:cstheme="minorEastAsia"/>
          <w:color w:val="000000"/>
          <w:sz w:val="24"/>
        </w:rPr>
        <w:t>数量：</w:t>
      </w:r>
      <w:r>
        <w:rPr>
          <w:rFonts w:hint="eastAsia" w:asciiTheme="minorEastAsia" w:hAnsiTheme="minorEastAsia" w:eastAsiaTheme="minorEastAsia" w:cstheme="minorEastAsia"/>
          <w:color w:val="000000"/>
          <w:sz w:val="24"/>
          <w:lang w:val="en-US" w:eastAsia="zh-CN"/>
        </w:rPr>
        <w:t>1套</w:t>
      </w:r>
      <w:r>
        <w:rPr>
          <w:rFonts w:hint="eastAsia" w:asciiTheme="minorEastAsia" w:hAnsiTheme="minorEastAsia" w:eastAsiaTheme="minorEastAsia" w:cstheme="minorEastAsia"/>
          <w:bCs/>
          <w:color w:val="C00000"/>
          <w:sz w:val="24"/>
        </w:rPr>
        <w:t xml:space="preserve"> </w:t>
      </w:r>
    </w:p>
    <w:p>
      <w:pPr>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000000"/>
          <w:sz w:val="24"/>
        </w:rPr>
        <w:t>测试化验地点：</w:t>
      </w:r>
      <w:r>
        <w:rPr>
          <w:rFonts w:hint="eastAsia" w:asciiTheme="minorEastAsia" w:hAnsiTheme="minorEastAsia" w:eastAsiaTheme="minorEastAsia" w:cstheme="minorEastAsia"/>
          <w:bCs/>
          <w:color w:val="auto"/>
          <w:sz w:val="24"/>
          <w:highlight w:val="none"/>
          <w:lang w:val="en-US" w:eastAsia="zh-CN"/>
        </w:rPr>
        <w:t>东莞市东宝路219号</w:t>
      </w:r>
    </w:p>
    <w:p>
      <w:pPr>
        <w:spacing w:line="360" w:lineRule="auto"/>
        <w:rPr>
          <w:rFonts w:hint="default" w:asciiTheme="minorEastAsia" w:hAnsiTheme="minorEastAsia" w:eastAsiaTheme="minorEastAsia" w:cstheme="minorEastAsia"/>
          <w:color w:val="000000"/>
          <w:sz w:val="24"/>
          <w:lang w:val="en-US"/>
        </w:rPr>
      </w:pPr>
      <w:r>
        <w:rPr>
          <w:rFonts w:hint="eastAsia" w:asciiTheme="minorEastAsia" w:hAnsiTheme="minorEastAsia" w:eastAsiaTheme="minorEastAsia" w:cstheme="minorEastAsia"/>
          <w:color w:val="000000"/>
          <w:sz w:val="24"/>
        </w:rPr>
        <w:t>工期：</w:t>
      </w:r>
      <w:r>
        <w:rPr>
          <w:rFonts w:hint="eastAsia" w:asciiTheme="minorEastAsia" w:hAnsiTheme="minorEastAsia" w:eastAsiaTheme="minorEastAsia" w:cstheme="minorEastAsia"/>
          <w:color w:val="auto"/>
          <w:sz w:val="24"/>
          <w:highlight w:val="none"/>
          <w:lang w:val="en-US" w:eastAsia="zh-CN"/>
        </w:rPr>
        <w:t>2024-10-30</w:t>
      </w:r>
    </w:p>
    <w:p>
      <w:pPr>
        <w:pStyle w:val="22"/>
        <w:spacing w:before="312"/>
        <w:outlineLvl w:val="0"/>
        <w:rPr>
          <w:rFonts w:ascii="黑体" w:hAnsi="黑体" w:eastAsia="黑体" w:cs="黑体"/>
          <w:sz w:val="28"/>
          <w:szCs w:val="28"/>
        </w:rPr>
      </w:pPr>
      <w:bookmarkStart w:id="8" w:name="_Toc7671"/>
      <w:r>
        <w:rPr>
          <w:rFonts w:hint="eastAsia" w:ascii="黑体" w:hAnsi="黑体" w:eastAsia="黑体" w:cs="黑体"/>
          <w:sz w:val="28"/>
          <w:szCs w:val="28"/>
        </w:rPr>
        <w:t>2  测试/化验项目要求</w:t>
      </w:r>
      <w:bookmarkEnd w:id="8"/>
    </w:p>
    <w:p>
      <w:pPr>
        <w:spacing w:line="360" w:lineRule="auto"/>
        <w:outlineLvl w:val="1"/>
        <w:rPr>
          <w:rFonts w:ascii="黑体" w:hAnsi="黑体" w:eastAsia="黑体" w:cs="黑体"/>
          <w:bCs/>
          <w:sz w:val="24"/>
        </w:rPr>
      </w:pPr>
      <w:bookmarkStart w:id="9" w:name="_Toc9074"/>
      <w:r>
        <w:rPr>
          <w:rFonts w:hint="eastAsia" w:ascii="黑体" w:hAnsi="黑体" w:eastAsia="黑体" w:cs="黑体"/>
          <w:bCs/>
          <w:sz w:val="24"/>
        </w:rPr>
        <w:t>2.1 项目及标准</w:t>
      </w:r>
      <w:bookmarkEnd w:id="9"/>
    </w:p>
    <w:p>
      <w:pPr>
        <w:pStyle w:val="2"/>
        <w:spacing w:before="0" w:after="0" w:line="360" w:lineRule="auto"/>
        <w:jc w:val="left"/>
        <w:rPr>
          <w:rFonts w:hint="eastAsia" w:ascii="宋体" w:hAnsi="宋体"/>
          <w:b w:val="0"/>
          <w:bCs w:val="0"/>
          <w:kern w:val="2"/>
          <w:sz w:val="24"/>
          <w:szCs w:val="24"/>
        </w:rPr>
      </w:pPr>
      <w:bookmarkStart w:id="10" w:name="_Toc30644"/>
      <w:r>
        <w:rPr>
          <w:rFonts w:hint="eastAsia" w:ascii="宋体" w:hAnsi="宋体"/>
          <w:b w:val="0"/>
          <w:bCs w:val="0"/>
          <w:kern w:val="2"/>
          <w:sz w:val="24"/>
          <w:szCs w:val="24"/>
        </w:rPr>
        <w:t>变电站便携式消谐装置</w:t>
      </w:r>
      <w:r>
        <w:rPr>
          <w:rFonts w:hint="eastAsia" w:ascii="宋体" w:hAnsi="宋体"/>
          <w:b w:val="0"/>
          <w:bCs w:val="0"/>
          <w:kern w:val="2"/>
          <w:sz w:val="24"/>
          <w:szCs w:val="24"/>
          <w:lang w:val="en-US" w:eastAsia="zh-CN"/>
        </w:rPr>
        <w:t>出具</w:t>
      </w:r>
      <w:r>
        <w:rPr>
          <w:rFonts w:hint="eastAsia" w:ascii="宋体" w:hAnsi="宋体"/>
          <w:b w:val="0"/>
          <w:bCs w:val="0"/>
          <w:kern w:val="2"/>
          <w:sz w:val="24"/>
          <w:szCs w:val="24"/>
        </w:rPr>
        <w:t>第三方检测报告1份；</w:t>
      </w:r>
    </w:p>
    <w:p>
      <w:pPr>
        <w:pStyle w:val="2"/>
        <w:spacing w:before="0" w:after="0" w:line="360" w:lineRule="auto"/>
        <w:jc w:val="left"/>
        <w:rPr>
          <w:rFonts w:hint="eastAsia" w:ascii="黑体" w:hAnsi="黑体" w:eastAsia="宋体" w:cs="黑体"/>
          <w:bCs/>
          <w:sz w:val="24"/>
          <w:lang w:eastAsia="zh-CN"/>
        </w:rPr>
      </w:pPr>
      <w:r>
        <w:rPr>
          <w:rFonts w:hint="eastAsia" w:ascii="宋体" w:hAnsi="宋体"/>
          <w:b w:val="0"/>
          <w:bCs w:val="0"/>
          <w:kern w:val="2"/>
          <w:sz w:val="24"/>
          <w:szCs w:val="24"/>
        </w:rPr>
        <w:t>变电站便携式消谐装置硬件加工图纸（或方案）1份</w:t>
      </w:r>
      <w:r>
        <w:rPr>
          <w:rFonts w:hint="eastAsia" w:ascii="宋体" w:hAnsi="宋体"/>
          <w:b w:val="0"/>
          <w:bCs w:val="0"/>
          <w:kern w:val="2"/>
          <w:sz w:val="24"/>
          <w:szCs w:val="24"/>
          <w:lang w:eastAsia="zh-CN"/>
        </w:rPr>
        <w:t>。</w:t>
      </w:r>
    </w:p>
    <w:p>
      <w:pPr>
        <w:spacing w:line="360" w:lineRule="auto"/>
        <w:outlineLvl w:val="1"/>
        <w:rPr>
          <w:rFonts w:asciiTheme="minorEastAsia" w:hAnsiTheme="minorEastAsia" w:eastAsiaTheme="minorEastAsia" w:cstheme="minorEastAsia"/>
          <w:color w:val="000000"/>
          <w:sz w:val="24"/>
        </w:rPr>
      </w:pPr>
      <w:r>
        <w:rPr>
          <w:rFonts w:hint="eastAsia" w:ascii="黑体" w:hAnsi="黑体" w:eastAsia="黑体" w:cs="黑体"/>
          <w:bCs/>
          <w:sz w:val="24"/>
        </w:rPr>
        <w:t>2.2 运输方式</w:t>
      </w:r>
      <w:bookmarkEnd w:id="10"/>
      <w:bookmarkStart w:id="11" w:name="_Toc9636"/>
      <w:bookmarkStart w:id="12" w:name="_Toc6770"/>
    </w:p>
    <w:bookmarkEnd w:id="11"/>
    <w:bookmarkEnd w:id="12"/>
    <w:p>
      <w:pPr>
        <w:rPr>
          <w:rFonts w:hint="default" w:asciiTheme="minorEastAsia" w:hAnsiTheme="minorEastAsia" w:eastAsiaTheme="minorEastAsia" w:cstheme="minorEastAsia"/>
          <w:bCs/>
          <w:color w:val="auto"/>
          <w:sz w:val="24"/>
          <w:highlight w:val="none"/>
          <w:lang w:val="en-US" w:eastAsia="zh-CN"/>
        </w:rPr>
      </w:pPr>
      <w:bookmarkStart w:id="13" w:name="_Toc16082"/>
      <w:r>
        <w:rPr>
          <w:rFonts w:hint="eastAsia" w:asciiTheme="minorEastAsia" w:hAnsiTheme="minorEastAsia" w:eastAsiaTheme="minorEastAsia" w:cstheme="minorEastAsia"/>
          <w:bCs/>
          <w:color w:val="auto"/>
          <w:sz w:val="24"/>
          <w:highlight w:val="none"/>
          <w:lang w:val="en-US" w:eastAsia="zh-CN"/>
        </w:rPr>
        <w:t>无要求</w:t>
      </w:r>
    </w:p>
    <w:p>
      <w:pPr>
        <w:pStyle w:val="22"/>
        <w:spacing w:before="312"/>
        <w:outlineLvl w:val="0"/>
        <w:rPr>
          <w:rFonts w:ascii="黑体" w:hAnsi="黑体" w:eastAsia="黑体" w:cs="黑体"/>
          <w:sz w:val="28"/>
          <w:szCs w:val="28"/>
        </w:rPr>
      </w:pPr>
      <w:r>
        <w:rPr>
          <w:rFonts w:hint="eastAsia" w:ascii="黑体" w:hAnsi="黑体" w:eastAsia="黑体" w:cs="黑体"/>
          <w:sz w:val="28"/>
          <w:szCs w:val="28"/>
        </w:rPr>
        <w:t>3  技术服务的要求</w:t>
      </w:r>
      <w:bookmarkEnd w:id="13"/>
    </w:p>
    <w:p>
      <w:pPr>
        <w:spacing w:line="360" w:lineRule="auto"/>
        <w:outlineLvl w:val="1"/>
        <w:rPr>
          <w:rFonts w:asciiTheme="minorEastAsia" w:hAnsiTheme="minorEastAsia" w:eastAsiaTheme="minorEastAsia" w:cstheme="minorEastAsia"/>
          <w:color w:val="000000"/>
          <w:sz w:val="24"/>
        </w:rPr>
      </w:pPr>
      <w:bookmarkStart w:id="14" w:name="_Toc1749"/>
      <w:r>
        <w:rPr>
          <w:rFonts w:hint="eastAsia" w:ascii="黑体" w:hAnsi="黑体" w:eastAsia="黑体" w:cs="黑体"/>
          <w:bCs/>
          <w:sz w:val="24"/>
        </w:rPr>
        <w:t>3.1 资质要求</w:t>
      </w:r>
      <w:bookmarkEnd w:id="14"/>
    </w:p>
    <w:p>
      <w:pPr>
        <w:spacing w:line="360" w:lineRule="auto"/>
        <w:outlineLvl w:val="1"/>
        <w:rPr>
          <w:rFonts w:asciiTheme="minorEastAsia" w:hAnsiTheme="minorEastAsia" w:eastAsiaTheme="minorEastAsia" w:cstheme="minorEastAsia"/>
          <w:color w:val="000000"/>
          <w:sz w:val="24"/>
        </w:rPr>
      </w:pPr>
      <w:bookmarkStart w:id="15" w:name="_Toc16023"/>
      <w:r>
        <w:rPr>
          <w:rFonts w:hint="eastAsia" w:ascii="黑体" w:hAnsi="黑体" w:eastAsia="黑体" w:cs="黑体"/>
          <w:bCs/>
          <w:sz w:val="24"/>
        </w:rPr>
        <w:t>3.2 人员、设备及场地要求</w:t>
      </w:r>
      <w:bookmarkEnd w:id="15"/>
    </w:p>
    <w:p>
      <w:pPr>
        <w:spacing w:line="360" w:lineRule="auto"/>
        <w:outlineLvl w:val="1"/>
        <w:rPr>
          <w:rFonts w:hint="eastAsia" w:asciiTheme="minorEastAsia" w:hAnsiTheme="minorEastAsia" w:eastAsiaTheme="minorEastAsia" w:cstheme="minorEastAsia"/>
          <w:bCs/>
          <w:color w:val="auto"/>
          <w:sz w:val="24"/>
          <w:highlight w:val="none"/>
        </w:rPr>
      </w:pPr>
      <w:bookmarkStart w:id="16" w:name="_Toc9853"/>
      <w:r>
        <w:rPr>
          <w:rFonts w:hint="eastAsia" w:asciiTheme="minorEastAsia" w:hAnsiTheme="minorEastAsia" w:eastAsiaTheme="minorEastAsia" w:cstheme="minorEastAsia"/>
          <w:bCs/>
          <w:color w:val="auto"/>
          <w:sz w:val="24"/>
          <w:highlight w:val="none"/>
        </w:rPr>
        <w:t>供应商须承诺至少安排一人专职与甲方对接跟进项目工作，并配合项目后期开展试点应用工作;</w:t>
      </w:r>
    </w:p>
    <w:p>
      <w:pPr>
        <w:spacing w:line="360" w:lineRule="auto"/>
        <w:outlineLvl w:val="1"/>
        <w:rPr>
          <w:rFonts w:asciiTheme="minorEastAsia" w:hAnsiTheme="minorEastAsia" w:eastAsiaTheme="minorEastAsia" w:cstheme="minorEastAsia"/>
          <w:color w:val="000000"/>
          <w:sz w:val="24"/>
        </w:rPr>
      </w:pPr>
      <w:r>
        <w:rPr>
          <w:rFonts w:hint="eastAsia" w:ascii="黑体" w:hAnsi="黑体" w:eastAsia="黑体" w:cs="黑体"/>
          <w:bCs/>
          <w:sz w:val="24"/>
        </w:rPr>
        <w:t>3.3 转包及分包要求</w:t>
      </w:r>
      <w:bookmarkEnd w:id="16"/>
      <w:bookmarkStart w:id="17" w:name="_Toc27056"/>
      <w:bookmarkStart w:id="18" w:name="_Toc31460"/>
    </w:p>
    <w:bookmarkEnd w:id="17"/>
    <w:bookmarkEnd w:id="18"/>
    <w:p>
      <w:pPr>
        <w:rPr>
          <w:rFonts w:asciiTheme="minorEastAsia" w:hAnsiTheme="minorEastAsia" w:eastAsiaTheme="minorEastAsia" w:cstheme="minorEastAsia"/>
          <w:bCs/>
          <w:color w:val="auto"/>
          <w:sz w:val="24"/>
          <w:highlight w:val="none"/>
        </w:rPr>
      </w:pPr>
      <w:bookmarkStart w:id="19" w:name="_Toc22454"/>
      <w:r>
        <w:rPr>
          <w:rFonts w:hint="eastAsia" w:asciiTheme="minorEastAsia" w:hAnsiTheme="minorEastAsia" w:eastAsiaTheme="minorEastAsia" w:cstheme="minorEastAsia"/>
          <w:bCs/>
          <w:color w:val="auto"/>
          <w:sz w:val="24"/>
          <w:highlight w:val="none"/>
        </w:rPr>
        <w:t>不准将业务进行转包或分包。</w:t>
      </w:r>
    </w:p>
    <w:p>
      <w:pPr>
        <w:spacing w:line="360" w:lineRule="auto"/>
        <w:outlineLvl w:val="1"/>
        <w:rPr>
          <w:rFonts w:asciiTheme="minorEastAsia" w:hAnsiTheme="minorEastAsia" w:eastAsiaTheme="minorEastAsia" w:cstheme="minorEastAsia"/>
          <w:color w:val="000000"/>
          <w:sz w:val="24"/>
        </w:rPr>
      </w:pPr>
      <w:r>
        <w:rPr>
          <w:rFonts w:hint="eastAsia" w:ascii="黑体" w:hAnsi="黑体" w:eastAsia="黑体" w:cs="黑体"/>
          <w:bCs/>
          <w:sz w:val="24"/>
        </w:rPr>
        <w:t>3.4 信息保密要求</w:t>
      </w:r>
      <w:bookmarkEnd w:id="19"/>
    </w:p>
    <w:p>
      <w:pPr>
        <w:rPr>
          <w:rFonts w:asciiTheme="minorEastAsia" w:hAnsiTheme="minorEastAsia" w:eastAsiaTheme="minorEastAsia" w:cstheme="minorEastAsia"/>
          <w:bCs/>
          <w:color w:val="auto"/>
          <w:sz w:val="24"/>
          <w:highlight w:val="none"/>
        </w:rPr>
      </w:pPr>
      <w:bookmarkStart w:id="20" w:name="_Toc23607"/>
      <w:r>
        <w:rPr>
          <w:rFonts w:hint="eastAsia" w:asciiTheme="minorEastAsia" w:hAnsiTheme="minorEastAsia" w:eastAsiaTheme="minorEastAsia" w:cstheme="minorEastAsia"/>
          <w:bCs/>
          <w:color w:val="auto"/>
          <w:sz w:val="24"/>
          <w:highlight w:val="none"/>
        </w:rPr>
        <w:t>需签订保密协议</w:t>
      </w:r>
    </w:p>
    <w:p>
      <w:pPr>
        <w:spacing w:line="360" w:lineRule="auto"/>
        <w:outlineLvl w:val="1"/>
        <w:rPr>
          <w:rFonts w:asciiTheme="minorEastAsia" w:hAnsiTheme="minorEastAsia" w:eastAsiaTheme="minorEastAsia" w:cstheme="minorEastAsia"/>
          <w:color w:val="000000"/>
          <w:sz w:val="24"/>
        </w:rPr>
      </w:pPr>
      <w:r>
        <w:rPr>
          <w:rFonts w:hint="eastAsia" w:ascii="黑体" w:hAnsi="黑体" w:eastAsia="黑体" w:cs="黑体"/>
          <w:bCs/>
          <w:sz w:val="24"/>
        </w:rPr>
        <w:t>3.5 其他要求</w:t>
      </w:r>
      <w:bookmarkEnd w:id="20"/>
      <w:bookmarkStart w:id="21" w:name="_Toc17063"/>
      <w:bookmarkStart w:id="22" w:name="_Toc30921"/>
    </w:p>
    <w:p>
      <w:pP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val="en-US" w:eastAsia="zh-CN"/>
        </w:rPr>
        <w:t>1.</w:t>
      </w:r>
      <w:r>
        <w:rPr>
          <w:rFonts w:hint="eastAsia" w:asciiTheme="minorEastAsia" w:hAnsiTheme="minorEastAsia" w:eastAsiaTheme="minorEastAsia" w:cstheme="minorEastAsia"/>
          <w:bCs/>
          <w:color w:val="auto"/>
          <w:sz w:val="24"/>
          <w:highlight w:val="none"/>
        </w:rPr>
        <w:t>供应商需配合完成项目相关技术资料编写，包含但不限于整套加工设计图纸、技术总结报告、项目验收资料等;</w:t>
      </w:r>
    </w:p>
    <w:p>
      <w:pPr>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2.供应商配合甲方至少完成1项发明专利技术交底书、并申请受理:</w:t>
      </w:r>
    </w:p>
    <w:p>
      <w:pPr>
        <w:rPr>
          <w:rFonts w:asciiTheme="minorEastAsia" w:hAnsiTheme="minorEastAsia" w:eastAsiaTheme="minorEastAsia" w:cstheme="minorEastAsia"/>
          <w:bCs/>
          <w:color w:val="C00000"/>
          <w:sz w:val="24"/>
        </w:rPr>
      </w:pPr>
      <w:r>
        <w:rPr>
          <w:rFonts w:hint="eastAsia" w:asciiTheme="minorEastAsia" w:hAnsiTheme="minorEastAsia" w:eastAsiaTheme="minorEastAsia" w:cstheme="minorEastAsia"/>
          <w:bCs/>
          <w:color w:val="auto"/>
          <w:sz w:val="24"/>
          <w:highlight w:val="none"/>
          <w:lang w:val="en-US" w:eastAsia="zh-CN"/>
        </w:rPr>
        <w:t>3.供应商配合甲方至少完成1篇技术论文发表(录用通知)。</w:t>
      </w:r>
      <w:bookmarkEnd w:id="21"/>
      <w:bookmarkEnd w:id="22"/>
    </w:p>
    <w:p>
      <w:pPr>
        <w:pStyle w:val="22"/>
        <w:spacing w:before="312"/>
        <w:outlineLvl w:val="0"/>
        <w:rPr>
          <w:rFonts w:asciiTheme="minorEastAsia" w:hAnsiTheme="minorEastAsia" w:eastAsiaTheme="minorEastAsia" w:cstheme="minorEastAsia"/>
          <w:color w:val="000000"/>
        </w:rPr>
      </w:pPr>
      <w:bookmarkStart w:id="23" w:name="_Toc266713650"/>
      <w:bookmarkStart w:id="24" w:name="_Toc21612"/>
      <w:r>
        <w:rPr>
          <w:rFonts w:hint="eastAsia" w:ascii="黑体" w:hAnsi="黑体" w:eastAsia="黑体" w:cs="黑体"/>
          <w:sz w:val="28"/>
          <w:szCs w:val="28"/>
        </w:rPr>
        <w:t>4  时间进度要求</w:t>
      </w:r>
      <w:bookmarkEnd w:id="23"/>
      <w:bookmarkEnd w:id="24"/>
      <w:bookmarkStart w:id="25" w:name="_Toc11533"/>
      <w:bookmarkStart w:id="26" w:name="_Toc27224"/>
    </w:p>
    <w:bookmarkEnd w:id="25"/>
    <w:bookmarkEnd w:id="26"/>
    <w:p>
      <w:pPr>
        <w:rPr>
          <w:rFonts w:hint="default" w:asciiTheme="minorEastAsia" w:hAnsiTheme="minorEastAsia" w:eastAsiaTheme="minorEastAsia" w:cstheme="minorEastAsia"/>
          <w:bCs/>
          <w:color w:val="auto"/>
          <w:sz w:val="24"/>
          <w:highlight w:val="none"/>
          <w:lang w:val="en-US" w:eastAsia="zh-CN"/>
        </w:rPr>
      </w:pPr>
      <w:bookmarkStart w:id="27" w:name="_Toc8651"/>
      <w:r>
        <w:rPr>
          <w:rFonts w:hint="eastAsia" w:asciiTheme="minorEastAsia" w:hAnsiTheme="minorEastAsia" w:eastAsiaTheme="minorEastAsia" w:cstheme="minorEastAsia"/>
          <w:bCs/>
          <w:color w:val="auto"/>
          <w:sz w:val="24"/>
          <w:highlight w:val="none"/>
          <w:lang w:val="en-US" w:eastAsia="zh-CN"/>
        </w:rPr>
        <w:t>工期：2</w:t>
      </w:r>
      <w:bookmarkStart w:id="33" w:name="_GoBack"/>
      <w:bookmarkEnd w:id="33"/>
      <w:r>
        <w:rPr>
          <w:rFonts w:hint="eastAsia" w:asciiTheme="minorEastAsia" w:hAnsiTheme="minorEastAsia" w:eastAsiaTheme="minorEastAsia" w:cstheme="minorEastAsia"/>
          <w:bCs/>
          <w:color w:val="auto"/>
          <w:sz w:val="24"/>
          <w:highlight w:val="none"/>
          <w:lang w:val="en-US" w:eastAsia="zh-CN"/>
        </w:rPr>
        <w:t>个月</w:t>
      </w:r>
    </w:p>
    <w:p>
      <w:pPr>
        <w:pStyle w:val="22"/>
        <w:spacing w:before="312"/>
        <w:outlineLvl w:val="0"/>
        <w:rPr>
          <w:rFonts w:ascii="黑体" w:hAnsi="黑体" w:eastAsia="黑体" w:cs="黑体"/>
          <w:sz w:val="28"/>
          <w:szCs w:val="28"/>
        </w:rPr>
      </w:pPr>
      <w:r>
        <w:rPr>
          <w:rFonts w:hint="eastAsia" w:ascii="黑体" w:hAnsi="黑体" w:eastAsia="黑体" w:cs="黑体"/>
          <w:sz w:val="28"/>
          <w:szCs w:val="28"/>
        </w:rPr>
        <w:t>5  交付与验收</w:t>
      </w:r>
      <w:bookmarkEnd w:id="27"/>
    </w:p>
    <w:p>
      <w:pPr>
        <w:spacing w:line="360" w:lineRule="auto"/>
        <w:outlineLvl w:val="1"/>
        <w:rPr>
          <w:rFonts w:hint="eastAsia" w:ascii="黑体" w:hAnsi="黑体" w:eastAsia="黑体" w:cs="黑体"/>
          <w:bCs/>
          <w:sz w:val="24"/>
        </w:rPr>
      </w:pPr>
      <w:bookmarkStart w:id="28" w:name="_Toc3677"/>
      <w:r>
        <w:rPr>
          <w:rFonts w:hint="eastAsia" w:ascii="黑体" w:hAnsi="黑体" w:eastAsia="黑体" w:cs="黑体"/>
          <w:bCs/>
          <w:sz w:val="24"/>
        </w:rPr>
        <w:t>5.1 交付形式及数量要求</w:t>
      </w:r>
      <w:bookmarkEnd w:id="28"/>
    </w:p>
    <w:p>
      <w:pPr>
        <w:pStyle w:val="2"/>
        <w:jc w:val="both"/>
      </w:pPr>
      <w:r>
        <w:rPr>
          <w:rFonts w:hint="eastAsia" w:ascii="宋体" w:hAnsi="宋体"/>
          <w:sz w:val="24"/>
        </w:rPr>
        <w:t>变电站便携式消谐装置1套</w:t>
      </w:r>
    </w:p>
    <w:p>
      <w:pPr>
        <w:spacing w:line="360" w:lineRule="auto"/>
        <w:outlineLvl w:val="1"/>
        <w:rPr>
          <w:rFonts w:asciiTheme="minorEastAsia" w:hAnsiTheme="minorEastAsia" w:eastAsiaTheme="minorEastAsia" w:cstheme="minorEastAsia"/>
          <w:color w:val="000000"/>
          <w:sz w:val="24"/>
        </w:rPr>
      </w:pPr>
      <w:bookmarkStart w:id="29" w:name="_Toc21560"/>
      <w:r>
        <w:rPr>
          <w:rFonts w:hint="eastAsia" w:ascii="黑体" w:hAnsi="黑体" w:eastAsia="黑体" w:cs="黑体"/>
          <w:bCs/>
          <w:sz w:val="24"/>
        </w:rPr>
        <w:t>5.2 验收</w:t>
      </w:r>
      <w:bookmarkEnd w:id="29"/>
      <w:bookmarkStart w:id="30" w:name="_Toc23588"/>
      <w:bookmarkStart w:id="31" w:name="_Toc536"/>
    </w:p>
    <w:bookmarkEnd w:id="30"/>
    <w:bookmarkEnd w:id="31"/>
    <w:p>
      <w:pPr>
        <w:spacing w:line="360" w:lineRule="auto"/>
        <w:rPr>
          <w:rFonts w:asciiTheme="minorEastAsia" w:hAnsiTheme="minorEastAsia" w:eastAsiaTheme="minorEastAsia" w:cstheme="minorEastAsia"/>
          <w:color w:val="000000"/>
          <w:sz w:val="24"/>
          <w:highlight w:val="yellow"/>
        </w:rPr>
      </w:pPr>
      <w:bookmarkStart w:id="32" w:name="_Toc859"/>
      <w:r>
        <w:rPr>
          <w:rFonts w:hint="eastAsia" w:asciiTheme="minorEastAsia" w:hAnsiTheme="minorEastAsia" w:eastAsiaTheme="minorEastAsia" w:cstheme="minorEastAsia"/>
          <w:bCs/>
          <w:color w:val="auto"/>
          <w:sz w:val="24"/>
          <w:highlight w:val="none"/>
          <w:lang w:val="en-US" w:eastAsia="zh-CN"/>
        </w:rPr>
        <w:t>按技术规范书要求验收，如验收不通过导致甲方造成损失将由中标方承担</w:t>
      </w:r>
      <w:bookmarkEnd w:id="32"/>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STSong-Light">
    <w:altName w:val="Times New Roman"/>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9"/>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7"/>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112EA9"/>
    <w:rsid w:val="000C764F"/>
    <w:rsid w:val="00DE6232"/>
    <w:rsid w:val="01D35542"/>
    <w:rsid w:val="027C11FC"/>
    <w:rsid w:val="0295401A"/>
    <w:rsid w:val="0303051E"/>
    <w:rsid w:val="047B7BC4"/>
    <w:rsid w:val="04BF0B83"/>
    <w:rsid w:val="04FE4EAD"/>
    <w:rsid w:val="05312146"/>
    <w:rsid w:val="056D4E14"/>
    <w:rsid w:val="06F52B3B"/>
    <w:rsid w:val="09F078C2"/>
    <w:rsid w:val="0A9773AF"/>
    <w:rsid w:val="0B715FA9"/>
    <w:rsid w:val="0BD1033B"/>
    <w:rsid w:val="0BFD7548"/>
    <w:rsid w:val="0C8C1EEF"/>
    <w:rsid w:val="0D0C14ED"/>
    <w:rsid w:val="0D6039E5"/>
    <w:rsid w:val="0DDE0C6E"/>
    <w:rsid w:val="0FBF064C"/>
    <w:rsid w:val="10011F66"/>
    <w:rsid w:val="10972384"/>
    <w:rsid w:val="11402C86"/>
    <w:rsid w:val="119654F4"/>
    <w:rsid w:val="13566E57"/>
    <w:rsid w:val="13A42991"/>
    <w:rsid w:val="14421D4B"/>
    <w:rsid w:val="147F0C66"/>
    <w:rsid w:val="1558413F"/>
    <w:rsid w:val="155E4129"/>
    <w:rsid w:val="16CE51A3"/>
    <w:rsid w:val="16F77748"/>
    <w:rsid w:val="1A316175"/>
    <w:rsid w:val="1A830B36"/>
    <w:rsid w:val="1ADD4B0E"/>
    <w:rsid w:val="1B843116"/>
    <w:rsid w:val="1BF021DF"/>
    <w:rsid w:val="1BFA3C82"/>
    <w:rsid w:val="1C672B50"/>
    <w:rsid w:val="1D8D437A"/>
    <w:rsid w:val="1DA01B05"/>
    <w:rsid w:val="1FBD1E67"/>
    <w:rsid w:val="1FD9003C"/>
    <w:rsid w:val="21CA3C88"/>
    <w:rsid w:val="234277A0"/>
    <w:rsid w:val="234B187D"/>
    <w:rsid w:val="23A116F1"/>
    <w:rsid w:val="24C9435F"/>
    <w:rsid w:val="24EA7C79"/>
    <w:rsid w:val="250F564D"/>
    <w:rsid w:val="252B1EB7"/>
    <w:rsid w:val="256870E0"/>
    <w:rsid w:val="25E42BF8"/>
    <w:rsid w:val="265249D6"/>
    <w:rsid w:val="275D5D26"/>
    <w:rsid w:val="275F7D29"/>
    <w:rsid w:val="27F81146"/>
    <w:rsid w:val="28BE48E2"/>
    <w:rsid w:val="29F81415"/>
    <w:rsid w:val="2A441357"/>
    <w:rsid w:val="2B6721B0"/>
    <w:rsid w:val="2C191EA0"/>
    <w:rsid w:val="2C4618E3"/>
    <w:rsid w:val="2CA3124A"/>
    <w:rsid w:val="2D7977AC"/>
    <w:rsid w:val="2D8F39A1"/>
    <w:rsid w:val="2DAC4578"/>
    <w:rsid w:val="2DB36870"/>
    <w:rsid w:val="2DEA6350"/>
    <w:rsid w:val="2E260032"/>
    <w:rsid w:val="2E2E5B4F"/>
    <w:rsid w:val="2E380045"/>
    <w:rsid w:val="2EFA1D2E"/>
    <w:rsid w:val="2F2E6BFF"/>
    <w:rsid w:val="2FC241F2"/>
    <w:rsid w:val="30045C2F"/>
    <w:rsid w:val="30DF2B6C"/>
    <w:rsid w:val="313E1E7A"/>
    <w:rsid w:val="32653DEB"/>
    <w:rsid w:val="32887BF4"/>
    <w:rsid w:val="330E4E8B"/>
    <w:rsid w:val="33161353"/>
    <w:rsid w:val="33471388"/>
    <w:rsid w:val="334E3954"/>
    <w:rsid w:val="34255CC8"/>
    <w:rsid w:val="347E10AE"/>
    <w:rsid w:val="35791EC8"/>
    <w:rsid w:val="358A1AD4"/>
    <w:rsid w:val="358B06A1"/>
    <w:rsid w:val="35DF4389"/>
    <w:rsid w:val="35E41FA9"/>
    <w:rsid w:val="360B40D3"/>
    <w:rsid w:val="3661221B"/>
    <w:rsid w:val="37A433E0"/>
    <w:rsid w:val="37AE0477"/>
    <w:rsid w:val="38004B22"/>
    <w:rsid w:val="38D05FCB"/>
    <w:rsid w:val="390A3500"/>
    <w:rsid w:val="39140E3A"/>
    <w:rsid w:val="39855B4F"/>
    <w:rsid w:val="398C2739"/>
    <w:rsid w:val="39E974DB"/>
    <w:rsid w:val="3C4C5078"/>
    <w:rsid w:val="3DDE3626"/>
    <w:rsid w:val="3EA348A3"/>
    <w:rsid w:val="401C5798"/>
    <w:rsid w:val="40794199"/>
    <w:rsid w:val="408A19B3"/>
    <w:rsid w:val="40F0643B"/>
    <w:rsid w:val="410217F6"/>
    <w:rsid w:val="419C13AE"/>
    <w:rsid w:val="41A73FEA"/>
    <w:rsid w:val="41B40E40"/>
    <w:rsid w:val="42A30678"/>
    <w:rsid w:val="42A37264"/>
    <w:rsid w:val="42DF02D2"/>
    <w:rsid w:val="44C917FC"/>
    <w:rsid w:val="45AD67D6"/>
    <w:rsid w:val="45CF1EF0"/>
    <w:rsid w:val="47097B32"/>
    <w:rsid w:val="47194E6E"/>
    <w:rsid w:val="47382C50"/>
    <w:rsid w:val="48205CF0"/>
    <w:rsid w:val="48AE5D4E"/>
    <w:rsid w:val="49F22A9F"/>
    <w:rsid w:val="4A4B4604"/>
    <w:rsid w:val="4A566A25"/>
    <w:rsid w:val="4A7A1254"/>
    <w:rsid w:val="4A9A3B4D"/>
    <w:rsid w:val="4B18258B"/>
    <w:rsid w:val="4C3F54C3"/>
    <w:rsid w:val="4CE147A6"/>
    <w:rsid w:val="4CF766DE"/>
    <w:rsid w:val="4DBF3FC8"/>
    <w:rsid w:val="4DDB7BC5"/>
    <w:rsid w:val="4E287A4C"/>
    <w:rsid w:val="4EDE6AF3"/>
    <w:rsid w:val="50692104"/>
    <w:rsid w:val="50C4507C"/>
    <w:rsid w:val="50E83C80"/>
    <w:rsid w:val="50E84976"/>
    <w:rsid w:val="51DC0FA5"/>
    <w:rsid w:val="52D27864"/>
    <w:rsid w:val="53CD308F"/>
    <w:rsid w:val="54C17E31"/>
    <w:rsid w:val="54E75E4E"/>
    <w:rsid w:val="54EC5F00"/>
    <w:rsid w:val="55BB08CE"/>
    <w:rsid w:val="55F5265A"/>
    <w:rsid w:val="56112EA9"/>
    <w:rsid w:val="56634F6B"/>
    <w:rsid w:val="56FE5647"/>
    <w:rsid w:val="572004CE"/>
    <w:rsid w:val="576E3E36"/>
    <w:rsid w:val="57D62605"/>
    <w:rsid w:val="59BD7DED"/>
    <w:rsid w:val="59E4535B"/>
    <w:rsid w:val="5AE252E1"/>
    <w:rsid w:val="5BAC42C7"/>
    <w:rsid w:val="5CBC1717"/>
    <w:rsid w:val="5E0B23A4"/>
    <w:rsid w:val="5E7F2B1D"/>
    <w:rsid w:val="5E9479C8"/>
    <w:rsid w:val="5EFF55AD"/>
    <w:rsid w:val="60446F8A"/>
    <w:rsid w:val="60A8111F"/>
    <w:rsid w:val="60B802FB"/>
    <w:rsid w:val="61633BDA"/>
    <w:rsid w:val="61B23647"/>
    <w:rsid w:val="61E33B45"/>
    <w:rsid w:val="62542CC4"/>
    <w:rsid w:val="630015B9"/>
    <w:rsid w:val="63FE5340"/>
    <w:rsid w:val="640B1F26"/>
    <w:rsid w:val="64132F2C"/>
    <w:rsid w:val="650664D0"/>
    <w:rsid w:val="65355760"/>
    <w:rsid w:val="666908C2"/>
    <w:rsid w:val="673113AB"/>
    <w:rsid w:val="67593ED7"/>
    <w:rsid w:val="68AC152E"/>
    <w:rsid w:val="695323C7"/>
    <w:rsid w:val="69EA7D86"/>
    <w:rsid w:val="6A2D0FBD"/>
    <w:rsid w:val="6B023115"/>
    <w:rsid w:val="6D2B4CBE"/>
    <w:rsid w:val="6D401C96"/>
    <w:rsid w:val="6D4A0BE9"/>
    <w:rsid w:val="6E06100F"/>
    <w:rsid w:val="6E5B1FD7"/>
    <w:rsid w:val="708F1B04"/>
    <w:rsid w:val="70E237AF"/>
    <w:rsid w:val="710C1A65"/>
    <w:rsid w:val="71497715"/>
    <w:rsid w:val="71C94BB9"/>
    <w:rsid w:val="7377313A"/>
    <w:rsid w:val="73FA6E86"/>
    <w:rsid w:val="744F7DDF"/>
    <w:rsid w:val="74572EAA"/>
    <w:rsid w:val="74E106B7"/>
    <w:rsid w:val="75700D85"/>
    <w:rsid w:val="75715F41"/>
    <w:rsid w:val="76497732"/>
    <w:rsid w:val="76890F73"/>
    <w:rsid w:val="770F4753"/>
    <w:rsid w:val="78376D79"/>
    <w:rsid w:val="790428F9"/>
    <w:rsid w:val="7A126AE1"/>
    <w:rsid w:val="7ABE2378"/>
    <w:rsid w:val="7AFB3926"/>
    <w:rsid w:val="7BFC3589"/>
    <w:rsid w:val="7C185614"/>
    <w:rsid w:val="7C257594"/>
    <w:rsid w:val="7CD02D3B"/>
    <w:rsid w:val="7E352FE9"/>
    <w:rsid w:val="7E6214B0"/>
    <w:rsid w:val="7EB61EE5"/>
    <w:rsid w:val="7FCE0606"/>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uiPriority w:val="0"/>
    <w:rPr>
      <w:sz w:val="24"/>
    </w:rPr>
  </w:style>
  <w:style w:type="paragraph" w:styleId="3">
    <w:name w:val="Title"/>
    <w:basedOn w:val="1"/>
    <w:next w:val="1"/>
    <w:qFormat/>
    <w:uiPriority w:val="0"/>
    <w:pPr>
      <w:spacing w:before="120" w:after="60" w:line="240" w:lineRule="atLeast"/>
      <w:jc w:val="center"/>
      <w:outlineLvl w:val="0"/>
    </w:pPr>
    <w:rPr>
      <w:rFonts w:ascii="Arial" w:hAnsi="Arial" w:cs="Arial"/>
      <w:b/>
      <w:bCs/>
      <w:sz w:val="36"/>
      <w:szCs w:val="32"/>
    </w:rPr>
  </w:style>
  <w:style w:type="paragraph" w:styleId="7">
    <w:name w:val="annotation text"/>
    <w:basedOn w:val="1"/>
    <w:qFormat/>
    <w:uiPriority w:val="0"/>
    <w:pPr>
      <w:jc w:val="left"/>
    </w:pPr>
  </w:style>
  <w:style w:type="paragraph" w:styleId="8">
    <w:name w:val="Plain Text"/>
    <w:basedOn w:val="1"/>
    <w:qFormat/>
    <w:uiPriority w:val="0"/>
    <w:rPr>
      <w:rFonts w:ascii="宋体" w:hAnsi="Courier New" w:cs="Courier New"/>
      <w:szCs w:val="21"/>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toc 1"/>
    <w:basedOn w:val="1"/>
    <w:next w:val="1"/>
    <w:qFormat/>
    <w:uiPriority w:val="0"/>
  </w:style>
  <w:style w:type="paragraph" w:styleId="12">
    <w:name w:val="toc 2"/>
    <w:basedOn w:val="1"/>
    <w:next w:val="1"/>
    <w:qFormat/>
    <w:uiPriority w:val="0"/>
    <w:pPr>
      <w:tabs>
        <w:tab w:val="right" w:leader="dot" w:pos="8302"/>
      </w:tabs>
      <w:snapToGrid w:val="0"/>
      <w:spacing w:line="360" w:lineRule="auto"/>
      <w:ind w:left="525" w:hanging="4"/>
    </w:pPr>
    <w:rPr>
      <w:sz w:val="24"/>
      <w:szCs w:val="20"/>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Hyperlink"/>
    <w:basedOn w:val="15"/>
    <w:qFormat/>
    <w:uiPriority w:val="0"/>
  </w:style>
  <w:style w:type="paragraph" w:customStyle="1" w:styleId="17">
    <w:name w:val="标题1"/>
    <w:basedOn w:val="5"/>
    <w:next w:val="1"/>
    <w:qFormat/>
    <w:uiPriority w:val="0"/>
    <w:pPr>
      <w:numPr>
        <w:ilvl w:val="0"/>
        <w:numId w:val="1"/>
      </w:numPr>
    </w:pPr>
    <w:rPr>
      <w:rFonts w:hAnsi="黑体"/>
    </w:rPr>
  </w:style>
  <w:style w:type="paragraph" w:customStyle="1" w:styleId="18">
    <w:name w:val="首页项目名称"/>
    <w:link w:val="20"/>
    <w:qFormat/>
    <w:uiPriority w:val="0"/>
    <w:pPr>
      <w:jc w:val="center"/>
    </w:pPr>
    <w:rPr>
      <w:rFonts w:ascii="Times New Roman" w:hAnsi="Times New Roman" w:eastAsia="隶书" w:cs="Times New Roman"/>
      <w:sz w:val="52"/>
      <w:lang w:val="en-US" w:eastAsia="zh-CN" w:bidi="ar-SA"/>
    </w:rPr>
  </w:style>
  <w:style w:type="paragraph" w:customStyle="1" w:styleId="19">
    <w:name w:val="首页日期"/>
    <w:basedOn w:val="1"/>
    <w:link w:val="21"/>
    <w:qFormat/>
    <w:uiPriority w:val="0"/>
    <w:pPr>
      <w:jc w:val="center"/>
    </w:pPr>
    <w:rPr>
      <w:rFonts w:eastAsia="楷体"/>
      <w:sz w:val="32"/>
    </w:rPr>
  </w:style>
  <w:style w:type="character" w:customStyle="1" w:styleId="20">
    <w:name w:val="首页项目名称 Char"/>
    <w:link w:val="18"/>
    <w:qFormat/>
    <w:uiPriority w:val="0"/>
    <w:rPr>
      <w:rFonts w:ascii="Times New Roman" w:hAnsi="Times New Roman" w:eastAsia="隶书"/>
      <w:sz w:val="52"/>
    </w:rPr>
  </w:style>
  <w:style w:type="character" w:customStyle="1" w:styleId="21">
    <w:name w:val="首页日期 Char"/>
    <w:link w:val="19"/>
    <w:qFormat/>
    <w:uiPriority w:val="0"/>
    <w:rPr>
      <w:rFonts w:ascii="Times New Roman" w:hAnsi="Times New Roman" w:eastAsia="楷体"/>
      <w:sz w:val="32"/>
    </w:rPr>
  </w:style>
  <w:style w:type="paragraph" w:customStyle="1" w:styleId="22">
    <w:name w:val="一标题"/>
    <w:link w:val="23"/>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3">
    <w:name w:val="一标题 Char"/>
    <w:link w:val="22"/>
    <w:qFormat/>
    <w:uiPriority w:val="0"/>
    <w:rPr>
      <w:rFonts w:ascii="宋体" w:hAnsi="宋体" w:eastAsia="宋体" w:cs="Times New Roman"/>
      <w:b/>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2036</Words>
  <Characters>1503</Characters>
  <Lines>12</Lines>
  <Paragraphs>7</Paragraphs>
  <TotalTime>0</TotalTime>
  <ScaleCrop>false</ScaleCrop>
  <LinksUpToDate>false</LinksUpToDate>
  <CharactersWithSpaces>3532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2020-01-03T01:39:00Z</dcterms:created>
  <dc:creator>shenpeiyi</dc:creator>
  <cp:lastModifiedBy>任燕</cp:lastModifiedBy>
  <dcterms:modified xsi:type="dcterms:W3CDTF">2024-09-01T14:04:29Z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77DAB0809AD24D8F8E24892B840FCC1C</vt:lpwstr>
  </property>
</Properties>
</file>