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jc w:val="center"/>
        <w:rPr>
          <w:rFonts w:ascii="隶书" w:eastAsia="隶书"/>
          <w:sz w:val="56"/>
          <w:szCs w:val="56"/>
        </w:rPr>
      </w:pPr>
    </w:p>
    <w:p>
      <w:pPr>
        <w:pStyle w:val="6"/>
        <w:jc w:val="center"/>
        <w:rPr>
          <w:rFonts w:ascii="隶书" w:eastAsia="隶书"/>
          <w:sz w:val="56"/>
          <w:szCs w:val="56"/>
        </w:rPr>
      </w:pPr>
    </w:p>
    <w:p>
      <w:pPr>
        <w:pStyle w:val="6"/>
        <w:jc w:val="center"/>
        <w:rPr>
          <w:rFonts w:ascii="隶书" w:eastAsia="隶书"/>
          <w:sz w:val="56"/>
          <w:szCs w:val="56"/>
        </w:rPr>
      </w:pPr>
    </w:p>
    <w:p>
      <w:pPr>
        <w:pStyle w:val="16"/>
        <w:rPr>
          <w:rFonts w:hint="eastAsia" w:ascii="隶书" w:eastAsia="黑体"/>
          <w:color w:val="auto"/>
          <w:sz w:val="48"/>
          <w:szCs w:val="48"/>
          <w:highlight w:val="none"/>
          <w:lang w:eastAsia="zh-CN"/>
        </w:rPr>
      </w:pPr>
      <w:r>
        <w:rPr>
          <w:rFonts w:hint="eastAsia" w:ascii="黑体" w:hAnsi="黑体" w:eastAsia="黑体" w:cs="黑体"/>
          <w:szCs w:val="52"/>
          <w:highlight w:val="none"/>
          <w:lang w:val="en-US" w:eastAsia="zh-CN"/>
        </w:rPr>
        <w:t>SF6气压表校验装置研制</w:t>
      </w:r>
      <w:r>
        <w:rPr>
          <w:rFonts w:hint="eastAsia" w:ascii="黑体" w:hAnsi="黑体" w:eastAsia="黑体" w:cs="黑体"/>
          <w:color w:val="auto"/>
          <w:szCs w:val="52"/>
          <w:highlight w:val="none"/>
          <w:lang w:val="en-US" w:eastAsia="zh-CN"/>
        </w:rPr>
        <w:t>职创项目测试加工零星采购</w:t>
      </w:r>
    </w:p>
    <w:p>
      <w:pPr>
        <w:pStyle w:val="6"/>
        <w:jc w:val="center"/>
        <w:rPr>
          <w:rFonts w:ascii="隶书" w:eastAsia="隶书"/>
          <w:color w:val="auto"/>
          <w:sz w:val="48"/>
          <w:szCs w:val="48"/>
          <w:highlight w:val="none"/>
        </w:rPr>
      </w:pPr>
    </w:p>
    <w:p>
      <w:pPr>
        <w:pStyle w:val="6"/>
        <w:jc w:val="center"/>
        <w:rPr>
          <w:rFonts w:ascii="隶书" w:eastAsia="隶书"/>
          <w:color w:val="auto"/>
          <w:sz w:val="48"/>
          <w:szCs w:val="48"/>
          <w:highlight w:val="none"/>
        </w:rPr>
      </w:pPr>
    </w:p>
    <w:p>
      <w:pPr>
        <w:pStyle w:val="6"/>
        <w:jc w:val="both"/>
        <w:rPr>
          <w:rFonts w:ascii="隶书" w:eastAsia="隶书"/>
          <w:color w:val="auto"/>
          <w:sz w:val="48"/>
          <w:szCs w:val="48"/>
          <w:highlight w:val="none"/>
        </w:rPr>
      </w:pPr>
    </w:p>
    <w:p>
      <w:pPr>
        <w:pStyle w:val="6"/>
        <w:jc w:val="center"/>
        <w:rPr>
          <w:rFonts w:ascii="黑体" w:hAnsi="黑体" w:eastAsia="黑体" w:cs="黑体"/>
          <w:color w:val="auto"/>
          <w:sz w:val="52"/>
          <w:szCs w:val="52"/>
          <w:highlight w:val="none"/>
        </w:rPr>
      </w:pPr>
      <w:r>
        <w:rPr>
          <w:rFonts w:hint="eastAsia" w:ascii="黑体" w:hAnsi="黑体" w:eastAsia="黑体" w:cs="黑体"/>
          <w:color w:val="auto"/>
          <w:sz w:val="52"/>
          <w:szCs w:val="52"/>
          <w:highlight w:val="none"/>
        </w:rPr>
        <w:t>技术规范书</w:t>
      </w:r>
    </w:p>
    <w:p>
      <w:pPr>
        <w:spacing w:before="156" w:beforeLines="50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>
      <w:pPr>
        <w:spacing w:before="156" w:beforeLines="50"/>
        <w:jc w:val="center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>
      <w:pPr>
        <w:spacing w:before="156" w:beforeLines="50"/>
        <w:jc w:val="center"/>
        <w:rPr>
          <w:rFonts w:hint="default" w:ascii="楷体_GB2312" w:hAnsi="宋体" w:eastAsia="楷体_GB2312"/>
          <w:color w:val="auto"/>
          <w:sz w:val="32"/>
          <w:szCs w:val="32"/>
          <w:highlight w:val="none"/>
          <w:lang w:val="en-US" w:eastAsia="zh-CN"/>
        </w:rPr>
      </w:pPr>
      <w:bookmarkStart w:id="0" w:name="_Toc26266"/>
      <w:bookmarkStart w:id="1" w:name="_Toc6059"/>
      <w:bookmarkStart w:id="2" w:name="_Toc29868"/>
      <w:r>
        <w:rPr>
          <w:rFonts w:hint="eastAsia" w:ascii="楷体_GB2312" w:hAnsi="宋体" w:eastAsia="楷体_GB2312"/>
          <w:color w:val="auto"/>
          <w:sz w:val="32"/>
          <w:szCs w:val="32"/>
          <w:highlight w:val="none"/>
          <w:lang w:val="en-US" w:eastAsia="zh-CN"/>
        </w:rPr>
        <w:t>2024年8月29日</w:t>
      </w:r>
    </w:p>
    <w:p>
      <w:pPr>
        <w:spacing w:line="480" w:lineRule="auto"/>
        <w:jc w:val="center"/>
        <w:outlineLvl w:val="0"/>
        <w:rPr>
          <w:rFonts w:asciiTheme="minorEastAsia" w:hAnsiTheme="minorEastAsia" w:eastAsiaTheme="minorEastAsia" w:cstheme="minorEastAsia"/>
          <w:bCs/>
          <w:color w:val="auto"/>
          <w:sz w:val="44"/>
          <w:szCs w:val="36"/>
          <w:highlight w:val="none"/>
        </w:rPr>
      </w:pPr>
    </w:p>
    <w:p>
      <w:pPr>
        <w:rPr>
          <w:rFonts w:hint="eastAsia" w:asciiTheme="minorEastAsia" w:hAnsiTheme="minorEastAsia" w:eastAsiaTheme="minorEastAsia" w:cstheme="minorEastAsia"/>
          <w:bCs/>
          <w:color w:val="auto"/>
          <w:sz w:val="44"/>
          <w:szCs w:val="36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44"/>
          <w:szCs w:val="36"/>
          <w:highlight w:val="none"/>
        </w:rPr>
        <w:br w:type="page"/>
      </w:r>
    </w:p>
    <w:bookmarkEnd w:id="0"/>
    <w:bookmarkEnd w:id="1"/>
    <w:bookmarkEnd w:id="2"/>
    <w:p>
      <w:pPr>
        <w:pStyle w:val="20"/>
        <w:spacing w:before="312"/>
        <w:rPr>
          <w:color w:val="auto"/>
          <w:szCs w:val="22"/>
          <w:highlight w:val="none"/>
        </w:rPr>
      </w:pPr>
    </w:p>
    <w:p>
      <w:pPr>
        <w:pStyle w:val="20"/>
        <w:spacing w:before="312"/>
        <w:outlineLvl w:val="0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bookmarkStart w:id="3" w:name="_Toc16459"/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1  标的概况</w:t>
      </w:r>
      <w:bookmarkEnd w:id="3"/>
      <w:bookmarkStart w:id="4" w:name="_Toc17049"/>
      <w:bookmarkStart w:id="5" w:name="_Toc7301"/>
    </w:p>
    <w:p>
      <w:pPr>
        <w:adjustRightInd w:val="0"/>
        <w:snapToGrid w:val="0"/>
        <w:spacing w:line="360" w:lineRule="auto"/>
        <w:outlineLvl w:val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标的名称：</w:t>
      </w:r>
      <w:bookmarkEnd w:id="4"/>
      <w:bookmarkEnd w:id="5"/>
      <w:r>
        <w:rPr>
          <w:rFonts w:hint="eastAsia" w:ascii="黑体" w:hAnsi="黑体" w:eastAsia="黑体" w:cs="黑体"/>
          <w:szCs w:val="52"/>
          <w:highlight w:val="none"/>
          <w:lang w:val="en-US" w:eastAsia="zh-CN"/>
        </w:rPr>
        <w:t>SF6气压表校验装置研制</w:t>
      </w:r>
      <w:r>
        <w:rPr>
          <w:rFonts w:hint="eastAsia" w:ascii="黑体" w:hAnsi="黑体" w:eastAsia="黑体" w:cs="黑体"/>
          <w:color w:val="auto"/>
          <w:szCs w:val="52"/>
          <w:highlight w:val="none"/>
          <w:lang w:val="en-US" w:eastAsia="zh-CN"/>
        </w:rPr>
        <w:t>职创项目测试加工</w:t>
      </w:r>
    </w:p>
    <w:p>
      <w:pPr>
        <w:spacing w:line="360" w:lineRule="auto"/>
        <w:rPr>
          <w:rFonts w:hint="eastAsia" w:ascii="黑体" w:hAnsi="黑体" w:eastAsia="黑体" w:cs="黑体"/>
          <w:color w:val="auto"/>
          <w:szCs w:val="52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  <w:t>将</w:t>
      </w:r>
      <w:r>
        <w:rPr>
          <w:rFonts w:hint="eastAsia" w:hAnsi="宋体" w:eastAsia="宋体" w:cs="宋体"/>
          <w:sz w:val="21"/>
          <w:szCs w:val="21"/>
          <w:lang w:val="en-US" w:eastAsia="zh-CN"/>
        </w:rPr>
        <w:t>供电电源、</w:t>
      </w:r>
      <w:r>
        <w:rPr>
          <w:rFonts w:hint="eastAsia" w:ascii="Times New Roman" w:hAnsi="宋体" w:eastAsia="宋体" w:cs="宋体"/>
          <w:sz w:val="21"/>
          <w:szCs w:val="21"/>
          <w:lang w:val="en-US" w:eastAsia="zh-CN"/>
        </w:rPr>
        <w:t>压力传感器、质量流量传感器、HMIPLC、金属框体、快速接头、不锈钢管道进行加工组装以及测试，以及进行PLC系统功能开发，完成SF6气压表校验装置；具体实现以下功能：</w:t>
      </w:r>
      <w:r>
        <w:rPr>
          <w:rFonts w:hint="default" w:ascii="Times New Roman" w:hAnsi="宋体" w:eastAsia="宋体" w:cs="宋体"/>
          <w:sz w:val="21"/>
          <w:szCs w:val="21"/>
          <w:lang w:val="en-US" w:eastAsia="zh-CN"/>
        </w:rPr>
        <w:t>具备现场在线校验SF6压力表功能与充气量监测一体化的充气装置，通过高精度压力传感器对使用中的SF6压力表进行校验，通过电流、气体流量传感器监测气瓶补气量的多少，从而减少补气后再对气瓶称重环节。</w:t>
      </w:r>
      <w:r>
        <w:rPr>
          <w:rFonts w:hint="eastAsia" w:ascii="仿宋" w:hAnsi="仿宋" w:eastAsia="仿宋" w:cs="宋体"/>
          <w:color w:val="auto"/>
          <w:kern w:val="0"/>
          <w:sz w:val="24"/>
          <w:szCs w:val="24"/>
          <w:highlight w:val="none"/>
          <w:lang w:val="en-US" w:eastAsia="zh-CN" w:bidi="ar-SA"/>
        </w:rPr>
        <w:t>；</w:t>
      </w:r>
    </w:p>
    <w:p>
      <w:pPr>
        <w:spacing w:line="360" w:lineRule="auto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数量：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  <w:t>1套</w:t>
      </w:r>
    </w:p>
    <w:p>
      <w:pPr>
        <w:spacing w:line="360" w:lineRule="auto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测试化验地点：</w:t>
      </w:r>
      <w:r>
        <w:rPr>
          <w:rFonts w:hint="eastAsia" w:ascii="仿宋" w:hAnsi="仿宋" w:eastAsia="仿宋" w:cs="宋体"/>
          <w:color w:val="auto"/>
          <w:kern w:val="0"/>
          <w:sz w:val="24"/>
          <w:szCs w:val="24"/>
          <w:highlight w:val="none"/>
          <w:lang w:val="en-US" w:eastAsia="zh-CN" w:bidi="ar-SA"/>
        </w:rPr>
        <w:t>东莞市东宝路219号</w:t>
      </w:r>
    </w:p>
    <w:p>
      <w:pPr>
        <w:spacing w:line="360" w:lineRule="auto"/>
        <w:rPr>
          <w:rFonts w:hint="default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工期：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  <w:t>2024-10-30</w:t>
      </w:r>
    </w:p>
    <w:p>
      <w:pPr>
        <w:pStyle w:val="20"/>
        <w:spacing w:before="312"/>
        <w:outlineLvl w:val="0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bookmarkStart w:id="6" w:name="_Toc7671"/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2  测试/化验项目要求</w:t>
      </w:r>
      <w:bookmarkEnd w:id="6"/>
    </w:p>
    <w:p>
      <w:pPr>
        <w:spacing w:line="360" w:lineRule="auto"/>
        <w:outlineLvl w:val="1"/>
        <w:rPr>
          <w:rFonts w:ascii="黑体" w:hAnsi="黑体" w:eastAsia="黑体" w:cs="黑体"/>
          <w:bCs/>
          <w:color w:val="auto"/>
          <w:sz w:val="24"/>
          <w:highlight w:val="none"/>
        </w:rPr>
      </w:pPr>
      <w:bookmarkStart w:id="7" w:name="_Toc9074"/>
      <w:r>
        <w:rPr>
          <w:rFonts w:hint="eastAsia" w:ascii="黑体" w:hAnsi="黑体" w:eastAsia="黑体" w:cs="黑体"/>
          <w:bCs/>
          <w:color w:val="auto"/>
          <w:sz w:val="24"/>
          <w:highlight w:val="none"/>
        </w:rPr>
        <w:t>2.1 项目及标准</w:t>
      </w:r>
      <w:bookmarkEnd w:id="7"/>
    </w:p>
    <w:p>
      <w:pPr>
        <w:spacing w:line="360" w:lineRule="auto"/>
        <w:outlineLvl w:val="1"/>
        <w:rPr>
          <w:rFonts w:hint="default" w:ascii="黑体" w:hAnsi="黑体" w:eastAsia="黑体" w:cs="黑体"/>
          <w:bCs/>
          <w:color w:val="auto"/>
          <w:sz w:val="24"/>
          <w:highlight w:val="none"/>
          <w:lang w:val="en-US"/>
        </w:rPr>
      </w:pPr>
      <w:bookmarkStart w:id="8" w:name="_Toc30644"/>
      <w:r>
        <w:rPr>
          <w:rFonts w:hint="eastAsia" w:ascii="黑体" w:hAnsi="黑体" w:eastAsia="黑体" w:cs="黑体"/>
          <w:szCs w:val="52"/>
          <w:highlight w:val="none"/>
          <w:lang w:val="en-US" w:eastAsia="zh-CN"/>
        </w:rPr>
        <w:t>SF6气压表校验装置研制</w:t>
      </w:r>
      <w:r>
        <w:rPr>
          <w:rFonts w:hint="eastAsia" w:ascii="黑体" w:hAnsi="黑体" w:eastAsia="黑体" w:cs="黑体"/>
          <w:color w:val="auto"/>
          <w:szCs w:val="52"/>
          <w:highlight w:val="none"/>
          <w:lang w:val="en-US" w:eastAsia="zh-CN"/>
        </w:rPr>
        <w:t>出具第三方测试报告1份</w:t>
      </w:r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="黑体" w:hAnsi="黑体" w:eastAsia="黑体" w:cs="黑体"/>
          <w:bCs/>
          <w:color w:val="auto"/>
          <w:sz w:val="24"/>
          <w:highlight w:val="none"/>
        </w:rPr>
        <w:t>2.2 运输方式</w:t>
      </w:r>
      <w:bookmarkEnd w:id="8"/>
      <w:bookmarkStart w:id="9" w:name="_Toc6770"/>
      <w:bookmarkStart w:id="10" w:name="_Toc9636"/>
    </w:p>
    <w:bookmarkEnd w:id="9"/>
    <w:bookmarkEnd w:id="10"/>
    <w:p>
      <w:pPr>
        <w:rPr>
          <w:rFonts w:hint="default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无要求</w:t>
      </w:r>
    </w:p>
    <w:p>
      <w:pPr>
        <w:pStyle w:val="20"/>
        <w:spacing w:before="312"/>
        <w:outlineLvl w:val="0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bookmarkStart w:id="11" w:name="_Toc16082"/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3  技术服务的要求</w:t>
      </w:r>
      <w:bookmarkEnd w:id="11"/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bookmarkStart w:id="12" w:name="_Toc1749"/>
      <w:r>
        <w:rPr>
          <w:rFonts w:hint="eastAsia" w:ascii="黑体" w:hAnsi="黑体" w:eastAsia="黑体" w:cs="黑体"/>
          <w:bCs/>
          <w:color w:val="auto"/>
          <w:sz w:val="24"/>
          <w:highlight w:val="none"/>
        </w:rPr>
        <w:t>3.1 资质要求</w:t>
      </w:r>
      <w:bookmarkEnd w:id="12"/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bookmarkStart w:id="13" w:name="_Toc16023"/>
      <w:r>
        <w:rPr>
          <w:rFonts w:hint="eastAsia" w:ascii="黑体" w:hAnsi="黑体" w:eastAsia="黑体" w:cs="黑体"/>
          <w:bCs/>
          <w:color w:val="auto"/>
          <w:sz w:val="24"/>
          <w:highlight w:val="none"/>
        </w:rPr>
        <w:t>3.2 人员、设备及场地要求</w:t>
      </w:r>
      <w:bookmarkEnd w:id="13"/>
    </w:p>
    <w:p>
      <w:pPr>
        <w:spacing w:line="360" w:lineRule="auto"/>
        <w:outlineLvl w:val="1"/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</w:rPr>
      </w:pPr>
      <w:bookmarkStart w:id="14" w:name="_Toc9853"/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</w:rPr>
        <w:t>供应商须承诺至少安排一人专职与甲方对接跟进项目工作，并配合项目后期开展试点应用工作;</w:t>
      </w:r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="黑体" w:hAnsi="黑体" w:eastAsia="黑体" w:cs="黑体"/>
          <w:bCs/>
          <w:color w:val="auto"/>
          <w:sz w:val="24"/>
          <w:highlight w:val="none"/>
        </w:rPr>
        <w:t>3.3 转包及分包要求</w:t>
      </w:r>
      <w:bookmarkEnd w:id="14"/>
      <w:bookmarkStart w:id="15" w:name="_Toc27056"/>
      <w:bookmarkStart w:id="16" w:name="_Toc31460"/>
    </w:p>
    <w:p>
      <w:pPr>
        <w:rPr>
          <w:rFonts w:asciiTheme="minorEastAsia" w:hAnsiTheme="minorEastAsia" w:eastAsiaTheme="minorEastAsia" w:cstheme="minorEastAsia"/>
          <w:bCs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</w:rPr>
        <w:t>不准将业务进行转包或分包。</w:t>
      </w:r>
      <w:bookmarkEnd w:id="15"/>
      <w:bookmarkEnd w:id="16"/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bookmarkStart w:id="17" w:name="_Toc22454"/>
      <w:r>
        <w:rPr>
          <w:rFonts w:hint="eastAsia" w:ascii="黑体" w:hAnsi="黑体" w:eastAsia="黑体" w:cs="黑体"/>
          <w:bCs/>
          <w:color w:val="auto"/>
          <w:sz w:val="24"/>
          <w:highlight w:val="none"/>
        </w:rPr>
        <w:t>3.4 信息保密要求</w:t>
      </w:r>
      <w:bookmarkEnd w:id="17"/>
    </w:p>
    <w:p>
      <w:pPr>
        <w:rPr>
          <w:rFonts w:asciiTheme="minorEastAsia" w:hAnsiTheme="minorEastAsia" w:eastAsiaTheme="minorEastAsia" w:cstheme="minorEastAsia"/>
          <w:bCs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</w:rPr>
        <w:t>需签订保密协议</w:t>
      </w:r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bookmarkStart w:id="18" w:name="_Toc23607"/>
      <w:r>
        <w:rPr>
          <w:rFonts w:hint="eastAsia" w:ascii="黑体" w:hAnsi="黑体" w:eastAsia="黑体" w:cs="黑体"/>
          <w:bCs/>
          <w:color w:val="auto"/>
          <w:sz w:val="24"/>
          <w:highlight w:val="none"/>
        </w:rPr>
        <w:t>3.5 其他要求</w:t>
      </w:r>
      <w:bookmarkEnd w:id="18"/>
      <w:bookmarkStart w:id="19" w:name="_Toc30921"/>
      <w:bookmarkStart w:id="20" w:name="_Toc17063"/>
    </w:p>
    <w:bookmarkEnd w:id="19"/>
    <w:bookmarkEnd w:id="20"/>
    <w:p>
      <w:pP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</w:rPr>
        <w:t>供应商需配合完成项目相关技术资料编写，包含但不限于整套加工设计图纸、技术总结报告、项目验收资料等;</w:t>
      </w:r>
    </w:p>
    <w:p>
      <w:pP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2.供应商配合甲方在规定时间内至少完成1项发明专利技术交底书、并申请受理:</w:t>
      </w:r>
    </w:p>
    <w:p>
      <w:pPr>
        <w:rPr>
          <w:rFonts w:hint="default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3.供应商配合甲方在规定时间内至少完成1篇技术论文发表(录用通知)。</w:t>
      </w:r>
    </w:p>
    <w:p>
      <w:pPr>
        <w:pStyle w:val="20"/>
        <w:spacing w:before="312"/>
        <w:outlineLvl w:val="0"/>
        <w:rPr>
          <w:rFonts w:asciiTheme="minorEastAsia" w:hAnsiTheme="minorEastAsia" w:eastAsiaTheme="minorEastAsia" w:cstheme="minorEastAsia"/>
          <w:color w:val="auto"/>
          <w:highlight w:val="none"/>
        </w:rPr>
      </w:pPr>
      <w:bookmarkStart w:id="21" w:name="_Toc21612"/>
      <w:bookmarkStart w:id="22" w:name="_Toc266713650"/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4  时间进度要求</w:t>
      </w:r>
      <w:bookmarkEnd w:id="21"/>
      <w:bookmarkEnd w:id="22"/>
      <w:bookmarkStart w:id="23" w:name="_Toc11533"/>
      <w:bookmarkStart w:id="24" w:name="_Toc27224"/>
    </w:p>
    <w:bookmarkEnd w:id="23"/>
    <w:bookmarkEnd w:id="24"/>
    <w:p>
      <w:pPr>
        <w:rPr>
          <w:rFonts w:hint="default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工期：2</w:t>
      </w:r>
      <w:bookmarkStart w:id="30" w:name="_GoBack"/>
      <w:bookmarkEnd w:id="30"/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个月</w:t>
      </w:r>
    </w:p>
    <w:p>
      <w:pPr>
        <w:pStyle w:val="20"/>
        <w:spacing w:before="312"/>
        <w:outlineLvl w:val="0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bookmarkStart w:id="25" w:name="_Toc8651"/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5  交付与验收</w:t>
      </w:r>
      <w:bookmarkEnd w:id="25"/>
    </w:p>
    <w:p>
      <w:pPr>
        <w:spacing w:line="360" w:lineRule="auto"/>
        <w:outlineLvl w:val="1"/>
        <w:rPr>
          <w:rFonts w:hint="eastAsia" w:ascii="黑体" w:hAnsi="黑体" w:eastAsia="黑体" w:cs="黑体"/>
          <w:bCs/>
          <w:color w:val="auto"/>
          <w:sz w:val="24"/>
          <w:highlight w:val="none"/>
        </w:rPr>
      </w:pPr>
      <w:bookmarkStart w:id="26" w:name="_Toc3677"/>
      <w:r>
        <w:rPr>
          <w:rFonts w:hint="eastAsia" w:ascii="黑体" w:hAnsi="黑体" w:eastAsia="黑体" w:cs="黑体"/>
          <w:bCs/>
          <w:color w:val="auto"/>
          <w:sz w:val="24"/>
          <w:highlight w:val="none"/>
        </w:rPr>
        <w:t>5.1 交付形式及数量要求</w:t>
      </w:r>
      <w:bookmarkEnd w:id="26"/>
    </w:p>
    <w:p>
      <w:pPr>
        <w:spacing w:line="360" w:lineRule="auto"/>
        <w:outlineLvl w:val="1"/>
        <w:rPr>
          <w:rFonts w:hint="default" w:ascii="黑体" w:hAnsi="黑体" w:eastAsia="黑体" w:cs="黑体"/>
          <w:bCs/>
          <w:color w:val="auto"/>
          <w:sz w:val="24"/>
          <w:highlight w:val="none"/>
          <w:lang w:val="en-US"/>
        </w:rPr>
      </w:pPr>
      <w:r>
        <w:rPr>
          <w:rFonts w:hint="eastAsia" w:ascii="黑体" w:hAnsi="黑体" w:eastAsia="黑体" w:cs="黑体"/>
          <w:szCs w:val="52"/>
          <w:highlight w:val="none"/>
          <w:lang w:val="en-US" w:eastAsia="zh-CN"/>
        </w:rPr>
        <w:t>SF6气压表校验装置</w:t>
      </w:r>
      <w:r>
        <w:rPr>
          <w:rFonts w:hint="eastAsia" w:ascii="黑体" w:hAnsi="黑体" w:eastAsia="黑体" w:cs="黑体"/>
          <w:color w:val="auto"/>
          <w:szCs w:val="52"/>
          <w:highlight w:val="none"/>
          <w:lang w:val="en-US" w:eastAsia="zh-CN"/>
        </w:rPr>
        <w:t>1套</w:t>
      </w:r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bookmarkStart w:id="27" w:name="_Toc21560"/>
      <w:r>
        <w:rPr>
          <w:rFonts w:hint="eastAsia" w:ascii="黑体" w:hAnsi="黑体" w:eastAsia="黑体" w:cs="黑体"/>
          <w:bCs/>
          <w:color w:val="auto"/>
          <w:sz w:val="24"/>
          <w:highlight w:val="none"/>
        </w:rPr>
        <w:t>5.2 验收</w:t>
      </w:r>
      <w:bookmarkEnd w:id="27"/>
      <w:bookmarkStart w:id="28" w:name="_Toc23588"/>
      <w:bookmarkStart w:id="29" w:name="_Toc536"/>
    </w:p>
    <w:bookmarkEnd w:id="28"/>
    <w:bookmarkEnd w:id="29"/>
    <w:p>
      <w:pPr>
        <w:spacing w:line="360" w:lineRule="auto"/>
        <w:rPr>
          <w:rFonts w:hint="default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按技术规范书要求验收，如验收不通过导致甲方造成损失将由中标方承担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cMibgsAgAAV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FwyJu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2C290B"/>
    <w:multiLevelType w:val="singleLevel"/>
    <w:tmpl w:val="D12C290B"/>
    <w:lvl w:ilvl="0" w:tentative="0">
      <w:start w:val="1"/>
      <w:numFmt w:val="decimal"/>
      <w:pStyle w:val="15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3M2JkZTE0ZDg0ZGU3NmEyNjBkYTQyNjY4ZWIxMDcifQ=="/>
  </w:docVars>
  <w:rsids>
    <w:rsidRoot w:val="56112EA9"/>
    <w:rsid w:val="000C764F"/>
    <w:rsid w:val="00DE6232"/>
    <w:rsid w:val="01D35542"/>
    <w:rsid w:val="027C11FC"/>
    <w:rsid w:val="0295401A"/>
    <w:rsid w:val="0303051E"/>
    <w:rsid w:val="047B7BC4"/>
    <w:rsid w:val="04BF0B83"/>
    <w:rsid w:val="04FE4EAD"/>
    <w:rsid w:val="05312146"/>
    <w:rsid w:val="056D4E14"/>
    <w:rsid w:val="06F52B3B"/>
    <w:rsid w:val="09F078C2"/>
    <w:rsid w:val="0A9773AF"/>
    <w:rsid w:val="0B715FA9"/>
    <w:rsid w:val="0BD1033B"/>
    <w:rsid w:val="0BFD7548"/>
    <w:rsid w:val="0C8C1EEF"/>
    <w:rsid w:val="0D0C14ED"/>
    <w:rsid w:val="0D6039E5"/>
    <w:rsid w:val="0DDE0C6E"/>
    <w:rsid w:val="0FBF064C"/>
    <w:rsid w:val="10011F66"/>
    <w:rsid w:val="10972384"/>
    <w:rsid w:val="11402C86"/>
    <w:rsid w:val="13566E57"/>
    <w:rsid w:val="13A42991"/>
    <w:rsid w:val="14421D4B"/>
    <w:rsid w:val="147F0C66"/>
    <w:rsid w:val="1558413F"/>
    <w:rsid w:val="155E4129"/>
    <w:rsid w:val="16CE51A3"/>
    <w:rsid w:val="16F77748"/>
    <w:rsid w:val="1A316175"/>
    <w:rsid w:val="1A830B36"/>
    <w:rsid w:val="1ADD4B0E"/>
    <w:rsid w:val="1B843116"/>
    <w:rsid w:val="1BF021DF"/>
    <w:rsid w:val="1BFA3C82"/>
    <w:rsid w:val="1C672B50"/>
    <w:rsid w:val="1D8D437A"/>
    <w:rsid w:val="1DA01B05"/>
    <w:rsid w:val="1FBD1E67"/>
    <w:rsid w:val="1FD9003C"/>
    <w:rsid w:val="21CA3C88"/>
    <w:rsid w:val="234277A0"/>
    <w:rsid w:val="234B187D"/>
    <w:rsid w:val="23A116F1"/>
    <w:rsid w:val="24C9435F"/>
    <w:rsid w:val="24D65C0C"/>
    <w:rsid w:val="24EA7C79"/>
    <w:rsid w:val="250F564D"/>
    <w:rsid w:val="252B1EB7"/>
    <w:rsid w:val="256870E0"/>
    <w:rsid w:val="25E42BF8"/>
    <w:rsid w:val="265249D6"/>
    <w:rsid w:val="275D5D26"/>
    <w:rsid w:val="275F7D29"/>
    <w:rsid w:val="27F81146"/>
    <w:rsid w:val="28BE48E2"/>
    <w:rsid w:val="29F81415"/>
    <w:rsid w:val="2A441357"/>
    <w:rsid w:val="2B6721B0"/>
    <w:rsid w:val="2C191EA0"/>
    <w:rsid w:val="2C4618E3"/>
    <w:rsid w:val="2CA3124A"/>
    <w:rsid w:val="2D7977AC"/>
    <w:rsid w:val="2D8F39A1"/>
    <w:rsid w:val="2DAC4578"/>
    <w:rsid w:val="2DB36870"/>
    <w:rsid w:val="2DEA6350"/>
    <w:rsid w:val="2E260032"/>
    <w:rsid w:val="2E2E5B4F"/>
    <w:rsid w:val="2E380045"/>
    <w:rsid w:val="2EFA1D2E"/>
    <w:rsid w:val="2F2E6BFF"/>
    <w:rsid w:val="2FC241F2"/>
    <w:rsid w:val="30045C2F"/>
    <w:rsid w:val="30DF2B6C"/>
    <w:rsid w:val="313E1E7A"/>
    <w:rsid w:val="32653DEB"/>
    <w:rsid w:val="32887BF4"/>
    <w:rsid w:val="330E4E8B"/>
    <w:rsid w:val="33161353"/>
    <w:rsid w:val="33471388"/>
    <w:rsid w:val="334E3954"/>
    <w:rsid w:val="34255CC8"/>
    <w:rsid w:val="347E10AE"/>
    <w:rsid w:val="35791EC8"/>
    <w:rsid w:val="358A1AD4"/>
    <w:rsid w:val="358B06A1"/>
    <w:rsid w:val="35DF4389"/>
    <w:rsid w:val="35E41FA9"/>
    <w:rsid w:val="360B40D3"/>
    <w:rsid w:val="3661221B"/>
    <w:rsid w:val="37A433E0"/>
    <w:rsid w:val="37AE0477"/>
    <w:rsid w:val="38004B22"/>
    <w:rsid w:val="38D05FCB"/>
    <w:rsid w:val="390A3500"/>
    <w:rsid w:val="39140E3A"/>
    <w:rsid w:val="39855B4F"/>
    <w:rsid w:val="398C2739"/>
    <w:rsid w:val="39E974DB"/>
    <w:rsid w:val="3C4C5078"/>
    <w:rsid w:val="3DDE3626"/>
    <w:rsid w:val="3EA348A3"/>
    <w:rsid w:val="401C5798"/>
    <w:rsid w:val="40794199"/>
    <w:rsid w:val="408A19B3"/>
    <w:rsid w:val="40F0643B"/>
    <w:rsid w:val="410217F6"/>
    <w:rsid w:val="419C13AE"/>
    <w:rsid w:val="41A73FEA"/>
    <w:rsid w:val="41B40E40"/>
    <w:rsid w:val="42A30678"/>
    <w:rsid w:val="42A37264"/>
    <w:rsid w:val="42DF02D2"/>
    <w:rsid w:val="44C917FC"/>
    <w:rsid w:val="45AD67D6"/>
    <w:rsid w:val="45CF1EF0"/>
    <w:rsid w:val="47097B32"/>
    <w:rsid w:val="47194E6E"/>
    <w:rsid w:val="47382C50"/>
    <w:rsid w:val="48205CF0"/>
    <w:rsid w:val="48AE5D4E"/>
    <w:rsid w:val="49F22A9F"/>
    <w:rsid w:val="4A4B4604"/>
    <w:rsid w:val="4A566A25"/>
    <w:rsid w:val="4A7A1254"/>
    <w:rsid w:val="4A9A3B4D"/>
    <w:rsid w:val="4B18258B"/>
    <w:rsid w:val="4C3F54C3"/>
    <w:rsid w:val="4CE147A6"/>
    <w:rsid w:val="4CF766DE"/>
    <w:rsid w:val="4DBF3FC8"/>
    <w:rsid w:val="4DDB7BC5"/>
    <w:rsid w:val="4E287A4C"/>
    <w:rsid w:val="4EDE6AF3"/>
    <w:rsid w:val="50692104"/>
    <w:rsid w:val="50C4507C"/>
    <w:rsid w:val="50E83C80"/>
    <w:rsid w:val="50E84976"/>
    <w:rsid w:val="52D27864"/>
    <w:rsid w:val="53CD308F"/>
    <w:rsid w:val="54C17E31"/>
    <w:rsid w:val="54E75E4E"/>
    <w:rsid w:val="54EC5F00"/>
    <w:rsid w:val="55BB08CE"/>
    <w:rsid w:val="55F5265A"/>
    <w:rsid w:val="56112EA9"/>
    <w:rsid w:val="56634F6B"/>
    <w:rsid w:val="56FE5647"/>
    <w:rsid w:val="572004CE"/>
    <w:rsid w:val="57311B54"/>
    <w:rsid w:val="576E3E36"/>
    <w:rsid w:val="57D62605"/>
    <w:rsid w:val="59BD7DED"/>
    <w:rsid w:val="59E4535B"/>
    <w:rsid w:val="5AE252E1"/>
    <w:rsid w:val="5BAC42C7"/>
    <w:rsid w:val="5C3E3B8E"/>
    <w:rsid w:val="5CBC1717"/>
    <w:rsid w:val="5E0B23A4"/>
    <w:rsid w:val="5E7F2B1D"/>
    <w:rsid w:val="5E9479C8"/>
    <w:rsid w:val="5EFF55AD"/>
    <w:rsid w:val="60446F8A"/>
    <w:rsid w:val="60A8111F"/>
    <w:rsid w:val="60B802FB"/>
    <w:rsid w:val="61633BDA"/>
    <w:rsid w:val="61B23647"/>
    <w:rsid w:val="61E33B45"/>
    <w:rsid w:val="62542CC4"/>
    <w:rsid w:val="630015B9"/>
    <w:rsid w:val="63FE5340"/>
    <w:rsid w:val="640B1F26"/>
    <w:rsid w:val="64132F2C"/>
    <w:rsid w:val="650664D0"/>
    <w:rsid w:val="65355760"/>
    <w:rsid w:val="666908C2"/>
    <w:rsid w:val="673113AB"/>
    <w:rsid w:val="67593ED7"/>
    <w:rsid w:val="68AC152E"/>
    <w:rsid w:val="695323C7"/>
    <w:rsid w:val="69EA7D86"/>
    <w:rsid w:val="6A2D0FBD"/>
    <w:rsid w:val="6B023115"/>
    <w:rsid w:val="6C445DAE"/>
    <w:rsid w:val="6D2B4CBE"/>
    <w:rsid w:val="6D401C96"/>
    <w:rsid w:val="6D4A0BE9"/>
    <w:rsid w:val="6E06100F"/>
    <w:rsid w:val="6E5B1FD7"/>
    <w:rsid w:val="708F1B04"/>
    <w:rsid w:val="70E237AF"/>
    <w:rsid w:val="710C1A65"/>
    <w:rsid w:val="71497715"/>
    <w:rsid w:val="714A2B6E"/>
    <w:rsid w:val="71C94BB9"/>
    <w:rsid w:val="7377313A"/>
    <w:rsid w:val="73FA6E86"/>
    <w:rsid w:val="744F7DDF"/>
    <w:rsid w:val="74572EAA"/>
    <w:rsid w:val="74E106B7"/>
    <w:rsid w:val="75700D85"/>
    <w:rsid w:val="75715F41"/>
    <w:rsid w:val="76497732"/>
    <w:rsid w:val="76890F73"/>
    <w:rsid w:val="770F4753"/>
    <w:rsid w:val="78376D79"/>
    <w:rsid w:val="790428F9"/>
    <w:rsid w:val="7A126AE1"/>
    <w:rsid w:val="7ABE2378"/>
    <w:rsid w:val="7AFB3926"/>
    <w:rsid w:val="7BFC3589"/>
    <w:rsid w:val="7C185614"/>
    <w:rsid w:val="7C257594"/>
    <w:rsid w:val="7CD02D3B"/>
    <w:rsid w:val="7E352FE9"/>
    <w:rsid w:val="7E6214B0"/>
    <w:rsid w:val="7EB61EE5"/>
    <w:rsid w:val="7FCE0606"/>
    <w:rsid w:val="7FF1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tabs>
        <w:tab w:val="left" w:pos="720"/>
      </w:tabs>
      <w:adjustRightInd w:val="0"/>
      <w:spacing w:line="320" w:lineRule="atLeast"/>
      <w:ind w:left="720" w:hanging="720"/>
      <w:outlineLvl w:val="1"/>
    </w:pPr>
    <w:rPr>
      <w:rFonts w:ascii="黑体" w:hAnsi="Arial" w:eastAsia="黑体" w:cs="宋体"/>
      <w:kern w:val="0"/>
      <w:sz w:val="28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toc 1"/>
    <w:basedOn w:val="1"/>
    <w:next w:val="1"/>
    <w:qFormat/>
    <w:uiPriority w:val="0"/>
  </w:style>
  <w:style w:type="paragraph" w:styleId="10">
    <w:name w:val="toc 2"/>
    <w:basedOn w:val="1"/>
    <w:next w:val="1"/>
    <w:qFormat/>
    <w:uiPriority w:val="0"/>
    <w:pPr>
      <w:tabs>
        <w:tab w:val="right" w:leader="dot" w:pos="8302"/>
      </w:tabs>
      <w:snapToGrid w:val="0"/>
      <w:spacing w:line="360" w:lineRule="auto"/>
      <w:ind w:left="525" w:hanging="4"/>
    </w:pPr>
    <w:rPr>
      <w:sz w:val="24"/>
      <w:szCs w:val="20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Hyperlink"/>
    <w:basedOn w:val="13"/>
    <w:qFormat/>
    <w:uiPriority w:val="0"/>
  </w:style>
  <w:style w:type="paragraph" w:customStyle="1" w:styleId="15">
    <w:name w:val="标题1"/>
    <w:basedOn w:val="3"/>
    <w:next w:val="1"/>
    <w:qFormat/>
    <w:uiPriority w:val="0"/>
    <w:pPr>
      <w:numPr>
        <w:ilvl w:val="0"/>
        <w:numId w:val="1"/>
      </w:numPr>
    </w:pPr>
    <w:rPr>
      <w:rFonts w:hAnsi="黑体"/>
    </w:rPr>
  </w:style>
  <w:style w:type="paragraph" w:customStyle="1" w:styleId="16">
    <w:name w:val="首页项目名称"/>
    <w:link w:val="18"/>
    <w:qFormat/>
    <w:uiPriority w:val="0"/>
    <w:pPr>
      <w:jc w:val="center"/>
    </w:pPr>
    <w:rPr>
      <w:rFonts w:ascii="Times New Roman" w:hAnsi="Times New Roman" w:eastAsia="隶书" w:cs="Times New Roman"/>
      <w:sz w:val="52"/>
      <w:lang w:val="en-US" w:eastAsia="zh-CN" w:bidi="ar-SA"/>
    </w:rPr>
  </w:style>
  <w:style w:type="paragraph" w:customStyle="1" w:styleId="17">
    <w:name w:val="首页日期"/>
    <w:basedOn w:val="1"/>
    <w:link w:val="19"/>
    <w:qFormat/>
    <w:uiPriority w:val="0"/>
    <w:pPr>
      <w:jc w:val="center"/>
    </w:pPr>
    <w:rPr>
      <w:rFonts w:eastAsia="楷体"/>
      <w:sz w:val="32"/>
    </w:rPr>
  </w:style>
  <w:style w:type="character" w:customStyle="1" w:styleId="18">
    <w:name w:val="首页项目名称 Char"/>
    <w:link w:val="16"/>
    <w:qFormat/>
    <w:uiPriority w:val="0"/>
    <w:rPr>
      <w:rFonts w:ascii="Times New Roman" w:hAnsi="Times New Roman" w:eastAsia="隶书"/>
      <w:sz w:val="52"/>
    </w:rPr>
  </w:style>
  <w:style w:type="character" w:customStyle="1" w:styleId="19">
    <w:name w:val="首页日期 Char"/>
    <w:link w:val="17"/>
    <w:qFormat/>
    <w:uiPriority w:val="0"/>
    <w:rPr>
      <w:rFonts w:ascii="Times New Roman" w:hAnsi="Times New Roman" w:eastAsia="楷体"/>
      <w:sz w:val="32"/>
    </w:rPr>
  </w:style>
  <w:style w:type="paragraph" w:customStyle="1" w:styleId="20">
    <w:name w:val="一标题"/>
    <w:link w:val="21"/>
    <w:qFormat/>
    <w:uiPriority w:val="0"/>
    <w:pPr>
      <w:spacing w:before="100" w:beforeLines="100" w:line="360" w:lineRule="auto"/>
    </w:pPr>
    <w:rPr>
      <w:rFonts w:ascii="宋体" w:hAnsi="宋体" w:eastAsia="宋体" w:cs="Times New Roman"/>
      <w:b/>
      <w:sz w:val="24"/>
      <w:lang w:val="en-US" w:eastAsia="zh-CN" w:bidi="ar-SA"/>
    </w:rPr>
  </w:style>
  <w:style w:type="character" w:customStyle="1" w:styleId="21">
    <w:name w:val="一标题 Char"/>
    <w:link w:val="20"/>
    <w:qFormat/>
    <w:uiPriority w:val="0"/>
    <w:rPr>
      <w:rFonts w:ascii="宋体" w:hAnsi="宋体" w:eastAsia="宋体" w:cs="Times New Roman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635</Words>
  <Characters>661</Characters>
  <Lines>12</Lines>
  <Paragraphs>7</Paragraphs>
  <TotalTime>3</TotalTime>
  <ScaleCrop>false</ScaleCrop>
  <LinksUpToDate>false</LinksUpToDate>
  <CharactersWithSpaces>680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2020-01-03T01:39:00Z</dcterms:created>
  <dc:creator>shenpeiyi</dc:creator>
  <cp:lastModifiedBy>任燕</cp:lastModifiedBy>
  <dcterms:modified xsi:type="dcterms:W3CDTF">2024-09-01T14:03:29Z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77DAB0809AD24D8F8E24892B840FCC1C</vt:lpwstr>
  </property>
</Properties>
</file>