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624" w:beforeLines="200"/>
        <w:jc w:val="center"/>
        <w:rPr>
          <w:rFonts w:hint="eastAsia" w:ascii="宋体" w:hAnsi="宋体" w:eastAsia="宋体" w:cs="宋体"/>
          <w:b/>
          <w:bCs/>
          <w:sz w:val="48"/>
          <w:szCs w:val="48"/>
        </w:rPr>
      </w:pPr>
      <w:r>
        <w:rPr>
          <w:rFonts w:hint="eastAsia" w:hAnsi="宋体" w:cs="宋体"/>
          <w:b/>
          <w:bCs/>
          <w:sz w:val="48"/>
          <w:szCs w:val="48"/>
          <w:lang w:val="en-US" w:eastAsia="zh-CN"/>
        </w:rPr>
        <w:t>贺州</w:t>
      </w:r>
      <w:r>
        <w:rPr>
          <w:rFonts w:hint="eastAsia" w:ascii="宋体" w:hAnsi="宋体" w:eastAsia="宋体" w:cs="宋体"/>
          <w:b/>
          <w:bCs/>
          <w:sz w:val="48"/>
          <w:szCs w:val="48"/>
          <w:lang w:val="en-US" w:eastAsia="zh-CN"/>
        </w:rPr>
        <w:t>供电局</w:t>
      </w:r>
      <w:r>
        <w:rPr>
          <w:rFonts w:hint="eastAsia" w:hAnsi="宋体" w:cs="宋体"/>
          <w:b/>
          <w:bCs/>
          <w:sz w:val="48"/>
          <w:szCs w:val="48"/>
          <w:lang w:val="en-US" w:eastAsia="zh-CN"/>
        </w:rPr>
        <w:t>中间继电器</w:t>
      </w:r>
      <w:r>
        <w:rPr>
          <w:rFonts w:hint="eastAsia" w:ascii="宋体" w:hAnsi="宋体" w:eastAsia="宋体" w:cs="宋体"/>
          <w:b/>
          <w:bCs/>
          <w:sz w:val="48"/>
          <w:szCs w:val="48"/>
        </w:rPr>
        <w:t>技术规范书</w:t>
      </w:r>
    </w:p>
    <w:p>
      <w:pPr>
        <w:pStyle w:val="2"/>
        <w:keepNext w:val="0"/>
        <w:keepLines w:val="0"/>
        <w:pageBreakBefore w:val="0"/>
        <w:widowControl w:val="0"/>
        <w:kinsoku/>
        <w:wordWrap/>
        <w:overflowPunct/>
        <w:topLinePunct w:val="0"/>
        <w:autoSpaceDE/>
        <w:autoSpaceDN/>
        <w:bidi w:val="0"/>
        <w:adjustRightInd/>
        <w:snapToGrid/>
        <w:spacing w:before="625" w:beforeLines="200" w:after="0"/>
        <w:jc w:val="center"/>
        <w:textAlignment w:val="auto"/>
        <w:rPr>
          <w:rFonts w:hint="default" w:eastAsia="宋体"/>
          <w:lang w:val="en-US" w:eastAsia="zh-CN"/>
        </w:rPr>
      </w:pPr>
    </w:p>
    <w:p>
      <w:pPr>
        <w:pStyle w:val="2"/>
        <w:rPr>
          <w:rFonts w:hint="eastAsia"/>
        </w:rPr>
      </w:pPr>
    </w:p>
    <w:p>
      <w:pPr>
        <w:pStyle w:val="2"/>
      </w:pPr>
    </w:p>
    <w:p/>
    <w:p>
      <w:pPr>
        <w:pStyle w:val="2"/>
      </w:pPr>
    </w:p>
    <w:p/>
    <w:p>
      <w:pPr>
        <w:pStyle w:val="2"/>
      </w:pPr>
    </w:p>
    <w:p/>
    <w:p>
      <w:pPr>
        <w:pStyle w:val="2"/>
      </w:pPr>
    </w:p>
    <w:p/>
    <w:p>
      <w:pPr>
        <w:pStyle w:val="2"/>
      </w:pPr>
    </w:p>
    <w:p>
      <w:pPr>
        <w:spacing w:before="624" w:beforeLines="200"/>
        <w:jc w:val="center"/>
        <w:rPr>
          <w:rFonts w:hint="eastAsia" w:ascii="宋体" w:hAnsi="宋体" w:eastAsia="宋体" w:cs="Times New Roman"/>
          <w:b/>
          <w:bCs/>
          <w:color w:val="000000"/>
          <w:sz w:val="28"/>
          <w:szCs w:val="28"/>
          <w:lang w:eastAsia="zh-CN"/>
        </w:rPr>
      </w:pPr>
    </w:p>
    <w:p>
      <w:pPr>
        <w:spacing w:before="624" w:beforeLines="200"/>
        <w:jc w:val="center"/>
        <w:rPr>
          <w:rFonts w:hint="eastAsia" w:ascii="宋体" w:hAnsi="宋体" w:eastAsia="宋体" w:cs="Times New Roman"/>
          <w:b/>
          <w:bCs/>
          <w:color w:val="000000"/>
          <w:sz w:val="28"/>
          <w:szCs w:val="28"/>
          <w:lang w:eastAsia="zh-CN"/>
        </w:rPr>
      </w:pPr>
    </w:p>
    <w:p>
      <w:pPr>
        <w:spacing w:before="624" w:beforeLines="200"/>
        <w:jc w:val="center"/>
        <w:rPr>
          <w:rFonts w:hint="eastAsia" w:ascii="宋体" w:hAnsi="宋体" w:eastAsia="宋体" w:cs="Times New Roman"/>
          <w:b/>
          <w:bCs/>
          <w:color w:val="000000"/>
          <w:sz w:val="28"/>
          <w:szCs w:val="28"/>
          <w:lang w:eastAsia="zh-CN"/>
        </w:rPr>
      </w:pPr>
    </w:p>
    <w:p>
      <w:pPr>
        <w:spacing w:before="624" w:beforeLines="200"/>
        <w:jc w:val="center"/>
        <w:rPr>
          <w:rFonts w:hint="eastAsia" w:ascii="宋体" w:hAnsi="宋体" w:eastAsia="宋体" w:cs="Times New Roman"/>
          <w:b/>
          <w:bCs/>
          <w:color w:val="000000"/>
          <w:sz w:val="28"/>
          <w:szCs w:val="28"/>
          <w:lang w:eastAsia="zh-CN"/>
        </w:rPr>
      </w:pPr>
      <w:r>
        <w:rPr>
          <w:rFonts w:hint="eastAsia" w:ascii="宋体" w:hAnsi="宋体" w:eastAsia="宋体" w:cs="Times New Roman"/>
          <w:b/>
          <w:bCs/>
          <w:color w:val="000000"/>
          <w:sz w:val="28"/>
          <w:szCs w:val="28"/>
          <w:lang w:eastAsia="zh-CN"/>
        </w:rPr>
        <w:t>广西电网公司</w:t>
      </w:r>
      <w:r>
        <w:rPr>
          <w:rFonts w:hint="eastAsia" w:hAnsi="宋体" w:cs="Times New Roman"/>
          <w:b/>
          <w:bCs/>
          <w:color w:val="000000"/>
          <w:sz w:val="28"/>
          <w:szCs w:val="28"/>
          <w:lang w:eastAsia="zh-CN"/>
        </w:rPr>
        <w:t>贺州</w:t>
      </w:r>
      <w:r>
        <w:rPr>
          <w:rFonts w:hint="eastAsia" w:ascii="宋体" w:hAnsi="宋体" w:eastAsia="宋体" w:cs="Times New Roman"/>
          <w:b/>
          <w:bCs/>
          <w:color w:val="000000"/>
          <w:sz w:val="28"/>
          <w:szCs w:val="28"/>
          <w:lang w:eastAsia="zh-CN"/>
        </w:rPr>
        <w:t>供电局</w:t>
      </w:r>
    </w:p>
    <w:p>
      <w:pPr>
        <w:spacing w:before="624" w:beforeLines="200"/>
        <w:jc w:val="center"/>
        <w:rPr>
          <w:rFonts w:hint="eastAsia" w:ascii="宋体" w:hAnsi="宋体" w:eastAsia="宋体" w:cs="Times New Roman"/>
          <w:b/>
          <w:bCs/>
          <w:color w:val="000000"/>
          <w:sz w:val="28"/>
          <w:szCs w:val="28"/>
          <w:lang w:eastAsia="zh-CN"/>
        </w:rPr>
      </w:pPr>
      <w:r>
        <w:rPr>
          <w:rFonts w:hint="eastAsia" w:ascii="宋体" w:hAnsi="宋体" w:eastAsia="宋体" w:cs="Times New Roman"/>
          <w:b/>
          <w:bCs/>
          <w:color w:val="000000"/>
          <w:sz w:val="28"/>
          <w:szCs w:val="28"/>
          <w:lang w:eastAsia="zh-CN"/>
        </w:rPr>
        <w:t>202</w:t>
      </w:r>
      <w:r>
        <w:rPr>
          <w:rFonts w:hint="eastAsia" w:hAnsi="宋体" w:cs="Times New Roman"/>
          <w:b/>
          <w:bCs/>
          <w:color w:val="000000"/>
          <w:sz w:val="28"/>
          <w:szCs w:val="28"/>
          <w:lang w:val="en-US" w:eastAsia="zh-CN"/>
        </w:rPr>
        <w:t>4</w:t>
      </w:r>
      <w:r>
        <w:rPr>
          <w:rFonts w:hint="eastAsia" w:ascii="宋体" w:hAnsi="宋体" w:eastAsia="宋体" w:cs="Times New Roman"/>
          <w:b/>
          <w:bCs/>
          <w:color w:val="000000"/>
          <w:sz w:val="28"/>
          <w:szCs w:val="28"/>
          <w:lang w:eastAsia="zh-CN"/>
        </w:rPr>
        <w:t>年</w:t>
      </w:r>
      <w:r>
        <w:rPr>
          <w:rFonts w:hint="eastAsia" w:hAnsi="宋体" w:cs="Times New Roman"/>
          <w:b/>
          <w:bCs/>
          <w:color w:val="000000"/>
          <w:sz w:val="28"/>
          <w:szCs w:val="28"/>
          <w:lang w:val="en-US" w:eastAsia="zh-CN"/>
        </w:rPr>
        <w:t>0</w:t>
      </w:r>
      <w:r>
        <w:rPr>
          <w:rFonts w:hint="default" w:hAnsi="宋体" w:cs="Times New Roman"/>
          <w:b/>
          <w:bCs/>
          <w:color w:val="000000"/>
          <w:sz w:val="28"/>
          <w:szCs w:val="28"/>
          <w:lang w:val="en-US" w:eastAsia="zh-CN"/>
        </w:rPr>
        <w:t>5</w:t>
      </w:r>
      <w:r>
        <w:rPr>
          <w:rFonts w:hint="eastAsia" w:ascii="宋体" w:hAnsi="宋体" w:eastAsia="宋体" w:cs="Times New Roman"/>
          <w:b/>
          <w:bCs/>
          <w:color w:val="000000"/>
          <w:sz w:val="28"/>
          <w:szCs w:val="28"/>
          <w:lang w:eastAsia="zh-CN"/>
        </w:rPr>
        <w:t>月</w:t>
      </w:r>
    </w:p>
    <w:p>
      <w:pPr>
        <w:pStyle w:val="2"/>
        <w:rPr>
          <w:rFonts w:hint="eastAsia" w:hAnsi="宋体" w:cs="宋体"/>
          <w:sz w:val="30"/>
          <w:szCs w:val="30"/>
        </w:rPr>
      </w:pPr>
    </w:p>
    <w:sdt>
      <w:sdtPr>
        <w:rPr>
          <w:rFonts w:ascii="宋体" w:hAnsi="宋体" w:eastAsia="宋体" w:cs="Times New Roman"/>
          <w:kern w:val="2"/>
          <w:sz w:val="30"/>
          <w:szCs w:val="30"/>
          <w:lang w:val="en-US" w:eastAsia="zh-CN" w:bidi="ar-SA"/>
        </w:rPr>
        <w:id w:val="147471583"/>
        <w15:color w:val="DBDBDB"/>
        <w:docPartObj>
          <w:docPartGallery w:val="Table of Contents"/>
          <w:docPartUnique/>
        </w:docPartObj>
      </w:sdtPr>
      <w:sdtEndPr>
        <w:rPr>
          <w:rFonts w:hint="eastAsia" w:ascii="宋体" w:hAnsi="Times New Roman" w:eastAsia="宋体" w:cs="Times New Roman"/>
          <w:b/>
          <w:kern w:val="2"/>
          <w:sz w:val="24"/>
          <w:szCs w:val="24"/>
          <w:lang w:val="en-US" w:eastAsia="zh-CN" w:bidi="ar-SA"/>
        </w:rPr>
      </w:sdtEndPr>
      <w:sdtContent>
        <w:p>
          <w:pPr>
            <w:spacing w:before="0" w:beforeLines="0" w:after="0" w:afterLines="0" w:line="240" w:lineRule="auto"/>
            <w:ind w:left="0" w:leftChars="0" w:right="0" w:rightChars="0" w:firstLine="0" w:firstLineChars="0"/>
            <w:jc w:val="center"/>
            <w:rPr>
              <w:sz w:val="30"/>
              <w:szCs w:val="30"/>
            </w:rPr>
          </w:pPr>
          <w:r>
            <w:rPr>
              <w:rFonts w:ascii="宋体" w:hAnsi="宋体" w:eastAsia="宋体"/>
              <w:sz w:val="30"/>
              <w:szCs w:val="30"/>
            </w:rPr>
            <w:t>目录</w:t>
          </w:r>
        </w:p>
        <w:p>
          <w:pPr>
            <w:pStyle w:val="8"/>
            <w:tabs>
              <w:tab w:val="right" w:leader="dot" w:pos="8306"/>
            </w:tabs>
          </w:pPr>
          <w:r>
            <w:rPr>
              <w:rFonts w:hint="eastAsia"/>
            </w:rPr>
            <w:fldChar w:fldCharType="begin"/>
          </w:r>
          <w:r>
            <w:rPr>
              <w:rFonts w:hint="eastAsia"/>
            </w:rPr>
            <w:instrText xml:space="preserve">TOC \o "1-2" \h \u </w:instrText>
          </w:r>
          <w:r>
            <w:rPr>
              <w:rFonts w:hint="eastAsia"/>
            </w:rPr>
            <w:fldChar w:fldCharType="separate"/>
          </w:r>
          <w:r>
            <w:rPr>
              <w:rFonts w:hint="eastAsia"/>
            </w:rPr>
            <w:fldChar w:fldCharType="begin"/>
          </w:r>
          <w:r>
            <w:rPr>
              <w:rFonts w:hint="eastAsia"/>
            </w:rPr>
            <w:instrText xml:space="preserve"> HYPERLINK \l _Toc15367 </w:instrText>
          </w:r>
          <w:r>
            <w:rPr>
              <w:rFonts w:hint="eastAsia"/>
            </w:rPr>
            <w:fldChar w:fldCharType="separate"/>
          </w:r>
          <w:r>
            <w:rPr>
              <w:rFonts w:hint="eastAsia" w:cs="宋体"/>
            </w:rPr>
            <w:t>1. 总则</w:t>
          </w:r>
          <w:r>
            <w:tab/>
          </w:r>
          <w:r>
            <w:fldChar w:fldCharType="begin"/>
          </w:r>
          <w:r>
            <w:instrText xml:space="preserve"> PAGEREF _Toc15367 \h </w:instrText>
          </w:r>
          <w:r>
            <w:fldChar w:fldCharType="separate"/>
          </w:r>
          <w:r>
            <w:t>2</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_Toc19110 </w:instrText>
          </w:r>
          <w:r>
            <w:rPr>
              <w:rFonts w:hint="eastAsia"/>
            </w:rPr>
            <w:fldChar w:fldCharType="separate"/>
          </w:r>
          <w:r>
            <w:rPr>
              <w:rFonts w:hint="eastAsia" w:cs="宋体"/>
            </w:rPr>
            <w:t>2</w:t>
          </w:r>
          <w:r>
            <w:rPr>
              <w:rFonts w:hint="eastAsia" w:cs="宋体"/>
              <w:lang w:eastAsia="zh-CN"/>
            </w:rPr>
            <w:t>.</w:t>
          </w:r>
          <w:r>
            <w:rPr>
              <w:rFonts w:hint="eastAsia" w:cs="宋体"/>
              <w:lang w:val="en-US" w:eastAsia="zh-CN"/>
            </w:rPr>
            <w:t xml:space="preserve"> </w:t>
          </w:r>
          <w:r>
            <w:rPr>
              <w:rFonts w:hint="eastAsia" w:cs="宋体"/>
            </w:rPr>
            <w:t>应遵循的主要标准</w:t>
          </w:r>
          <w:r>
            <w:tab/>
          </w:r>
          <w:r>
            <w:fldChar w:fldCharType="begin"/>
          </w:r>
          <w:r>
            <w:instrText xml:space="preserve"> PAGEREF _Toc19110 \h </w:instrText>
          </w:r>
          <w:r>
            <w:fldChar w:fldCharType="separate"/>
          </w:r>
          <w:r>
            <w:t>3</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_Toc12888 </w:instrText>
          </w:r>
          <w:r>
            <w:rPr>
              <w:rFonts w:hint="eastAsia"/>
            </w:rPr>
            <w:fldChar w:fldCharType="separate"/>
          </w:r>
          <w:r>
            <w:rPr>
              <w:rFonts w:hint="eastAsia"/>
              <w:lang w:val="en-US" w:eastAsia="zh-CN"/>
            </w:rPr>
            <w:t>3</w:t>
          </w:r>
          <w:r>
            <w:rPr>
              <w:rFonts w:hint="eastAsia"/>
            </w:rPr>
            <w:t>.</w:t>
          </w:r>
          <w:r>
            <w:rPr>
              <w:rFonts w:hint="eastAsia"/>
              <w:lang w:val="en-US" w:eastAsia="zh-CN"/>
            </w:rPr>
            <w:t xml:space="preserve"> 供货</w:t>
          </w:r>
          <w:r>
            <w:rPr>
              <w:rFonts w:hint="eastAsia"/>
            </w:rPr>
            <w:t>范围</w:t>
          </w:r>
          <w:r>
            <w:tab/>
          </w:r>
          <w:r>
            <w:fldChar w:fldCharType="begin"/>
          </w:r>
          <w:r>
            <w:instrText xml:space="preserve"> PAGEREF _Toc12888 \h </w:instrText>
          </w:r>
          <w:r>
            <w:fldChar w:fldCharType="separate"/>
          </w:r>
          <w:r>
            <w:t>4</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_Toc11522 </w:instrText>
          </w:r>
          <w:r>
            <w:rPr>
              <w:rFonts w:hint="eastAsia"/>
            </w:rPr>
            <w:fldChar w:fldCharType="separate"/>
          </w:r>
          <w:r>
            <w:rPr>
              <w:rFonts w:hint="eastAsia" w:cs="宋体"/>
              <w:lang w:val="en-US" w:eastAsia="zh-CN"/>
            </w:rPr>
            <w:t>3</w:t>
          </w:r>
          <w:r>
            <w:rPr>
              <w:rFonts w:cs="宋体"/>
            </w:rPr>
            <w:t>.1</w:t>
          </w:r>
          <w:r>
            <w:rPr>
              <w:rFonts w:hint="eastAsia" w:cs="宋体"/>
              <w:lang w:val="en-US" w:eastAsia="zh-CN"/>
            </w:rPr>
            <w:t xml:space="preserve"> 供</w:t>
          </w:r>
          <w:r>
            <w:rPr>
              <w:rFonts w:hint="eastAsia" w:cs="宋体"/>
            </w:rPr>
            <w:t>货</w:t>
          </w:r>
          <w:r>
            <w:rPr>
              <w:rFonts w:hint="eastAsia" w:cs="宋体"/>
              <w:lang w:val="en-US" w:eastAsia="zh-CN"/>
            </w:rPr>
            <w:t>准则</w:t>
          </w:r>
          <w:r>
            <w:tab/>
          </w:r>
          <w:r>
            <w:fldChar w:fldCharType="begin"/>
          </w:r>
          <w:r>
            <w:instrText xml:space="preserve"> PAGEREF _Toc11522 \h </w:instrText>
          </w:r>
          <w:r>
            <w:fldChar w:fldCharType="separate"/>
          </w:r>
          <w:r>
            <w:t>4</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_Toc8823 </w:instrText>
          </w:r>
          <w:r>
            <w:rPr>
              <w:rFonts w:hint="eastAsia"/>
            </w:rPr>
            <w:fldChar w:fldCharType="separate"/>
          </w:r>
          <w:r>
            <w:rPr>
              <w:rFonts w:hint="eastAsia" w:cs="宋体"/>
              <w:lang w:val="en-US" w:eastAsia="zh-CN"/>
            </w:rPr>
            <w:t>3</w:t>
          </w:r>
          <w:r>
            <w:rPr>
              <w:rFonts w:cs="宋体"/>
            </w:rPr>
            <w:t>.2</w:t>
          </w:r>
          <w:r>
            <w:rPr>
              <w:rFonts w:hint="eastAsia" w:cs="宋体"/>
              <w:lang w:val="en-US" w:eastAsia="zh-CN"/>
            </w:rPr>
            <w:t xml:space="preserve"> </w:t>
          </w:r>
          <w:r>
            <w:rPr>
              <w:rFonts w:hint="eastAsia" w:cs="宋体"/>
            </w:rPr>
            <w:t>范围一览表</w:t>
          </w:r>
          <w:r>
            <w:tab/>
          </w:r>
          <w:r>
            <w:fldChar w:fldCharType="begin"/>
          </w:r>
          <w:r>
            <w:instrText xml:space="preserve"> PAGEREF _Toc8823 \h </w:instrText>
          </w:r>
          <w:r>
            <w:fldChar w:fldCharType="separate"/>
          </w:r>
          <w:r>
            <w:t>4</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_Toc25005 </w:instrText>
          </w:r>
          <w:r>
            <w:rPr>
              <w:rFonts w:hint="eastAsia"/>
            </w:rPr>
            <w:fldChar w:fldCharType="separate"/>
          </w:r>
          <w:r>
            <w:rPr>
              <w:rFonts w:hint="eastAsia" w:cs="宋体"/>
              <w:lang w:val="en-US" w:eastAsia="zh-CN"/>
            </w:rPr>
            <w:t xml:space="preserve">4. </w:t>
          </w:r>
          <w:r>
            <w:rPr>
              <w:rFonts w:hint="eastAsia" w:cs="宋体"/>
            </w:rPr>
            <w:t>使用条件</w:t>
          </w:r>
          <w:r>
            <w:tab/>
          </w:r>
          <w:r>
            <w:fldChar w:fldCharType="begin"/>
          </w:r>
          <w:r>
            <w:instrText xml:space="preserve"> PAGEREF _Toc25005 \h </w:instrText>
          </w:r>
          <w:r>
            <w:fldChar w:fldCharType="separate"/>
          </w:r>
          <w:r>
            <w:t>5</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_Toc5497 </w:instrText>
          </w:r>
          <w:r>
            <w:rPr>
              <w:rFonts w:hint="eastAsia"/>
            </w:rPr>
            <w:fldChar w:fldCharType="separate"/>
          </w:r>
          <w:r>
            <w:rPr>
              <w:rFonts w:hint="eastAsia"/>
              <w:lang w:val="en-US" w:eastAsia="zh-CN"/>
            </w:rPr>
            <w:t xml:space="preserve">4.1 </w:t>
          </w:r>
          <w:r>
            <w:rPr>
              <w:rFonts w:hint="eastAsia"/>
            </w:rPr>
            <w:t>正常使用条件</w:t>
          </w:r>
          <w:r>
            <w:tab/>
          </w:r>
          <w:r>
            <w:fldChar w:fldCharType="begin"/>
          </w:r>
          <w:r>
            <w:instrText xml:space="preserve"> PAGEREF _Toc5497 \h </w:instrText>
          </w:r>
          <w:r>
            <w:fldChar w:fldCharType="separate"/>
          </w:r>
          <w:r>
            <w:t>5</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_Toc30015 </w:instrText>
          </w:r>
          <w:r>
            <w:rPr>
              <w:rFonts w:hint="eastAsia"/>
            </w:rPr>
            <w:fldChar w:fldCharType="separate"/>
          </w:r>
          <w:r>
            <w:rPr>
              <w:rFonts w:hint="eastAsia"/>
              <w:lang w:val="en-US" w:eastAsia="zh-CN"/>
            </w:rPr>
            <w:t xml:space="preserve">4.2 </w:t>
          </w:r>
          <w:r>
            <w:rPr>
              <w:rFonts w:hint="eastAsia"/>
            </w:rPr>
            <w:t>贮存、运输极限环境温度</w:t>
          </w:r>
          <w:r>
            <w:tab/>
          </w:r>
          <w:r>
            <w:fldChar w:fldCharType="begin"/>
          </w:r>
          <w:r>
            <w:instrText xml:space="preserve"> PAGEREF _Toc30015 \h </w:instrText>
          </w:r>
          <w:r>
            <w:fldChar w:fldCharType="separate"/>
          </w:r>
          <w:r>
            <w:t>5</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_Toc13858 </w:instrText>
          </w:r>
          <w:r>
            <w:rPr>
              <w:rFonts w:hint="eastAsia"/>
            </w:rPr>
            <w:fldChar w:fldCharType="separate"/>
          </w:r>
          <w:r>
            <w:rPr>
              <w:rFonts w:hint="eastAsia"/>
            </w:rPr>
            <w:t>4.3</w:t>
          </w:r>
          <w:r>
            <w:rPr>
              <w:rFonts w:hint="eastAsia"/>
              <w:lang w:val="en-US" w:eastAsia="zh-CN"/>
            </w:rPr>
            <w:t xml:space="preserve"> </w:t>
          </w:r>
          <w:r>
            <w:rPr>
              <w:rFonts w:hint="eastAsia"/>
            </w:rPr>
            <w:t>运行电气条件</w:t>
          </w:r>
          <w:r>
            <w:tab/>
          </w:r>
          <w:r>
            <w:fldChar w:fldCharType="begin"/>
          </w:r>
          <w:r>
            <w:instrText xml:space="preserve"> PAGEREF _Toc13858 \h </w:instrText>
          </w:r>
          <w:r>
            <w:fldChar w:fldCharType="separate"/>
          </w:r>
          <w:r>
            <w:t>5</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_Toc7622 </w:instrText>
          </w:r>
          <w:r>
            <w:rPr>
              <w:rFonts w:hint="eastAsia"/>
            </w:rPr>
            <w:fldChar w:fldCharType="separate"/>
          </w:r>
          <w:r>
            <w:rPr>
              <w:rFonts w:hint="eastAsia"/>
              <w:lang w:val="en-US" w:eastAsia="zh-CN"/>
            </w:rPr>
            <w:t>5. 中间继电器的性能参数要求</w:t>
          </w:r>
          <w:r>
            <w:tab/>
          </w:r>
          <w:r>
            <w:fldChar w:fldCharType="begin"/>
          </w:r>
          <w:r>
            <w:instrText xml:space="preserve"> PAGEREF _Toc7622 \h </w:instrText>
          </w:r>
          <w:r>
            <w:fldChar w:fldCharType="separate"/>
          </w:r>
          <w:r>
            <w:t>6</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_Toc18207 </w:instrText>
          </w:r>
          <w:r>
            <w:rPr>
              <w:rFonts w:hint="eastAsia"/>
            </w:rPr>
            <w:fldChar w:fldCharType="separate"/>
          </w:r>
          <w:r>
            <w:rPr>
              <w:rFonts w:hint="eastAsia"/>
              <w:lang w:val="en-US" w:eastAsia="zh-CN"/>
            </w:rPr>
            <w:t>5.1 参数要求</w:t>
          </w:r>
          <w:r>
            <w:tab/>
          </w:r>
          <w:r>
            <w:fldChar w:fldCharType="begin"/>
          </w:r>
          <w:r>
            <w:instrText xml:space="preserve"> PAGEREF _Toc18207 \h </w:instrText>
          </w:r>
          <w:r>
            <w:fldChar w:fldCharType="separate"/>
          </w:r>
          <w:r>
            <w:t>6</w:t>
          </w:r>
          <w:r>
            <w:fldChar w:fldCharType="end"/>
          </w:r>
          <w:r>
            <w:rPr>
              <w:rFonts w:hint="eastAsia"/>
            </w:rPr>
            <w:fldChar w:fldCharType="end"/>
          </w:r>
        </w:p>
        <w:p>
          <w:pPr>
            <w:pStyle w:val="9"/>
            <w:tabs>
              <w:tab w:val="right" w:leader="dot" w:pos="8306"/>
            </w:tabs>
          </w:pPr>
          <w:r>
            <w:rPr>
              <w:rFonts w:hint="eastAsia"/>
            </w:rPr>
            <w:fldChar w:fldCharType="begin"/>
          </w:r>
          <w:r>
            <w:rPr>
              <w:rFonts w:hint="eastAsia"/>
            </w:rPr>
            <w:instrText xml:space="preserve"> HYPERLINK \l _Toc19634 </w:instrText>
          </w:r>
          <w:r>
            <w:rPr>
              <w:rFonts w:hint="eastAsia"/>
            </w:rPr>
            <w:fldChar w:fldCharType="separate"/>
          </w:r>
          <w:r>
            <w:rPr>
              <w:rFonts w:hint="eastAsia"/>
              <w:lang w:val="en-US" w:eastAsia="zh-CN"/>
            </w:rPr>
            <w:t>5.2 性能要求</w:t>
          </w:r>
          <w:r>
            <w:tab/>
          </w:r>
          <w:r>
            <w:fldChar w:fldCharType="begin"/>
          </w:r>
          <w:r>
            <w:instrText xml:space="preserve"> PAGEREF _Toc19634 \h </w:instrText>
          </w:r>
          <w:r>
            <w:fldChar w:fldCharType="separate"/>
          </w:r>
          <w:r>
            <w:t>6</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_Toc4046 </w:instrText>
          </w:r>
          <w:r>
            <w:rPr>
              <w:rFonts w:hint="eastAsia"/>
            </w:rPr>
            <w:fldChar w:fldCharType="separate"/>
          </w:r>
          <w:r>
            <w:rPr>
              <w:rFonts w:hint="eastAsia"/>
            </w:rPr>
            <w:t>6. 技术文件要求</w:t>
          </w:r>
          <w:r>
            <w:tab/>
          </w:r>
          <w:r>
            <w:fldChar w:fldCharType="begin"/>
          </w:r>
          <w:r>
            <w:instrText xml:space="preserve"> PAGEREF _Toc4046 \h </w:instrText>
          </w:r>
          <w:r>
            <w:fldChar w:fldCharType="separate"/>
          </w:r>
          <w:r>
            <w:t>8</w:t>
          </w:r>
          <w:r>
            <w:fldChar w:fldCharType="end"/>
          </w:r>
          <w:r>
            <w:rPr>
              <w:rFonts w:hint="eastAsia"/>
            </w:rPr>
            <w:fldChar w:fldCharType="end"/>
          </w:r>
        </w:p>
        <w:p>
          <w:pPr>
            <w:pStyle w:val="8"/>
            <w:tabs>
              <w:tab w:val="right" w:leader="dot" w:pos="8306"/>
            </w:tabs>
          </w:pPr>
          <w:r>
            <w:rPr>
              <w:rFonts w:hint="eastAsia"/>
            </w:rPr>
            <w:fldChar w:fldCharType="begin"/>
          </w:r>
          <w:r>
            <w:rPr>
              <w:rFonts w:hint="eastAsia"/>
            </w:rPr>
            <w:instrText xml:space="preserve"> HYPERLINK \l _Toc237 </w:instrText>
          </w:r>
          <w:r>
            <w:rPr>
              <w:rFonts w:hint="eastAsia"/>
            </w:rPr>
            <w:fldChar w:fldCharType="separate"/>
          </w:r>
          <w:r>
            <w:rPr>
              <w:rFonts w:hint="eastAsia"/>
            </w:rPr>
            <w:t>7. 包装、储存、运输、安装及质量保证</w:t>
          </w:r>
          <w:r>
            <w:tab/>
          </w:r>
          <w:r>
            <w:fldChar w:fldCharType="begin"/>
          </w:r>
          <w:r>
            <w:instrText xml:space="preserve"> PAGEREF _Toc237 \h </w:instrText>
          </w:r>
          <w:r>
            <w:fldChar w:fldCharType="separate"/>
          </w:r>
          <w:r>
            <w:t>8</w:t>
          </w:r>
          <w:r>
            <w:fldChar w:fldCharType="end"/>
          </w:r>
          <w:r>
            <w:rPr>
              <w:rFonts w:hint="eastAsia"/>
            </w:rPr>
            <w:fldChar w:fldCharType="end"/>
          </w:r>
        </w:p>
        <w:p>
          <w:pPr>
            <w:rPr>
              <w:rFonts w:hint="eastAsia"/>
            </w:rPr>
          </w:pPr>
          <w:r>
            <w:rPr>
              <w:rFonts w:hint="eastAsia"/>
            </w:rPr>
            <w:fldChar w:fldCharType="end"/>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sdtContent>
    </w:sdt>
    <w:p>
      <w:pPr>
        <w:pStyle w:val="3"/>
        <w:rPr>
          <w:rFonts w:cs="宋体"/>
        </w:rPr>
      </w:pPr>
      <w:bookmarkStart w:id="0" w:name="_Toc352233105"/>
      <w:bookmarkStart w:id="1" w:name="_Toc15367"/>
      <w:r>
        <w:rPr>
          <w:rFonts w:hint="eastAsia" w:cs="宋体"/>
        </w:rPr>
        <w:t>总则</w:t>
      </w:r>
      <w:bookmarkEnd w:id="0"/>
      <w:bookmarkEnd w:id="1"/>
    </w:p>
    <w:p>
      <w:pPr>
        <w:bidi w:val="0"/>
      </w:pPr>
      <w:r>
        <w:rPr>
          <w:rFonts w:hint="eastAsia"/>
          <w:lang w:val="en-US" w:eastAsia="zh-CN"/>
        </w:rPr>
        <w:t>1）</w:t>
      </w:r>
      <w:r>
        <w:rPr>
          <w:rFonts w:hint="eastAsia"/>
        </w:rPr>
        <w:t>本招标技术文件适用于</w:t>
      </w:r>
      <w:r>
        <w:rPr>
          <w:rFonts w:hint="eastAsia"/>
          <w:lang w:val="en-US" w:eastAsia="zh-CN"/>
        </w:rPr>
        <w:t>中间继电器</w:t>
      </w:r>
      <w:r>
        <w:rPr>
          <w:rFonts w:hint="eastAsia"/>
        </w:rPr>
        <w:t>的功能、性能、安装等方面的技术要求。</w:t>
      </w:r>
    </w:p>
    <w:p>
      <w:pPr>
        <w:bidi w:val="0"/>
      </w:pPr>
      <w:r>
        <w:rPr>
          <w:rFonts w:hint="eastAsia"/>
        </w:rPr>
        <w:t>本招标技术文件提出的是最低限度的技术要求, 并未对一切技术细节作出规定, 也未充分引述有关标准和规范的条文，凡本招标技术文件中未规定，但在相关设备的行业标准、国家标准或IEC标准中有规定的规范条文，投标方应按相应标准的条文进行设备设计、制造、试验和安装。</w:t>
      </w:r>
    </w:p>
    <w:p>
      <w:pPr>
        <w:bidi w:val="0"/>
      </w:pPr>
      <w:r>
        <w:rPr>
          <w:rFonts w:hint="eastAsia"/>
          <w:lang w:val="en-US" w:eastAsia="zh-CN"/>
        </w:rPr>
        <w:t>2）</w:t>
      </w:r>
      <w:r>
        <w:rPr>
          <w:rFonts w:hint="eastAsia"/>
        </w:rPr>
        <w:t>如果投标方没有以书面形式对本招标技术文件的条文提出异议, 则意味着投标方提供的设备(或系统)完全符合本招标技术文件的要求。如有异议, 不管是多么微小，都应在报价书中以“对招标技术文件的意见和同招标技术文件的差异”为标题的专门章节中加以详细描述。</w:t>
      </w:r>
    </w:p>
    <w:p>
      <w:pPr>
        <w:bidi w:val="0"/>
      </w:pPr>
      <w:r>
        <w:rPr>
          <w:rFonts w:hint="eastAsia"/>
          <w:lang w:val="en-US" w:eastAsia="zh-CN"/>
        </w:rPr>
        <w:t>3）</w:t>
      </w:r>
      <w:r>
        <w:rPr>
          <w:rFonts w:hint="eastAsia"/>
        </w:rPr>
        <w:t>本招标技术文件所使用的标准如遇与投标方所执行的标准不一致时, 按较高标准执行。</w:t>
      </w:r>
    </w:p>
    <w:p>
      <w:pPr>
        <w:bidi w:val="0"/>
      </w:pPr>
      <w:r>
        <w:rPr>
          <w:rFonts w:hint="eastAsia"/>
          <w:lang w:val="en-US" w:eastAsia="zh-CN"/>
        </w:rPr>
        <w:t>4）</w:t>
      </w:r>
      <w:r>
        <w:rPr>
          <w:rFonts w:hint="eastAsia"/>
        </w:rPr>
        <w:t>本招标技术文件经买、卖双方确认后作为订货合同的技术附件，与合同正文具有同等法律效力。</w:t>
      </w:r>
    </w:p>
    <w:p>
      <w:pPr>
        <w:bidi w:val="0"/>
      </w:pPr>
      <w:r>
        <w:rPr>
          <w:rFonts w:hint="eastAsia"/>
          <w:lang w:val="en-US" w:eastAsia="zh-CN"/>
        </w:rPr>
        <w:t>5）</w:t>
      </w:r>
      <w:r>
        <w:rPr>
          <w:rFonts w:hint="eastAsia"/>
        </w:rPr>
        <w:t>投标方在应标技术文件中应如实反映应标产品与本招标技术文件的技术差异。如果投标方没有提出技术差异，而在执行合同的过程中，招标方发现投标方提供的产品与其应标技术文件的条文存在差异，招标方有权利要求退货。</w:t>
      </w:r>
    </w:p>
    <w:p>
      <w:pPr>
        <w:bidi w:val="0"/>
      </w:pPr>
      <w:r>
        <w:rPr>
          <w:rFonts w:hint="eastAsia"/>
          <w:lang w:val="en-US" w:eastAsia="zh-CN"/>
        </w:rPr>
        <w:t>6）</w:t>
      </w:r>
      <w:r>
        <w:rPr>
          <w:rFonts w:hint="eastAsia"/>
        </w:rPr>
        <w:t>投标方应在应标技术部分按本招标技术文件的要求如实详细的填写应标设备的标准配置表，并在应标商务部分按此标准配置进行报价，如发现二者有矛盾之处，将对评标工作有不同程度的影响。</w:t>
      </w:r>
    </w:p>
    <w:p>
      <w:pPr>
        <w:bidi w:val="0"/>
      </w:pPr>
      <w:r>
        <w:rPr>
          <w:rFonts w:hint="eastAsia"/>
          <w:lang w:val="en-US" w:eastAsia="zh-CN"/>
        </w:rPr>
        <w:t>7）</w:t>
      </w:r>
      <w:r>
        <w:rPr>
          <w:rFonts w:hint="eastAsia"/>
        </w:rPr>
        <w:t>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bidi w:val="0"/>
      </w:pPr>
      <w:r>
        <w:rPr>
          <w:rFonts w:hint="eastAsia"/>
          <w:lang w:val="en-US" w:eastAsia="zh-CN"/>
        </w:rPr>
        <w:t>8）</w:t>
      </w:r>
      <w:r>
        <w:rPr>
          <w:rFonts w:hint="eastAsia"/>
        </w:rPr>
        <w:t>本招标技术文件未尽事宜, 由买卖双方协商确定。</w:t>
      </w:r>
    </w:p>
    <w:p>
      <w:pPr>
        <w:pStyle w:val="3"/>
        <w:numPr>
          <w:ilvl w:val="0"/>
          <w:numId w:val="0"/>
        </w:numPr>
        <w:rPr>
          <w:rFonts w:cs="宋体"/>
        </w:rPr>
      </w:pPr>
      <w:bookmarkStart w:id="2" w:name="_Toc19110"/>
      <w:bookmarkStart w:id="3" w:name="_Toc308127023"/>
      <w:r>
        <w:rPr>
          <w:rFonts w:hint="eastAsia" w:cs="宋体"/>
        </w:rPr>
        <w:t>2</w:t>
      </w:r>
      <w:r>
        <w:rPr>
          <w:rFonts w:hint="eastAsia" w:cs="宋体"/>
          <w:lang w:eastAsia="zh-CN"/>
        </w:rPr>
        <w:t>.</w:t>
      </w:r>
      <w:r>
        <w:rPr>
          <w:rFonts w:hint="eastAsia" w:cs="宋体"/>
        </w:rPr>
        <w:t>应遵循的主要标准</w:t>
      </w:r>
      <w:bookmarkEnd w:id="2"/>
      <w:bookmarkEnd w:id="3"/>
    </w:p>
    <w:p>
      <w:pPr>
        <w:tabs>
          <w:tab w:val="left" w:pos="1440"/>
          <w:tab w:val="left" w:pos="3960"/>
        </w:tabs>
        <w:snapToGrid w:val="0"/>
        <w:spacing w:line="480" w:lineRule="atLeast"/>
        <w:ind w:firstLine="480" w:firstLineChars="200"/>
        <w:rPr>
          <w:rFonts w:hAnsi="宋体" w:cs="宋体"/>
          <w:bCs/>
        </w:rPr>
      </w:pPr>
      <w:r>
        <w:rPr>
          <w:rFonts w:hint="eastAsia" w:hAnsi="宋体" w:cs="宋体"/>
        </w:rPr>
        <w:t>下列标准所包含的条文, 通过在本招标技术文件中引用而构成本招标技术文</w:t>
      </w:r>
      <w:r>
        <w:rPr>
          <w:rFonts w:hint="eastAsia" w:hAnsi="宋体" w:cs="宋体"/>
          <w:bCs/>
        </w:rPr>
        <w:t>件的基本条文</w:t>
      </w:r>
      <w:r>
        <w:rPr>
          <w:rFonts w:hint="eastAsia" w:hAnsi="宋体" w:cs="宋体"/>
          <w:bCs/>
          <w:lang w:eastAsia="zh-CN"/>
        </w:rPr>
        <w:t>；</w:t>
      </w:r>
      <w:r>
        <w:rPr>
          <w:rFonts w:hint="eastAsia" w:hAnsi="宋体" w:cs="宋体"/>
          <w:bCs/>
        </w:rPr>
        <w:t>在本招标技术文件出版时, 所示版本均为有效</w:t>
      </w:r>
      <w:r>
        <w:rPr>
          <w:rFonts w:hint="eastAsia" w:hAnsi="宋体" w:cs="宋体"/>
          <w:bCs/>
          <w:lang w:eastAsia="zh-CN"/>
        </w:rPr>
        <w:t>，</w:t>
      </w:r>
      <w:r>
        <w:rPr>
          <w:rFonts w:hint="eastAsia" w:hAnsi="宋体" w:cs="宋体"/>
          <w:bCs/>
        </w:rPr>
        <w:t>所有标准都会被修订, 使用本招标技术文件的各方应探讨使用下列标准最新版本的可能性</w:t>
      </w:r>
      <w:r>
        <w:rPr>
          <w:rFonts w:hint="eastAsia" w:hAnsi="宋体" w:cs="宋体"/>
          <w:bCs/>
          <w:lang w:eastAsia="zh-CN"/>
        </w:rPr>
        <w:t>；</w:t>
      </w:r>
      <w:r>
        <w:rPr>
          <w:rFonts w:hint="eastAsia" w:hAnsi="宋体" w:cs="宋体"/>
          <w:bCs/>
        </w:rPr>
        <w:t>按标准号顺序排列标准，如果各标准要求有所不同，满足更高的标准要求。</w:t>
      </w:r>
    </w:p>
    <w:tbl>
      <w:tblPr>
        <w:tblStyle w:val="10"/>
        <w:tblW w:w="8159" w:type="dxa"/>
        <w:tblInd w:w="0" w:type="dxa"/>
        <w:tblLayout w:type="fixed"/>
        <w:tblCellMar>
          <w:top w:w="0" w:type="dxa"/>
          <w:left w:w="108" w:type="dxa"/>
          <w:bottom w:w="0" w:type="dxa"/>
          <w:right w:w="108" w:type="dxa"/>
        </w:tblCellMar>
      </w:tblPr>
      <w:tblGrid>
        <w:gridCol w:w="2303"/>
        <w:gridCol w:w="5856"/>
      </w:tblGrid>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Ansi="宋体" w:cs="宋体"/>
              </w:rPr>
            </w:pPr>
            <w:r>
              <w:rPr>
                <w:rFonts w:hint="eastAsia" w:hAnsi="宋体" w:cs="宋体"/>
              </w:rPr>
              <w:t>GB/T3859.1-1993</w:t>
            </w:r>
          </w:p>
        </w:tc>
        <w:tc>
          <w:tcPr>
            <w:tcW w:w="5856" w:type="dxa"/>
          </w:tcPr>
          <w:p>
            <w:pPr>
              <w:snapToGrid w:val="0"/>
              <w:spacing w:line="480" w:lineRule="atLeast"/>
              <w:ind w:firstLine="16" w:firstLineChars="7"/>
              <w:rPr>
                <w:rFonts w:hAnsi="宋体" w:cs="宋体"/>
              </w:rPr>
            </w:pPr>
            <w:r>
              <w:rPr>
                <w:rFonts w:hint="eastAsia" w:hAnsi="宋体" w:cs="宋体"/>
              </w:rPr>
              <w:t>《半导体变流器基本要求的规定》</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Ansi="宋体" w:cs="宋体"/>
              </w:rPr>
            </w:pPr>
            <w:r>
              <w:rPr>
                <w:rFonts w:hint="eastAsia" w:hAnsi="宋体" w:cs="宋体"/>
              </w:rPr>
              <w:t>GB/T 17478-2004</w:t>
            </w:r>
          </w:p>
        </w:tc>
        <w:tc>
          <w:tcPr>
            <w:tcW w:w="5856" w:type="dxa"/>
          </w:tcPr>
          <w:p>
            <w:pPr>
              <w:snapToGrid w:val="0"/>
              <w:spacing w:line="480" w:lineRule="atLeast"/>
              <w:ind w:firstLine="16" w:firstLineChars="7"/>
              <w:rPr>
                <w:rFonts w:hAnsi="宋体" w:cs="宋体"/>
              </w:rPr>
            </w:pPr>
            <w:r>
              <w:rPr>
                <w:rFonts w:hint="eastAsia" w:hAnsi="宋体" w:cs="宋体"/>
              </w:rPr>
              <w:t>《低压直流设备的性能特性》</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GB/T 17626.2-2006</w:t>
            </w:r>
          </w:p>
        </w:tc>
        <w:tc>
          <w:tcPr>
            <w:tcW w:w="5856" w:type="dxa"/>
          </w:tcPr>
          <w:p>
            <w:pPr>
              <w:snapToGrid w:val="0"/>
              <w:spacing w:line="480" w:lineRule="atLeast"/>
              <w:rPr>
                <w:rFonts w:hint="eastAsia" w:hAnsi="宋体" w:cs="宋体"/>
              </w:rPr>
            </w:pPr>
            <w:r>
              <w:rPr>
                <w:rFonts w:hint="eastAsia" w:hAnsi="宋体" w:cs="宋体"/>
              </w:rPr>
              <w:t>《电磁兼容 试验和测量技术 静电放电抗扰度试验》</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GB/T 17626.4-2008</w:t>
            </w:r>
          </w:p>
        </w:tc>
        <w:tc>
          <w:tcPr>
            <w:tcW w:w="5856" w:type="dxa"/>
          </w:tcPr>
          <w:p>
            <w:pPr>
              <w:snapToGrid w:val="0"/>
              <w:spacing w:line="480" w:lineRule="atLeast"/>
              <w:rPr>
                <w:rFonts w:hint="eastAsia" w:hAnsi="宋体" w:cs="宋体"/>
              </w:rPr>
            </w:pPr>
            <w:r>
              <w:rPr>
                <w:rFonts w:hint="eastAsia" w:hAnsi="宋体" w:cs="宋体"/>
              </w:rPr>
              <w:t>《电磁兼容 试验和测量技术 电快速瞬变脉冲群抗扰度试验》</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GB/T 17626.8-2006</w:t>
            </w:r>
          </w:p>
        </w:tc>
        <w:tc>
          <w:tcPr>
            <w:tcW w:w="5856" w:type="dxa"/>
          </w:tcPr>
          <w:p>
            <w:pPr>
              <w:snapToGrid w:val="0"/>
              <w:spacing w:line="480" w:lineRule="atLeast"/>
              <w:rPr>
                <w:rFonts w:hint="eastAsia" w:hAnsi="宋体" w:cs="宋体"/>
              </w:rPr>
            </w:pPr>
            <w:r>
              <w:rPr>
                <w:rFonts w:hint="eastAsia" w:hAnsi="宋体" w:cs="宋体"/>
              </w:rPr>
              <w:t>《电磁兼容 试验和测量技术 工频磁场抗扰度试验》</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GB/T17626.12-1998</w:t>
            </w:r>
          </w:p>
        </w:tc>
        <w:tc>
          <w:tcPr>
            <w:tcW w:w="5856" w:type="dxa"/>
          </w:tcPr>
          <w:p>
            <w:pPr>
              <w:snapToGrid w:val="0"/>
              <w:spacing w:line="480" w:lineRule="atLeast"/>
              <w:rPr>
                <w:rFonts w:hint="eastAsia" w:hAnsi="宋体" w:cs="宋体"/>
              </w:rPr>
            </w:pPr>
            <w:r>
              <w:rPr>
                <w:rFonts w:hint="eastAsia" w:hAnsi="宋体" w:cs="宋体"/>
              </w:rPr>
              <w:t>《电磁兼容 试验和测量技术 振荡波抗扰度试验》</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JB/T8456-2005</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《低压直流成套开关设备和控制设备》</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 xml:space="preserve">DL/T781         </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电力用高频开关整流模块</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GB/T19826-2005</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《电力系统直流电源设备通用技术条件及安全要求》</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JB/T8948-1999</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《电控设备用低压直流电源》</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DL/T5136-2001</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《火力发电厂、变电所二次接线设计技术规程》</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DL/T459-2000</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《电力系统直流电源柜订货技术条件》</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DL/T5044-2004</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《电力工程直流系统设计技术规程》</w:t>
            </w:r>
          </w:p>
        </w:tc>
      </w:tr>
      <w:tr>
        <w:tblPrEx>
          <w:tblCellMar>
            <w:top w:w="0" w:type="dxa"/>
            <w:left w:w="108" w:type="dxa"/>
            <w:bottom w:w="0" w:type="dxa"/>
            <w:right w:w="108" w:type="dxa"/>
          </w:tblCellMar>
        </w:tblPrEx>
        <w:trPr>
          <w:trHeight w:val="472" w:hRule="atLeast"/>
        </w:trPr>
        <w:tc>
          <w:tcPr>
            <w:tcW w:w="2303" w:type="dxa"/>
          </w:tcPr>
          <w:p>
            <w:pPr>
              <w:snapToGrid w:val="0"/>
              <w:spacing w:line="480" w:lineRule="atLeast"/>
              <w:jc w:val="both"/>
              <w:rPr>
                <w:rFonts w:hint="eastAsia" w:hAnsi="宋体" w:cs="宋体"/>
              </w:rPr>
            </w:pPr>
            <w:r>
              <w:rPr>
                <w:rFonts w:hint="eastAsia" w:hAnsi="宋体" w:cs="宋体"/>
              </w:rPr>
              <w:t>Q/CSG 1 0011-2005</w:t>
            </w:r>
          </w:p>
        </w:tc>
        <w:tc>
          <w:tcPr>
            <w:tcW w:w="5856" w:type="dxa"/>
          </w:tcPr>
          <w:p>
            <w:pPr>
              <w:snapToGrid w:val="0"/>
              <w:spacing w:line="480" w:lineRule="atLeast"/>
              <w:ind w:firstLine="16" w:firstLineChars="7"/>
              <w:rPr>
                <w:rFonts w:hint="eastAsia" w:ascii="宋体" w:hAnsi="宋体" w:eastAsia="宋体" w:cs="宋体"/>
              </w:rPr>
            </w:pPr>
            <w:r>
              <w:rPr>
                <w:rFonts w:hint="eastAsia" w:ascii="宋体" w:hAnsi="宋体" w:eastAsia="宋体" w:cs="宋体"/>
              </w:rPr>
              <w:t>《中国南方电网220kV～500kV变电站电气技术导则》</w:t>
            </w:r>
          </w:p>
        </w:tc>
      </w:tr>
    </w:tbl>
    <w:p>
      <w:pPr>
        <w:pStyle w:val="3"/>
        <w:numPr>
          <w:ilvl w:val="0"/>
          <w:numId w:val="0"/>
        </w:numPr>
        <w:bidi w:val="0"/>
        <w:ind w:leftChars="0"/>
        <w:outlineLvl w:val="9"/>
        <w:rPr>
          <w:rFonts w:hint="eastAsia"/>
          <w:lang w:val="en-US" w:eastAsia="zh-CN"/>
        </w:rPr>
      </w:pPr>
      <w:bookmarkStart w:id="4" w:name="_Toc352233106"/>
    </w:p>
    <w:p>
      <w:pPr>
        <w:pStyle w:val="3"/>
        <w:numPr>
          <w:ilvl w:val="0"/>
          <w:numId w:val="0"/>
        </w:numPr>
        <w:bidi w:val="0"/>
        <w:ind w:leftChars="0"/>
      </w:pPr>
      <w:bookmarkStart w:id="5" w:name="_Toc12888"/>
      <w:r>
        <w:rPr>
          <w:rFonts w:hint="eastAsia"/>
          <w:lang w:val="en-US" w:eastAsia="zh-CN"/>
        </w:rPr>
        <w:t>3</w:t>
      </w:r>
      <w:r>
        <w:rPr>
          <w:rFonts w:hint="eastAsia"/>
        </w:rPr>
        <w:t>.</w:t>
      </w:r>
      <w:r>
        <w:rPr>
          <w:rFonts w:hint="eastAsia"/>
          <w:lang w:val="en-US" w:eastAsia="zh-CN"/>
        </w:rPr>
        <w:t>供货</w:t>
      </w:r>
      <w:r>
        <w:rPr>
          <w:rFonts w:hint="eastAsia"/>
        </w:rPr>
        <w:t>范围</w:t>
      </w:r>
      <w:bookmarkEnd w:id="4"/>
      <w:bookmarkEnd w:id="5"/>
    </w:p>
    <w:p>
      <w:pPr>
        <w:pStyle w:val="4"/>
        <w:numPr>
          <w:ilvl w:val="1"/>
          <w:numId w:val="0"/>
        </w:numPr>
        <w:rPr>
          <w:rFonts w:hint="eastAsia" w:eastAsia="宋体" w:cs="宋体"/>
          <w:lang w:val="en-US" w:eastAsia="zh-CN"/>
        </w:rPr>
      </w:pPr>
      <w:bookmarkStart w:id="6" w:name="_Toc11522"/>
      <w:r>
        <w:rPr>
          <w:rFonts w:hint="eastAsia" w:cs="宋体"/>
          <w:lang w:val="en-US" w:eastAsia="zh-CN"/>
        </w:rPr>
        <w:t>3</w:t>
      </w:r>
      <w:r>
        <w:rPr>
          <w:rFonts w:cs="宋体"/>
        </w:rPr>
        <w:t>.1</w:t>
      </w:r>
      <w:r>
        <w:rPr>
          <w:rFonts w:hint="eastAsia" w:cs="宋体"/>
          <w:lang w:val="en-US" w:eastAsia="zh-CN"/>
        </w:rPr>
        <w:t>供</w:t>
      </w:r>
      <w:r>
        <w:rPr>
          <w:rFonts w:hint="eastAsia" w:cs="宋体"/>
        </w:rPr>
        <w:t>货</w:t>
      </w:r>
      <w:r>
        <w:rPr>
          <w:rFonts w:hint="eastAsia" w:cs="宋体"/>
          <w:lang w:val="en-US" w:eastAsia="zh-CN"/>
        </w:rPr>
        <w:t>准则</w:t>
      </w:r>
      <w:bookmarkEnd w:id="6"/>
    </w:p>
    <w:p>
      <w:pPr>
        <w:pStyle w:val="12"/>
        <w:numPr>
          <w:ilvl w:val="2"/>
          <w:numId w:val="0"/>
        </w:numPr>
        <w:snapToGrid w:val="0"/>
        <w:spacing w:line="324" w:lineRule="auto"/>
        <w:rPr>
          <w:rFonts w:hAnsi="宋体" w:cs="宋体"/>
        </w:rPr>
      </w:pPr>
      <w:r>
        <w:rPr>
          <w:rFonts w:hint="eastAsia" w:hAnsi="宋体" w:cs="宋体"/>
          <w:lang w:val="en-US" w:eastAsia="zh-CN"/>
        </w:rPr>
        <w:t>3</w:t>
      </w:r>
      <w:r>
        <w:rPr>
          <w:rFonts w:hint="eastAsia" w:hAnsi="宋体" w:cs="宋体"/>
        </w:rPr>
        <w:t>.1投标方应按本标书的要求提供全新的、合格的</w:t>
      </w:r>
      <w:r>
        <w:rPr>
          <w:rFonts w:hint="eastAsia" w:hAnsi="宋体" w:cs="宋体"/>
          <w:lang w:val="en-US" w:eastAsia="zh-CN"/>
        </w:rPr>
        <w:t>中间继电器</w:t>
      </w:r>
      <w:r>
        <w:rPr>
          <w:rFonts w:hint="eastAsia" w:hAnsi="宋体" w:cs="宋体"/>
        </w:rPr>
        <w:t>及其附属</w:t>
      </w:r>
      <w:r>
        <w:rPr>
          <w:rFonts w:hint="eastAsia" w:hAnsi="宋体" w:cs="宋体"/>
          <w:lang w:val="en-US" w:eastAsia="zh-CN"/>
        </w:rPr>
        <w:t>线缆</w:t>
      </w:r>
      <w:r>
        <w:rPr>
          <w:rFonts w:hint="eastAsia" w:hAnsi="宋体" w:cs="宋体"/>
        </w:rPr>
        <w:t>。投标方所提供的组件或附件如需向第三方外购时，投标方应对质量向招标方负责，并提供相应出厂和验收证明</w:t>
      </w:r>
      <w:r>
        <w:rPr>
          <w:rFonts w:hint="eastAsia" w:hAnsi="宋体" w:cs="宋体"/>
          <w:lang w:val="en-US" w:eastAsia="zh-CN"/>
        </w:rPr>
        <w:t>并满足南网反措要求</w:t>
      </w:r>
      <w:r>
        <w:rPr>
          <w:rFonts w:hint="eastAsia" w:hAnsi="宋体" w:cs="宋体"/>
        </w:rPr>
        <w:t>。</w:t>
      </w:r>
    </w:p>
    <w:p>
      <w:pPr>
        <w:pStyle w:val="4"/>
        <w:numPr>
          <w:ilvl w:val="1"/>
          <w:numId w:val="0"/>
        </w:numPr>
        <w:ind w:left="142"/>
        <w:rPr>
          <w:rFonts w:cs="宋体"/>
        </w:rPr>
      </w:pPr>
      <w:bookmarkStart w:id="7" w:name="_Toc8823"/>
      <w:r>
        <w:rPr>
          <w:rFonts w:hint="eastAsia" w:cs="宋体"/>
          <w:lang w:val="en-US" w:eastAsia="zh-CN"/>
        </w:rPr>
        <w:t>3</w:t>
      </w:r>
      <w:r>
        <w:rPr>
          <w:rFonts w:cs="宋体"/>
        </w:rPr>
        <w:t>.2</w:t>
      </w:r>
      <w:r>
        <w:rPr>
          <w:rFonts w:hint="eastAsia" w:cs="宋体"/>
        </w:rPr>
        <w:t>范围一览表</w:t>
      </w:r>
      <w:bookmarkEnd w:id="7"/>
    </w:p>
    <w:p>
      <w:pPr>
        <w:pStyle w:val="12"/>
        <w:numPr>
          <w:ilvl w:val="0"/>
          <w:numId w:val="0"/>
        </w:numPr>
        <w:snapToGrid w:val="0"/>
        <w:spacing w:line="324" w:lineRule="auto"/>
        <w:ind w:firstLine="480" w:firstLineChars="200"/>
        <w:rPr>
          <w:rFonts w:hint="eastAsia" w:hAnsi="宋体" w:cs="宋体"/>
        </w:rPr>
      </w:pPr>
      <w:r>
        <w:rPr>
          <w:rFonts w:hint="eastAsia" w:hAnsi="宋体" w:cs="宋体"/>
        </w:rPr>
        <w:t>投标方应确保供货范围完整，对于属于合同设备运行所必需的部件（含</w:t>
      </w:r>
      <w:r>
        <w:rPr>
          <w:rFonts w:hint="eastAsia" w:hAnsi="宋体" w:cs="宋体"/>
          <w:lang w:val="en-US" w:eastAsia="zh-CN"/>
        </w:rPr>
        <w:t>线缆</w:t>
      </w:r>
      <w:r>
        <w:rPr>
          <w:rFonts w:hint="eastAsia" w:hAnsi="宋体" w:cs="宋体"/>
        </w:rPr>
        <w:t>等），即使本供货范围未列出或数目不足，投标方仍须在执行合同时补足。</w:t>
      </w:r>
    </w:p>
    <w:p>
      <w:pPr>
        <w:pStyle w:val="12"/>
        <w:numPr>
          <w:ilvl w:val="0"/>
          <w:numId w:val="0"/>
        </w:numPr>
        <w:snapToGrid w:val="0"/>
        <w:spacing w:line="324" w:lineRule="auto"/>
        <w:rPr>
          <w:rFonts w:hint="eastAsia" w:hAnsi="宋体" w:eastAsia="宋体" w:cs="宋体"/>
          <w:lang w:eastAsia="zh-CN"/>
        </w:rPr>
      </w:pPr>
      <w:r>
        <w:rPr>
          <w:rFonts w:hint="eastAsia" w:hAnsi="宋体" w:cs="宋体"/>
          <w:lang w:eastAsia="zh-CN"/>
        </w:rPr>
        <w:t>供货内容：</w:t>
      </w:r>
    </w:p>
    <w:tbl>
      <w:tblPr>
        <w:tblStyle w:val="10"/>
        <w:tblW w:w="81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1"/>
        <w:gridCol w:w="1388"/>
        <w:gridCol w:w="2019"/>
        <w:gridCol w:w="893"/>
        <w:gridCol w:w="958"/>
        <w:gridCol w:w="1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1001" w:type="dxa"/>
            <w:vAlign w:val="center"/>
          </w:tcPr>
          <w:p>
            <w:pPr>
              <w:pStyle w:val="12"/>
              <w:numPr>
                <w:ilvl w:val="0"/>
                <w:numId w:val="0"/>
              </w:numPr>
              <w:snapToGrid w:val="0"/>
              <w:spacing w:line="300" w:lineRule="auto"/>
              <w:jc w:val="center"/>
              <w:rPr>
                <w:rFonts w:hAnsi="宋体" w:cs="宋体"/>
                <w:sz w:val="28"/>
                <w:szCs w:val="28"/>
              </w:rPr>
            </w:pPr>
            <w:r>
              <w:rPr>
                <w:rFonts w:hint="eastAsia" w:hAnsi="宋体" w:cs="宋体"/>
                <w:sz w:val="28"/>
                <w:szCs w:val="28"/>
              </w:rPr>
              <w:t>序号</w:t>
            </w:r>
          </w:p>
        </w:tc>
        <w:tc>
          <w:tcPr>
            <w:tcW w:w="1388" w:type="dxa"/>
            <w:vAlign w:val="center"/>
          </w:tcPr>
          <w:p>
            <w:pPr>
              <w:pStyle w:val="12"/>
              <w:numPr>
                <w:ilvl w:val="0"/>
                <w:numId w:val="0"/>
              </w:numPr>
              <w:snapToGrid w:val="0"/>
              <w:spacing w:line="300" w:lineRule="auto"/>
              <w:jc w:val="center"/>
              <w:rPr>
                <w:rFonts w:hAnsi="宋体" w:cs="宋体"/>
                <w:sz w:val="28"/>
                <w:szCs w:val="28"/>
              </w:rPr>
            </w:pPr>
            <w:r>
              <w:rPr>
                <w:rFonts w:hint="eastAsia" w:hAnsi="宋体" w:cs="宋体"/>
                <w:sz w:val="28"/>
                <w:szCs w:val="28"/>
              </w:rPr>
              <w:t>物资名称</w:t>
            </w:r>
          </w:p>
        </w:tc>
        <w:tc>
          <w:tcPr>
            <w:tcW w:w="2019" w:type="dxa"/>
            <w:vAlign w:val="center"/>
          </w:tcPr>
          <w:p>
            <w:pPr>
              <w:pStyle w:val="12"/>
              <w:numPr>
                <w:ilvl w:val="0"/>
                <w:numId w:val="0"/>
              </w:numPr>
              <w:snapToGrid w:val="0"/>
              <w:spacing w:line="300" w:lineRule="auto"/>
              <w:jc w:val="center"/>
              <w:rPr>
                <w:rFonts w:hAnsi="宋体" w:cs="宋体"/>
                <w:sz w:val="28"/>
                <w:szCs w:val="28"/>
              </w:rPr>
            </w:pPr>
            <w:r>
              <w:rPr>
                <w:rFonts w:hint="eastAsia" w:hAnsi="宋体" w:cs="宋体"/>
                <w:sz w:val="28"/>
                <w:szCs w:val="28"/>
              </w:rPr>
              <w:t>型号规格</w:t>
            </w:r>
          </w:p>
        </w:tc>
        <w:tc>
          <w:tcPr>
            <w:tcW w:w="893" w:type="dxa"/>
            <w:vAlign w:val="center"/>
          </w:tcPr>
          <w:p>
            <w:pPr>
              <w:pStyle w:val="12"/>
              <w:numPr>
                <w:ilvl w:val="0"/>
                <w:numId w:val="0"/>
              </w:numPr>
              <w:snapToGrid w:val="0"/>
              <w:spacing w:line="300" w:lineRule="auto"/>
              <w:jc w:val="center"/>
              <w:rPr>
                <w:rFonts w:hAnsi="宋体" w:cs="宋体"/>
                <w:sz w:val="28"/>
                <w:szCs w:val="28"/>
              </w:rPr>
            </w:pPr>
            <w:r>
              <w:rPr>
                <w:rFonts w:hint="eastAsia" w:hAnsi="宋体" w:cs="宋体"/>
                <w:sz w:val="28"/>
                <w:szCs w:val="28"/>
              </w:rPr>
              <w:t>单位</w:t>
            </w:r>
          </w:p>
        </w:tc>
        <w:tc>
          <w:tcPr>
            <w:tcW w:w="958" w:type="dxa"/>
            <w:vAlign w:val="center"/>
          </w:tcPr>
          <w:p>
            <w:pPr>
              <w:pStyle w:val="12"/>
              <w:numPr>
                <w:ilvl w:val="0"/>
                <w:numId w:val="0"/>
              </w:numPr>
              <w:snapToGrid w:val="0"/>
              <w:spacing w:line="300" w:lineRule="auto"/>
              <w:jc w:val="center"/>
              <w:rPr>
                <w:rFonts w:hAnsi="宋体" w:cs="宋体"/>
                <w:sz w:val="28"/>
                <w:szCs w:val="28"/>
              </w:rPr>
            </w:pPr>
            <w:r>
              <w:rPr>
                <w:rFonts w:hint="eastAsia" w:hAnsi="宋体" w:cs="宋体"/>
                <w:sz w:val="28"/>
                <w:szCs w:val="28"/>
              </w:rPr>
              <w:t>数量</w:t>
            </w:r>
          </w:p>
        </w:tc>
        <w:tc>
          <w:tcPr>
            <w:tcW w:w="1938" w:type="dxa"/>
            <w:vAlign w:val="center"/>
          </w:tcPr>
          <w:p>
            <w:pPr>
              <w:pStyle w:val="12"/>
              <w:numPr>
                <w:ilvl w:val="0"/>
                <w:numId w:val="0"/>
              </w:numPr>
              <w:snapToGrid w:val="0"/>
              <w:spacing w:line="300" w:lineRule="auto"/>
              <w:jc w:val="center"/>
              <w:rPr>
                <w:rFonts w:hAnsi="宋体" w:cs="宋体"/>
                <w:sz w:val="28"/>
                <w:szCs w:val="28"/>
              </w:rPr>
            </w:pPr>
            <w:r>
              <w:rPr>
                <w:rFonts w:hint="eastAsia" w:hAnsi="宋体" w:cs="宋体"/>
                <w:sz w:val="28"/>
                <w:szCs w:val="28"/>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1001" w:type="dxa"/>
            <w:shd w:val="clear" w:color="auto" w:fill="auto"/>
            <w:vAlign w:val="center"/>
          </w:tcPr>
          <w:p>
            <w:pPr>
              <w:widowControl/>
              <w:jc w:val="center"/>
              <w:textAlignment w:val="center"/>
              <w:rPr>
                <w:rFonts w:hAnsi="宋体" w:cs="宋体"/>
                <w:kern w:val="0"/>
                <w:sz w:val="24"/>
                <w:szCs w:val="24"/>
                <w:lang w:bidi="ar"/>
              </w:rPr>
            </w:pPr>
            <w:r>
              <w:rPr>
                <w:rFonts w:hint="eastAsia" w:hAnsi="宋体" w:cs="宋体"/>
                <w:kern w:val="0"/>
                <w:sz w:val="24"/>
                <w:szCs w:val="24"/>
                <w:lang w:bidi="ar"/>
              </w:rPr>
              <w:t>1</w:t>
            </w:r>
          </w:p>
        </w:tc>
        <w:tc>
          <w:tcPr>
            <w:tcW w:w="1388" w:type="dxa"/>
            <w:shd w:val="clear" w:color="auto" w:fill="auto"/>
            <w:vAlign w:val="center"/>
          </w:tcPr>
          <w:p>
            <w:pPr>
              <w:jc w:val="center"/>
              <w:rPr>
                <w:rFonts w:hint="eastAsia" w:ascii="宋体" w:hAnsi="宋体" w:eastAsia="宋体" w:cs="宋体"/>
                <w:sz w:val="24"/>
                <w:szCs w:val="24"/>
              </w:rPr>
            </w:pPr>
            <w:r>
              <w:rPr>
                <w:rFonts w:hint="eastAsia" w:ascii="宋体" w:hAnsi="宋体" w:eastAsia="宋体" w:cs="宋体"/>
                <w:sz w:val="24"/>
                <w:szCs w:val="24"/>
                <w:lang w:val="en-US" w:eastAsia="zh-CN"/>
              </w:rPr>
              <w:t>中间继电器</w:t>
            </w:r>
          </w:p>
        </w:tc>
        <w:tc>
          <w:tcPr>
            <w:tcW w:w="2019" w:type="dxa"/>
            <w:shd w:val="clear" w:color="auto" w:fill="FFFFFF"/>
            <w:vAlign w:val="center"/>
          </w:tcPr>
          <w:p>
            <w:pPr>
              <w:widowControl/>
              <w:jc w:val="center"/>
              <w:textAlignment w:val="center"/>
              <w:rPr>
                <w:rFonts w:hint="eastAsia" w:ascii="宋体" w:hAnsi="宋体" w:eastAsia="宋体" w:cs="宋体"/>
                <w:kern w:val="0"/>
                <w:sz w:val="24"/>
                <w:szCs w:val="24"/>
                <w:lang w:val="en-US" w:eastAsia="zh-CN" w:bidi="ar"/>
              </w:rPr>
            </w:pPr>
            <w:r>
              <w:rPr>
                <w:rFonts w:hint="eastAsia" w:ascii="宋体" w:hAnsi="宋体" w:eastAsia="宋体" w:cs="宋体"/>
                <w:sz w:val="24"/>
                <w:szCs w:val="24"/>
                <w:lang w:val="en-US" w:eastAsia="zh-CN"/>
              </w:rPr>
              <w:t>供电电压AC100-240V、触点形式</w:t>
            </w:r>
            <w:r>
              <w:rPr>
                <w:rFonts w:hint="eastAsia" w:hAnsi="宋体" w:cs="宋体"/>
                <w:sz w:val="24"/>
                <w:szCs w:val="24"/>
                <w:lang w:val="en-US" w:eastAsia="zh-CN"/>
              </w:rPr>
              <w:t>4</w:t>
            </w:r>
            <w:r>
              <w:rPr>
                <w:rFonts w:hint="eastAsia" w:ascii="宋体" w:hAnsi="宋体" w:eastAsia="宋体" w:cs="宋体"/>
                <w:sz w:val="24"/>
                <w:szCs w:val="24"/>
                <w:lang w:val="en-US" w:eastAsia="zh-CN"/>
              </w:rPr>
              <w:t>开</w:t>
            </w:r>
            <w:r>
              <w:rPr>
                <w:rFonts w:hint="eastAsia" w:hAnsi="宋体" w:cs="宋体"/>
                <w:sz w:val="24"/>
                <w:szCs w:val="24"/>
                <w:lang w:val="en-US" w:eastAsia="zh-CN"/>
              </w:rPr>
              <w:t>4</w:t>
            </w:r>
            <w:r>
              <w:rPr>
                <w:rFonts w:hint="eastAsia" w:ascii="宋体" w:hAnsi="宋体" w:eastAsia="宋体" w:cs="宋体"/>
                <w:sz w:val="24"/>
                <w:szCs w:val="24"/>
                <w:lang w:val="en-US" w:eastAsia="zh-CN"/>
              </w:rPr>
              <w:t>闭、额定电流5A、插入式安装</w:t>
            </w:r>
          </w:p>
        </w:tc>
        <w:tc>
          <w:tcPr>
            <w:tcW w:w="893" w:type="dxa"/>
            <w:shd w:val="clear" w:color="auto" w:fill="auto"/>
            <w:vAlign w:val="center"/>
          </w:tcPr>
          <w:p>
            <w:pPr>
              <w:widowControl/>
              <w:jc w:val="center"/>
              <w:textAlignment w:val="center"/>
              <w:rPr>
                <w:rFonts w:hint="default" w:hAnsi="宋体" w:cs="宋体"/>
                <w:kern w:val="0"/>
                <w:sz w:val="24"/>
                <w:szCs w:val="24"/>
                <w:lang w:val="en-US" w:eastAsia="zh-CN" w:bidi="ar"/>
              </w:rPr>
            </w:pPr>
            <w:r>
              <w:rPr>
                <w:rFonts w:hint="eastAsia" w:hAnsi="宋体" w:cs="宋体"/>
                <w:kern w:val="0"/>
                <w:sz w:val="24"/>
                <w:szCs w:val="24"/>
                <w:lang w:val="en-US" w:eastAsia="zh-CN" w:bidi="ar"/>
              </w:rPr>
              <w:t>个</w:t>
            </w:r>
          </w:p>
        </w:tc>
        <w:tc>
          <w:tcPr>
            <w:tcW w:w="958" w:type="dxa"/>
            <w:shd w:val="clear" w:color="auto" w:fill="auto"/>
            <w:vAlign w:val="center"/>
          </w:tcPr>
          <w:p>
            <w:pPr>
              <w:widowControl/>
              <w:jc w:val="center"/>
              <w:textAlignment w:val="center"/>
              <w:rPr>
                <w:rFonts w:hint="default" w:hAnsi="宋体" w:eastAsia="宋体" w:cs="宋体"/>
                <w:kern w:val="0"/>
                <w:sz w:val="24"/>
                <w:szCs w:val="24"/>
                <w:lang w:val="en-US" w:eastAsia="zh-CN" w:bidi="ar"/>
              </w:rPr>
            </w:pPr>
            <w:r>
              <w:rPr>
                <w:rFonts w:hint="eastAsia" w:hAnsi="宋体" w:cs="宋体"/>
                <w:kern w:val="0"/>
                <w:sz w:val="24"/>
                <w:szCs w:val="24"/>
                <w:lang w:val="en-US" w:eastAsia="zh-CN" w:bidi="ar"/>
              </w:rPr>
              <w:t>20</w:t>
            </w:r>
          </w:p>
        </w:tc>
        <w:tc>
          <w:tcPr>
            <w:tcW w:w="1938" w:type="dxa"/>
            <w:shd w:val="clear" w:color="auto" w:fill="FFFFFF"/>
            <w:vAlign w:val="center"/>
          </w:tcPr>
          <w:p>
            <w:pPr>
              <w:widowControl/>
              <w:jc w:val="both"/>
              <w:textAlignment w:val="center"/>
              <w:rPr>
                <w:rFonts w:hint="default" w:hAnsi="宋体" w:eastAsia="宋体" w:cs="宋体"/>
                <w:kern w:val="0"/>
                <w:sz w:val="24"/>
                <w:szCs w:val="24"/>
                <w:lang w:val="en-US" w:eastAsia="zh-CN" w:bidi="ar"/>
              </w:rPr>
            </w:pPr>
            <w:r>
              <w:rPr>
                <w:rFonts w:hint="eastAsia" w:hAnsi="宋体" w:cs="宋体"/>
                <w:kern w:val="0"/>
                <w:sz w:val="24"/>
                <w:szCs w:val="24"/>
                <w:lang w:val="en-US" w:eastAsia="zh-CN" w:bidi="ar"/>
              </w:rPr>
              <w:t>高频开关电源配件，用于电源信号干接点接入</w:t>
            </w:r>
          </w:p>
        </w:tc>
      </w:tr>
    </w:tbl>
    <w:p>
      <w:pPr>
        <w:jc w:val="center"/>
        <w:rPr>
          <w:rFonts w:hint="eastAsia" w:cs="Times New Roman"/>
          <w:kern w:val="2"/>
          <w:sz w:val="28"/>
          <w:szCs w:val="30"/>
          <w:lang w:val="en-US" w:eastAsia="zh-CN"/>
        </w:rPr>
      </w:pPr>
      <w:r>
        <w:rPr>
          <w:rFonts w:hint="eastAsia" w:cs="Times New Roman"/>
          <w:kern w:val="2"/>
          <w:sz w:val="28"/>
          <w:szCs w:val="30"/>
          <w:lang w:val="en-US" w:eastAsia="zh-CN"/>
        </w:rPr>
        <w:drawing>
          <wp:inline distT="0" distB="0" distL="114300" distR="114300">
            <wp:extent cx="3669665" cy="3586480"/>
            <wp:effectExtent l="0" t="0" r="6985" b="13970"/>
            <wp:docPr id="1" name="图片 1" descr="Screenshot_20240516_090050_com.jingdong.app.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Screenshot_20240516_090050_com.jingdong.app.mall"/>
                    <pic:cNvPicPr>
                      <a:picLocks noChangeAspect="1"/>
                    </pic:cNvPicPr>
                  </pic:nvPicPr>
                  <pic:blipFill>
                    <a:blip r:embed="rId6"/>
                    <a:stretch>
                      <a:fillRect/>
                    </a:stretch>
                  </pic:blipFill>
                  <pic:spPr>
                    <a:xfrm>
                      <a:off x="0" y="0"/>
                      <a:ext cx="3669665" cy="3586480"/>
                    </a:xfrm>
                    <a:prstGeom prst="rect">
                      <a:avLst/>
                    </a:prstGeom>
                  </pic:spPr>
                </pic:pic>
              </a:graphicData>
            </a:graphic>
          </wp:inline>
        </w:drawing>
      </w:r>
    </w:p>
    <w:p>
      <w:pPr>
        <w:pStyle w:val="2"/>
        <w:jc w:val="center"/>
        <w:rPr>
          <w:rFonts w:hint="eastAsia"/>
        </w:rPr>
      </w:pPr>
      <w:r>
        <w:rPr>
          <w:rFonts w:hint="eastAsia"/>
          <w:sz w:val="32"/>
        </w:rPr>
        <w:t>（</w:t>
      </w:r>
      <w:r>
        <w:rPr>
          <w:rFonts w:hint="eastAsia"/>
          <w:sz w:val="32"/>
          <w:lang w:eastAsia="zh-CN"/>
        </w:rPr>
        <w:t>参考</w:t>
      </w:r>
      <w:bookmarkStart w:id="46" w:name="_GoBack"/>
      <w:bookmarkEnd w:id="46"/>
      <w:r>
        <w:rPr>
          <w:rFonts w:hint="eastAsia"/>
          <w:sz w:val="32"/>
          <w:lang w:eastAsia="zh-CN"/>
        </w:rPr>
        <w:t>图片</w:t>
      </w:r>
      <w:r>
        <w:rPr>
          <w:rFonts w:hint="eastAsia"/>
          <w:sz w:val="32"/>
          <w:lang w:val="en-US" w:eastAsia="zh-CN"/>
        </w:rPr>
        <w:t xml:space="preserve">  </w:t>
      </w:r>
      <w:r>
        <w:rPr>
          <w:rFonts w:hint="eastAsia" w:ascii="宋体" w:hAnsi="宋体"/>
          <w:sz w:val="32"/>
          <w:szCs w:val="32"/>
          <w:lang w:eastAsia="zh-CN"/>
        </w:rPr>
        <w:t>中间继电器</w:t>
      </w:r>
      <w:r>
        <w:rPr>
          <w:rFonts w:hint="eastAsia"/>
          <w:sz w:val="32"/>
        </w:rPr>
        <w:t>）</w:t>
      </w:r>
    </w:p>
    <w:p>
      <w:pPr>
        <w:pStyle w:val="3"/>
        <w:numPr>
          <w:ilvl w:val="0"/>
          <w:numId w:val="0"/>
        </w:numPr>
        <w:rPr>
          <w:rFonts w:cs="宋体"/>
        </w:rPr>
      </w:pPr>
      <w:bookmarkStart w:id="8" w:name="_Toc25005"/>
      <w:r>
        <w:rPr>
          <w:rFonts w:hint="eastAsia" w:cs="宋体"/>
          <w:lang w:val="en-US" w:eastAsia="zh-CN"/>
        </w:rPr>
        <w:t>4.</w:t>
      </w:r>
      <w:r>
        <w:rPr>
          <w:rFonts w:hint="eastAsia" w:cs="宋体"/>
        </w:rPr>
        <w:t>使用条件</w:t>
      </w:r>
      <w:bookmarkEnd w:id="8"/>
    </w:p>
    <w:p>
      <w:pPr>
        <w:pStyle w:val="13"/>
        <w:adjustRightInd w:val="0"/>
        <w:snapToGrid w:val="0"/>
        <w:spacing w:line="360" w:lineRule="auto"/>
        <w:ind w:firstLine="480"/>
        <w:rPr>
          <w:rFonts w:ascii="宋体" w:hAnsi="宋体" w:eastAsia="宋体" w:cs="宋体"/>
          <w:sz w:val="24"/>
        </w:rPr>
      </w:pPr>
      <w:r>
        <w:rPr>
          <w:rFonts w:hint="eastAsia" w:ascii="宋体" w:hAnsi="宋体" w:eastAsia="宋体" w:cs="宋体"/>
          <w:sz w:val="24"/>
        </w:rPr>
        <w:t>本设备标书要采购的</w:t>
      </w:r>
      <w:r>
        <w:rPr>
          <w:rFonts w:hint="eastAsia" w:ascii="宋体" w:hAnsi="宋体" w:eastAsia="宋体" w:cs="宋体"/>
          <w:sz w:val="24"/>
          <w:lang w:val="en-US" w:eastAsia="zh-CN"/>
        </w:rPr>
        <w:t>中间继电器</w:t>
      </w:r>
      <w:r>
        <w:rPr>
          <w:rFonts w:hint="eastAsia" w:ascii="宋体" w:hAnsi="宋体" w:eastAsia="宋体" w:cs="宋体"/>
          <w:sz w:val="24"/>
        </w:rPr>
        <w:t>，投标方应保证对所提供的设备不仅满足本标书要求的技术条款要求，而且还应对在实际安装地点的外部条件（正常使用条件及特殊使用条件）下的相关性能参数进行校验、核对，使所供设备满足实际外部条件要求及全工况运行要求。</w:t>
      </w:r>
    </w:p>
    <w:p>
      <w:pPr>
        <w:pStyle w:val="4"/>
        <w:numPr>
          <w:ilvl w:val="1"/>
          <w:numId w:val="0"/>
        </w:numPr>
        <w:bidi w:val="0"/>
        <w:ind w:left="142" w:leftChars="0"/>
      </w:pPr>
      <w:bookmarkStart w:id="9" w:name="_Toc5497"/>
      <w:r>
        <w:rPr>
          <w:rFonts w:hint="eastAsia"/>
          <w:lang w:val="en-US" w:eastAsia="zh-CN"/>
        </w:rPr>
        <w:t>4.1</w:t>
      </w:r>
      <w:r>
        <w:rPr>
          <w:rFonts w:hint="eastAsia"/>
        </w:rPr>
        <w:t>正常使用条件</w:t>
      </w:r>
      <w:bookmarkEnd w:id="9"/>
    </w:p>
    <w:p>
      <w:pPr>
        <w:numPr>
          <w:ilvl w:val="0"/>
          <w:numId w:val="2"/>
        </w:numPr>
        <w:autoSpaceDE w:val="0"/>
        <w:autoSpaceDN w:val="0"/>
        <w:adjustRightInd w:val="0"/>
        <w:jc w:val="left"/>
        <w:rPr>
          <w:rFonts w:hint="eastAsia" w:ascii="宋体" w:hAnsi="宋体" w:cs="黑体"/>
          <w:kern w:val="0"/>
          <w:szCs w:val="21"/>
        </w:rPr>
      </w:pPr>
      <w:r>
        <w:rPr>
          <w:rFonts w:hint="eastAsia" w:ascii="宋体" w:hAnsi="宋体" w:cs="黑体"/>
          <w:kern w:val="0"/>
          <w:szCs w:val="21"/>
          <w:lang w:val="en-US" w:eastAsia="zh-CN"/>
        </w:rPr>
        <w:t>热塑外壳，阻燃性高、</w:t>
      </w:r>
      <w:r>
        <w:rPr>
          <w:rFonts w:hint="eastAsia" w:ascii="宋体" w:hAnsi="宋体" w:cs="黑体"/>
          <w:kern w:val="0"/>
          <w:szCs w:val="21"/>
          <w:lang w:eastAsia="zh-CN"/>
        </w:rPr>
        <w:t>不容易受外力破坏</w:t>
      </w:r>
      <w:r>
        <w:rPr>
          <w:rFonts w:hint="eastAsia" w:ascii="宋体" w:hAnsi="宋体" w:cs="黑体"/>
          <w:kern w:val="0"/>
          <w:szCs w:val="21"/>
        </w:rPr>
        <w:t xml:space="preserve"> </w:t>
      </w:r>
    </w:p>
    <w:p>
      <w:pPr>
        <w:numPr>
          <w:ilvl w:val="0"/>
          <w:numId w:val="2"/>
        </w:numPr>
        <w:autoSpaceDE w:val="0"/>
        <w:autoSpaceDN w:val="0"/>
        <w:adjustRightInd w:val="0"/>
        <w:jc w:val="left"/>
        <w:rPr>
          <w:rFonts w:hint="eastAsia" w:ascii="宋体" w:hAnsi="宋体" w:cs="黑体"/>
          <w:kern w:val="0"/>
          <w:szCs w:val="21"/>
        </w:rPr>
      </w:pPr>
      <w:r>
        <w:rPr>
          <w:rFonts w:hint="eastAsia" w:ascii="宋体" w:hAnsi="宋体" w:cs="黑体"/>
          <w:kern w:val="0"/>
          <w:szCs w:val="21"/>
        </w:rPr>
        <w:t>设备运行周围空气温度0℃～+45℃，在设备停用期间，空气温度允许为-25℃～+70℃</w:t>
      </w:r>
    </w:p>
    <w:p>
      <w:pPr>
        <w:numPr>
          <w:ilvl w:val="0"/>
          <w:numId w:val="2"/>
        </w:numPr>
        <w:autoSpaceDE w:val="0"/>
        <w:autoSpaceDN w:val="0"/>
        <w:adjustRightInd w:val="0"/>
        <w:jc w:val="left"/>
        <w:rPr>
          <w:rFonts w:hint="eastAsia" w:ascii="宋体" w:hAnsi="宋体" w:cs="黑体"/>
          <w:kern w:val="0"/>
          <w:szCs w:val="21"/>
        </w:rPr>
      </w:pPr>
      <w:r>
        <w:rPr>
          <w:rFonts w:hint="eastAsia" w:ascii="宋体" w:hAnsi="宋体" w:cs="黑体"/>
          <w:kern w:val="0"/>
          <w:szCs w:val="21"/>
        </w:rPr>
        <w:t xml:space="preserve">周围空气的最大相对湿度不超过95% (当周围空气温度为25±5℃时) </w:t>
      </w:r>
    </w:p>
    <w:p>
      <w:pPr>
        <w:numPr>
          <w:ilvl w:val="0"/>
          <w:numId w:val="2"/>
        </w:numPr>
        <w:autoSpaceDE w:val="0"/>
        <w:autoSpaceDN w:val="0"/>
        <w:adjustRightInd w:val="0"/>
        <w:jc w:val="left"/>
        <w:rPr>
          <w:rFonts w:hint="eastAsia" w:ascii="宋体" w:hAnsi="宋体" w:cs="黑体"/>
          <w:kern w:val="0"/>
          <w:szCs w:val="21"/>
        </w:rPr>
      </w:pPr>
      <w:r>
        <w:rPr>
          <w:rFonts w:hint="eastAsia" w:ascii="宋体" w:hAnsi="宋体" w:cs="黑体"/>
          <w:kern w:val="0"/>
          <w:szCs w:val="21"/>
          <w:lang w:eastAsia="zh-CN"/>
        </w:rPr>
        <w:t>紫铜线圈，导电性强，安全可靠</w:t>
      </w:r>
      <w:r>
        <w:rPr>
          <w:rFonts w:hint="eastAsia" w:ascii="宋体" w:hAnsi="宋体" w:cs="黑体"/>
          <w:kern w:val="0"/>
          <w:szCs w:val="21"/>
        </w:rPr>
        <w:t xml:space="preserve"> </w:t>
      </w:r>
    </w:p>
    <w:p>
      <w:pPr>
        <w:numPr>
          <w:ilvl w:val="0"/>
          <w:numId w:val="2"/>
        </w:numPr>
        <w:autoSpaceDE w:val="0"/>
        <w:autoSpaceDN w:val="0"/>
        <w:adjustRightInd w:val="0"/>
        <w:jc w:val="left"/>
        <w:rPr>
          <w:rFonts w:hint="eastAsia" w:ascii="宋体" w:cs="宋体"/>
          <w:kern w:val="0"/>
          <w:szCs w:val="21"/>
        </w:rPr>
      </w:pPr>
      <w:r>
        <w:rPr>
          <w:rFonts w:hint="eastAsia" w:ascii="宋体" w:hAnsi="宋体" w:cs="黑体"/>
          <w:kern w:val="0"/>
          <w:szCs w:val="21"/>
        </w:rPr>
        <w:t>运行地点无导电或爆炸尘埃，没有腐蚀金属和破坏绝缘的气体或蒸气</w:t>
      </w:r>
    </w:p>
    <w:p>
      <w:pPr>
        <w:numPr>
          <w:ilvl w:val="0"/>
          <w:numId w:val="2"/>
        </w:numPr>
        <w:autoSpaceDE w:val="0"/>
        <w:autoSpaceDN w:val="0"/>
        <w:adjustRightInd w:val="0"/>
        <w:jc w:val="left"/>
        <w:rPr>
          <w:rFonts w:hint="eastAsia" w:ascii="宋体" w:cs="宋体"/>
          <w:kern w:val="0"/>
          <w:szCs w:val="21"/>
        </w:rPr>
      </w:pPr>
      <w:r>
        <w:rPr>
          <w:rFonts w:hint="eastAsia" w:ascii="宋体" w:hAnsi="宋体" w:cs="黑体"/>
          <w:kern w:val="0"/>
          <w:szCs w:val="21"/>
        </w:rPr>
        <w:t>室内使用，且通风良好</w:t>
      </w:r>
    </w:p>
    <w:p>
      <w:pPr>
        <w:pStyle w:val="4"/>
        <w:numPr>
          <w:ilvl w:val="1"/>
          <w:numId w:val="0"/>
        </w:numPr>
        <w:bidi w:val="0"/>
        <w:ind w:left="142" w:leftChars="0"/>
        <w:rPr>
          <w:rFonts w:hint="eastAsia"/>
        </w:rPr>
      </w:pPr>
      <w:bookmarkStart w:id="10" w:name="_Toc30015"/>
      <w:r>
        <w:rPr>
          <w:rFonts w:hint="eastAsia"/>
          <w:lang w:val="en-US" w:eastAsia="zh-CN"/>
        </w:rPr>
        <w:t>4.2</w:t>
      </w:r>
      <w:r>
        <w:rPr>
          <w:rFonts w:hint="eastAsia"/>
        </w:rPr>
        <w:t>贮存、运输极限环境温度</w:t>
      </w:r>
      <w:bookmarkEnd w:id="10"/>
    </w:p>
    <w:p>
      <w:pPr>
        <w:adjustRightInd w:val="0"/>
        <w:snapToGrid w:val="0"/>
        <w:spacing w:line="360" w:lineRule="auto"/>
        <w:ind w:firstLine="480" w:firstLineChars="200"/>
        <w:rPr>
          <w:rFonts w:hint="eastAsia" w:ascii="宋体" w:hAnsi="宋体"/>
          <w:szCs w:val="21"/>
        </w:rPr>
      </w:pPr>
      <w:r>
        <w:rPr>
          <w:rFonts w:hint="eastAsia" w:ascii="宋体" w:hAnsi="宋体"/>
          <w:szCs w:val="21"/>
        </w:rPr>
        <w:t>贮存、运输环境温度极限值为</w:t>
      </w:r>
      <w:r>
        <w:rPr>
          <w:rFonts w:hint="eastAsia" w:ascii="宋体" w:hAnsi="宋体"/>
          <w:color w:val="auto"/>
          <w:szCs w:val="21"/>
        </w:rPr>
        <w:t>-</w:t>
      </w:r>
      <w:r>
        <w:rPr>
          <w:rFonts w:ascii="宋体" w:hAnsi="宋体"/>
          <w:color w:val="auto"/>
          <w:szCs w:val="21"/>
        </w:rPr>
        <w:t>40</w:t>
      </w:r>
      <w:r>
        <w:rPr>
          <w:rFonts w:hint="eastAsia" w:ascii="宋体" w:hAnsi="宋体"/>
          <w:color w:val="auto"/>
          <w:szCs w:val="21"/>
        </w:rPr>
        <w:t>℃～+70℃，</w:t>
      </w:r>
      <w:r>
        <w:rPr>
          <w:rFonts w:ascii="Times New Roman" w:hAnsi="宋体"/>
          <w:szCs w:val="21"/>
        </w:rPr>
        <w:t>储存相对湿度：</w:t>
      </w:r>
      <w:r>
        <w:rPr>
          <w:rFonts w:ascii="Times New Roman" w:hAnsi="Times New Roman"/>
          <w:szCs w:val="21"/>
        </w:rPr>
        <w:t>≤9</w:t>
      </w:r>
      <w:r>
        <w:rPr>
          <w:rFonts w:hint="eastAsia" w:ascii="Times New Roman"/>
          <w:szCs w:val="21"/>
          <w:lang w:val="en-US" w:eastAsia="zh-CN"/>
        </w:rPr>
        <w:t>5</w:t>
      </w:r>
      <w:r>
        <w:rPr>
          <w:rFonts w:ascii="Times New Roman" w:hAnsi="宋体"/>
          <w:szCs w:val="21"/>
        </w:rPr>
        <w:t>％</w:t>
      </w:r>
      <w:r>
        <w:rPr>
          <w:rFonts w:hint="eastAsia" w:ascii="Times New Roman" w:hAnsi="宋体"/>
          <w:szCs w:val="21"/>
        </w:rPr>
        <w:t>，</w:t>
      </w:r>
      <w:r>
        <w:rPr>
          <w:rFonts w:hint="eastAsia" w:ascii="宋体" w:hAnsi="宋体"/>
          <w:szCs w:val="21"/>
        </w:rPr>
        <w:t>在不施加任何激励量的条件下，装置应不出现不可逆变化</w:t>
      </w:r>
      <w:r>
        <w:rPr>
          <w:rFonts w:hint="eastAsia" w:hAnsi="宋体"/>
          <w:szCs w:val="21"/>
          <w:lang w:eastAsia="zh-CN"/>
        </w:rPr>
        <w:t>；</w:t>
      </w:r>
      <w:r>
        <w:rPr>
          <w:rFonts w:hint="eastAsia" w:ascii="宋体" w:hAnsi="宋体"/>
          <w:szCs w:val="21"/>
        </w:rPr>
        <w:t>温度恢复正常后，装置的性能应仍符合本部分中的有关要求。</w:t>
      </w:r>
    </w:p>
    <w:p>
      <w:pPr>
        <w:pStyle w:val="4"/>
        <w:numPr>
          <w:ilvl w:val="1"/>
          <w:numId w:val="0"/>
        </w:numPr>
        <w:bidi w:val="0"/>
        <w:ind w:left="142" w:leftChars="0"/>
        <w:rPr>
          <w:rFonts w:hint="eastAsia"/>
        </w:rPr>
      </w:pPr>
      <w:bookmarkStart w:id="11" w:name="_Toc13858"/>
      <w:r>
        <w:rPr>
          <w:rFonts w:hint="eastAsia"/>
        </w:rPr>
        <w:t>4.3运行电气条件</w:t>
      </w:r>
      <w:bookmarkEnd w:id="11"/>
    </w:p>
    <w:p>
      <w:pPr>
        <w:adjustRightInd w:val="0"/>
        <w:snapToGrid w:val="0"/>
        <w:spacing w:line="360" w:lineRule="auto"/>
        <w:ind w:firstLine="480" w:firstLineChars="200"/>
        <w:rPr>
          <w:rFonts w:hint="eastAsia" w:ascii="Times New Roman" w:hAnsi="Times New Roman"/>
          <w:szCs w:val="24"/>
        </w:rPr>
      </w:pPr>
      <w:r>
        <w:rPr>
          <w:rFonts w:hint="eastAsia" w:ascii="Times New Roman" w:hAnsi="Times New Roman"/>
          <w:szCs w:val="24"/>
        </w:rPr>
        <w:t>A</w:t>
      </w:r>
      <w:r>
        <w:rPr>
          <w:rFonts w:hint="eastAsia" w:ascii="Times New Roman" w:hAnsi="Times New Roman"/>
          <w:szCs w:val="24"/>
          <w:lang w:eastAsia="zh-CN"/>
        </w:rPr>
        <w:t>）</w:t>
      </w:r>
      <w:r>
        <w:rPr>
          <w:rFonts w:hint="eastAsia" w:ascii="Times New Roman" w:hAnsi="Times New Roman"/>
          <w:szCs w:val="24"/>
        </w:rPr>
        <w:t xml:space="preserve"> 交流电源电压波动范围：187V～2</w:t>
      </w:r>
      <w:r>
        <w:rPr>
          <w:rFonts w:hint="eastAsia" w:ascii="Times New Roman"/>
          <w:szCs w:val="24"/>
          <w:lang w:val="en-US" w:eastAsia="zh-CN"/>
        </w:rPr>
        <w:t>42</w:t>
      </w:r>
      <w:r>
        <w:rPr>
          <w:rFonts w:hint="eastAsia" w:ascii="Times New Roman" w:hAnsi="Times New Roman"/>
          <w:szCs w:val="24"/>
        </w:rPr>
        <w:t>V。</w:t>
      </w:r>
    </w:p>
    <w:p>
      <w:pPr>
        <w:adjustRightInd w:val="0"/>
        <w:snapToGrid w:val="0"/>
        <w:spacing w:line="360" w:lineRule="auto"/>
        <w:ind w:firstLine="480" w:firstLineChars="200"/>
        <w:rPr>
          <w:rFonts w:hint="eastAsia" w:ascii="Times New Roman" w:hAnsi="Times New Roman"/>
          <w:szCs w:val="24"/>
        </w:rPr>
      </w:pPr>
      <w:r>
        <w:rPr>
          <w:rFonts w:hint="eastAsia" w:ascii="Times New Roman" w:hAnsi="Times New Roman"/>
          <w:szCs w:val="24"/>
        </w:rPr>
        <w:t>B</w:t>
      </w:r>
      <w:r>
        <w:rPr>
          <w:rFonts w:hint="eastAsia" w:ascii="Times New Roman" w:hAnsi="Times New Roman"/>
          <w:szCs w:val="24"/>
          <w:lang w:eastAsia="zh-CN"/>
        </w:rPr>
        <w:t>）</w:t>
      </w:r>
      <w:r>
        <w:rPr>
          <w:rFonts w:hint="eastAsia" w:ascii="Times New Roman"/>
          <w:szCs w:val="24"/>
          <w:lang w:val="en-US" w:eastAsia="zh-CN"/>
        </w:rPr>
        <w:t>额定电流</w:t>
      </w:r>
      <w:r>
        <w:rPr>
          <w:rFonts w:hint="eastAsia" w:ascii="Times New Roman" w:hAnsi="Times New Roman"/>
          <w:szCs w:val="24"/>
        </w:rPr>
        <w:t>：</w:t>
      </w:r>
      <w:r>
        <w:rPr>
          <w:rFonts w:hint="eastAsia" w:ascii="Times New Roman"/>
          <w:szCs w:val="24"/>
          <w:lang w:val="en-US" w:eastAsia="zh-CN"/>
        </w:rPr>
        <w:t>5A</w:t>
      </w:r>
      <w:r>
        <w:rPr>
          <w:rFonts w:hint="eastAsia" w:ascii="Times New Roman" w:hAnsi="Times New Roman"/>
          <w:szCs w:val="24"/>
        </w:rPr>
        <w:t>。</w:t>
      </w:r>
    </w:p>
    <w:p>
      <w:pPr>
        <w:adjustRightInd w:val="0"/>
        <w:snapToGrid w:val="0"/>
        <w:spacing w:line="360" w:lineRule="auto"/>
        <w:ind w:firstLine="480" w:firstLineChars="200"/>
        <w:rPr>
          <w:rFonts w:hint="eastAsia" w:ascii="Times New Roman" w:hAnsi="Times New Roman"/>
          <w:szCs w:val="24"/>
        </w:rPr>
      </w:pPr>
      <w:r>
        <w:rPr>
          <w:rFonts w:hint="eastAsia" w:ascii="Times New Roman" w:hAnsi="Times New Roman"/>
          <w:szCs w:val="24"/>
          <w:lang w:val="en-US" w:eastAsia="zh-CN"/>
        </w:rPr>
        <w:t>C）</w:t>
      </w:r>
      <w:r>
        <w:rPr>
          <w:rFonts w:hint="eastAsia" w:ascii="Times New Roman" w:hAnsi="Times New Roman"/>
          <w:szCs w:val="24"/>
        </w:rPr>
        <w:t>输入电压波形畸变率应不大于5％。</w:t>
      </w:r>
    </w:p>
    <w:p>
      <w:pPr>
        <w:adjustRightInd w:val="0"/>
        <w:snapToGrid w:val="0"/>
        <w:spacing w:line="360" w:lineRule="auto"/>
        <w:ind w:firstLine="480" w:firstLineChars="200"/>
        <w:rPr>
          <w:rFonts w:hint="eastAsia" w:ascii="Times New Roman" w:hAnsi="Times New Roman"/>
          <w:szCs w:val="24"/>
        </w:rPr>
      </w:pPr>
      <w:r>
        <w:rPr>
          <w:rFonts w:hint="eastAsia" w:ascii="Times New Roman" w:hAnsi="Times New Roman"/>
          <w:szCs w:val="24"/>
          <w:lang w:val="en-US" w:eastAsia="zh-CN"/>
        </w:rPr>
        <w:t>D）</w:t>
      </w:r>
      <w:r>
        <w:rPr>
          <w:rFonts w:hint="eastAsia" w:ascii="Times New Roman" w:hAnsi="Times New Roman"/>
          <w:szCs w:val="24"/>
        </w:rPr>
        <w:t>系统应能承受频率为10Hz～55Hz 、振幅为0.35mm的正弦波振动。</w:t>
      </w:r>
    </w:p>
    <w:p>
      <w:pPr>
        <w:adjustRightInd w:val="0"/>
        <w:snapToGrid w:val="0"/>
        <w:spacing w:line="360" w:lineRule="auto"/>
        <w:ind w:firstLine="480" w:firstLineChars="200"/>
        <w:rPr>
          <w:rFonts w:hint="eastAsia" w:ascii="Times New Roman" w:hAnsi="Times New Roman"/>
          <w:szCs w:val="24"/>
        </w:rPr>
      </w:pPr>
      <w:r>
        <w:rPr>
          <w:rFonts w:hint="eastAsia" w:ascii="Times New Roman" w:hAnsi="Times New Roman"/>
          <w:szCs w:val="24"/>
        </w:rPr>
        <w:t>E</w:t>
      </w:r>
      <w:r>
        <w:rPr>
          <w:rFonts w:hint="eastAsia" w:ascii="Times New Roman" w:hAnsi="Times New Roman"/>
          <w:szCs w:val="24"/>
          <w:lang w:eastAsia="zh-CN"/>
        </w:rPr>
        <w:t>）</w:t>
      </w:r>
      <w:r>
        <w:rPr>
          <w:rFonts w:hint="eastAsia" w:ascii="Times New Roman" w:hAnsi="Times New Roman"/>
          <w:szCs w:val="24"/>
          <w:lang w:val="en-US" w:eastAsia="zh-CN"/>
        </w:rPr>
        <w:t>触点形式4开4闭，插入式安装</w:t>
      </w:r>
      <w:r>
        <w:rPr>
          <w:rFonts w:hint="eastAsia" w:ascii="宋体" w:hAnsi="宋体"/>
          <w:sz w:val="28"/>
          <w:szCs w:val="28"/>
          <w:lang w:val="en-US" w:eastAsia="zh-CN"/>
        </w:rPr>
        <w:t>，</w:t>
      </w:r>
      <w:r>
        <w:rPr>
          <w:rFonts w:hint="eastAsia" w:ascii="Times New Roman" w:hAnsi="Times New Roman"/>
          <w:szCs w:val="24"/>
          <w:lang w:val="en-US" w:eastAsia="zh-CN"/>
        </w:rPr>
        <w:t>控制电路和隔离电信号，中间继电器线圈通电后，内部产生磁力使动触点相吸合，从而带动触点动作，当线圈断开电源时，触点分开复位</w:t>
      </w:r>
      <w:r>
        <w:rPr>
          <w:rFonts w:hint="eastAsia" w:ascii="Times New Roman" w:hAnsi="Times New Roman"/>
          <w:szCs w:val="24"/>
        </w:rPr>
        <w:t>。</w:t>
      </w:r>
    </w:p>
    <w:p>
      <w:pPr>
        <w:pStyle w:val="2"/>
        <w:rPr>
          <w:rFonts w:hint="default" w:eastAsia="宋体"/>
          <w:lang w:val="en-US" w:eastAsia="zh-CN"/>
        </w:rPr>
      </w:pPr>
    </w:p>
    <w:p>
      <w:pPr>
        <w:pStyle w:val="3"/>
        <w:numPr>
          <w:ilvl w:val="0"/>
          <w:numId w:val="3"/>
        </w:numPr>
        <w:bidi w:val="0"/>
        <w:ind w:leftChars="0"/>
        <w:rPr>
          <w:rFonts w:hint="eastAsia"/>
          <w:lang w:val="en-US" w:eastAsia="zh-CN"/>
        </w:rPr>
      </w:pPr>
      <w:bookmarkStart w:id="12" w:name="_Toc7622"/>
      <w:r>
        <w:rPr>
          <w:rFonts w:hint="eastAsia"/>
          <w:lang w:val="en-US" w:eastAsia="zh-CN"/>
        </w:rPr>
        <w:t>中间继电器的性能参数要求</w:t>
      </w:r>
      <w:bookmarkEnd w:id="12"/>
    </w:p>
    <w:p>
      <w:pPr>
        <w:pStyle w:val="4"/>
        <w:numPr>
          <w:ilvl w:val="1"/>
          <w:numId w:val="0"/>
        </w:numPr>
        <w:bidi w:val="0"/>
        <w:ind w:left="142" w:leftChars="0"/>
        <w:rPr>
          <w:rFonts w:hint="eastAsia"/>
          <w:lang w:val="en-US" w:eastAsia="zh-CN"/>
        </w:rPr>
      </w:pPr>
      <w:bookmarkStart w:id="13" w:name="_Toc18207"/>
      <w:r>
        <w:rPr>
          <w:rFonts w:hint="eastAsia"/>
          <w:lang w:val="en-US" w:eastAsia="zh-CN"/>
        </w:rPr>
        <w:t>5.1参数要求</w:t>
      </w:r>
      <w:bookmarkEnd w:id="13"/>
    </w:p>
    <w:p>
      <w:pPr>
        <w:numPr>
          <w:ilvl w:val="0"/>
          <w:numId w:val="4"/>
        </w:numPr>
        <w:tabs>
          <w:tab w:val="left" w:pos="1440"/>
        </w:tabs>
        <w:spacing w:line="288" w:lineRule="auto"/>
        <w:ind w:left="480" w:leftChars="0" w:firstLineChars="0"/>
        <w:rPr>
          <w:rFonts w:ascii="宋体" w:hAnsi="宋体"/>
          <w:sz w:val="24"/>
        </w:rPr>
      </w:pPr>
      <w:r>
        <w:rPr>
          <w:rFonts w:hint="eastAsia" w:ascii="宋体" w:hAnsi="宋体"/>
          <w:sz w:val="24"/>
        </w:rPr>
        <w:t>交流输入电压：</w:t>
      </w:r>
      <w:r>
        <w:rPr>
          <w:rFonts w:hint="eastAsia" w:ascii="Times New Roman" w:hAnsi="Times New Roman"/>
          <w:szCs w:val="24"/>
        </w:rPr>
        <w:t>187V～2</w:t>
      </w:r>
      <w:r>
        <w:rPr>
          <w:rFonts w:hint="eastAsia" w:ascii="Times New Roman"/>
          <w:szCs w:val="24"/>
          <w:lang w:val="en-US" w:eastAsia="zh-CN"/>
        </w:rPr>
        <w:t>42</w:t>
      </w:r>
      <w:r>
        <w:rPr>
          <w:rFonts w:hint="eastAsia" w:ascii="Times New Roman" w:hAnsi="Times New Roman"/>
          <w:szCs w:val="24"/>
        </w:rPr>
        <w:t>V</w:t>
      </w:r>
    </w:p>
    <w:p>
      <w:pPr>
        <w:numPr>
          <w:ilvl w:val="0"/>
          <w:numId w:val="4"/>
        </w:numPr>
        <w:tabs>
          <w:tab w:val="left" w:pos="1440"/>
        </w:tabs>
        <w:spacing w:line="288" w:lineRule="auto"/>
        <w:ind w:left="480" w:leftChars="0" w:firstLineChars="0"/>
        <w:rPr>
          <w:rFonts w:ascii="宋体" w:hAnsi="宋体"/>
          <w:sz w:val="24"/>
        </w:rPr>
      </w:pPr>
      <w:r>
        <w:rPr>
          <w:rFonts w:hint="eastAsia" w:ascii="宋体" w:hAnsi="宋体"/>
          <w:sz w:val="24"/>
        </w:rPr>
        <w:t>额定</w:t>
      </w:r>
      <w:r>
        <w:rPr>
          <w:rFonts w:hint="eastAsia" w:hAnsi="宋体"/>
          <w:sz w:val="24"/>
          <w:lang w:val="en-US" w:eastAsia="zh-CN"/>
        </w:rPr>
        <w:t>电流</w:t>
      </w:r>
      <w:r>
        <w:rPr>
          <w:rFonts w:hint="eastAsia" w:ascii="宋体" w:hAnsi="宋体"/>
          <w:sz w:val="24"/>
        </w:rPr>
        <w:t>：</w:t>
      </w:r>
      <w:r>
        <w:rPr>
          <w:rFonts w:hint="eastAsia" w:hAnsi="宋体"/>
          <w:sz w:val="24"/>
          <w:lang w:val="en-US" w:eastAsia="zh-CN"/>
        </w:rPr>
        <w:t>5A</w:t>
      </w:r>
    </w:p>
    <w:p>
      <w:pPr>
        <w:numPr>
          <w:ilvl w:val="0"/>
          <w:numId w:val="4"/>
        </w:numPr>
        <w:tabs>
          <w:tab w:val="left" w:pos="1440"/>
        </w:tabs>
        <w:spacing w:line="288" w:lineRule="auto"/>
        <w:ind w:left="480" w:leftChars="0" w:firstLineChars="0"/>
        <w:rPr>
          <w:rFonts w:ascii="宋体" w:hAnsi="宋体"/>
          <w:sz w:val="24"/>
        </w:rPr>
      </w:pPr>
      <w:r>
        <w:rPr>
          <w:rFonts w:hint="eastAsia" w:ascii="宋体" w:hAnsi="宋体"/>
          <w:sz w:val="24"/>
        </w:rPr>
        <w:t>功率因数：＞0.99</w:t>
      </w:r>
    </w:p>
    <w:p>
      <w:pPr>
        <w:numPr>
          <w:ilvl w:val="0"/>
          <w:numId w:val="4"/>
        </w:numPr>
        <w:tabs>
          <w:tab w:val="left" w:pos="1440"/>
        </w:tabs>
        <w:spacing w:line="288" w:lineRule="auto"/>
        <w:ind w:left="480" w:leftChars="0" w:firstLineChars="0"/>
        <w:rPr>
          <w:rFonts w:ascii="宋体" w:hAnsi="宋体"/>
          <w:sz w:val="24"/>
        </w:rPr>
      </w:pPr>
      <w:r>
        <w:rPr>
          <w:rFonts w:hint="eastAsia" w:hAnsi="宋体"/>
          <w:sz w:val="24"/>
          <w:lang w:val="en-US" w:eastAsia="zh-CN"/>
        </w:rPr>
        <w:t>交</w:t>
      </w:r>
      <w:r>
        <w:rPr>
          <w:rFonts w:hint="eastAsia" w:ascii="宋体" w:hAnsi="宋体"/>
          <w:sz w:val="24"/>
        </w:rPr>
        <w:t>流额定输出电压：DC220V</w:t>
      </w:r>
    </w:p>
    <w:p>
      <w:pPr>
        <w:numPr>
          <w:ilvl w:val="0"/>
          <w:numId w:val="4"/>
        </w:numPr>
        <w:tabs>
          <w:tab w:val="left" w:pos="1440"/>
        </w:tabs>
        <w:spacing w:line="288" w:lineRule="auto"/>
        <w:ind w:left="480" w:leftChars="0" w:firstLineChars="0"/>
        <w:rPr>
          <w:rFonts w:hint="eastAsia" w:ascii="宋体" w:hAnsi="宋体"/>
          <w:sz w:val="24"/>
          <w:lang w:val="en-AU"/>
        </w:rPr>
      </w:pPr>
      <w:bookmarkStart w:id="14" w:name="_Toc227379006"/>
      <w:bookmarkStart w:id="15" w:name="_Toc227378490"/>
      <w:bookmarkStart w:id="16" w:name="_Toc227379710"/>
      <w:bookmarkStart w:id="17" w:name="_Ref236027475"/>
      <w:bookmarkStart w:id="18" w:name="_Toc228509710"/>
      <w:bookmarkStart w:id="19" w:name="_Toc227378335"/>
      <w:r>
        <w:rPr>
          <w:rFonts w:hint="eastAsia" w:ascii="宋体" w:hAnsi="宋体"/>
          <w:sz w:val="24"/>
          <w:lang w:val="en-AU"/>
        </w:rPr>
        <w:t>环境温度：-5℃~+45℃</w:t>
      </w:r>
      <w:r>
        <w:rPr>
          <w:rFonts w:hint="eastAsia" w:ascii="宋体" w:hAnsi="宋体"/>
          <w:sz w:val="24"/>
          <w:lang w:val="en-AU"/>
        </w:rPr>
        <w:br w:type="textWrapping"/>
      </w:r>
      <w:r>
        <w:rPr>
          <w:rFonts w:hint="eastAsia" w:hAnsi="宋体"/>
          <w:sz w:val="24"/>
          <w:lang w:val="en-US" w:eastAsia="zh-CN"/>
        </w:rPr>
        <w:t>6) 产品外观尺寸（含继电器底座）：长75mm，宽22mm，高77mm</w:t>
      </w:r>
    </w:p>
    <w:bookmarkEnd w:id="14"/>
    <w:bookmarkEnd w:id="15"/>
    <w:bookmarkEnd w:id="16"/>
    <w:bookmarkEnd w:id="17"/>
    <w:bookmarkEnd w:id="18"/>
    <w:bookmarkEnd w:id="19"/>
    <w:p>
      <w:pPr>
        <w:tabs>
          <w:tab w:val="left" w:pos="1440"/>
          <w:tab w:val="left" w:pos="3960"/>
        </w:tabs>
        <w:snapToGrid w:val="0"/>
        <w:spacing w:line="480" w:lineRule="atLeast"/>
        <w:rPr>
          <w:rFonts w:hAnsi="宋体" w:cs="宋体"/>
        </w:rPr>
      </w:pPr>
      <w:r>
        <w:rPr>
          <w:rFonts w:hint="eastAsia" w:hAnsi="宋体" w:cs="宋体"/>
        </w:rPr>
        <w:t xml:space="preserve">表5.1                      </w:t>
      </w:r>
      <w:r>
        <w:rPr>
          <w:rFonts w:hint="eastAsia" w:hAnsi="宋体" w:cs="宋体"/>
          <w:lang w:val="en-US" w:eastAsia="zh-CN"/>
        </w:rPr>
        <w:t>继电器</w:t>
      </w:r>
      <w:r>
        <w:rPr>
          <w:rFonts w:hint="eastAsia" w:hAnsi="宋体" w:cs="宋体"/>
        </w:rPr>
        <w:t>各部件极限温升</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40"/>
        <w:gridCol w:w="40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blHeader/>
        </w:trPr>
        <w:tc>
          <w:tcPr>
            <w:tcW w:w="4040" w:type="dxa"/>
            <w:vAlign w:val="center"/>
          </w:tcPr>
          <w:p>
            <w:pPr>
              <w:snapToGrid w:val="0"/>
              <w:spacing w:line="480" w:lineRule="atLeast"/>
              <w:jc w:val="center"/>
              <w:rPr>
                <w:rFonts w:hAnsi="宋体" w:cs="宋体"/>
                <w:b/>
              </w:rPr>
            </w:pPr>
            <w:r>
              <w:rPr>
                <w:rFonts w:hint="eastAsia" w:hAnsi="宋体" w:cs="宋体"/>
                <w:b/>
              </w:rPr>
              <w:t>部件或器件</w:t>
            </w:r>
          </w:p>
        </w:tc>
        <w:tc>
          <w:tcPr>
            <w:tcW w:w="4040" w:type="dxa"/>
            <w:vAlign w:val="center"/>
          </w:tcPr>
          <w:p>
            <w:pPr>
              <w:snapToGrid w:val="0"/>
              <w:spacing w:line="480" w:lineRule="atLeast"/>
              <w:jc w:val="center"/>
              <w:rPr>
                <w:rFonts w:hAnsi="宋体" w:cs="宋体"/>
                <w:b/>
              </w:rPr>
            </w:pPr>
            <w:r>
              <w:rPr>
                <w:rFonts w:hint="eastAsia" w:hAnsi="宋体" w:cs="宋体"/>
                <w:b/>
              </w:rPr>
              <w:t>极限温升（℃）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040" w:type="dxa"/>
            <w:vAlign w:val="center"/>
          </w:tcPr>
          <w:p>
            <w:pPr>
              <w:snapToGrid w:val="0"/>
              <w:spacing w:line="480" w:lineRule="atLeast"/>
              <w:rPr>
                <w:rFonts w:hAnsi="宋体" w:cs="宋体"/>
                <w:lang w:val="en-GB"/>
              </w:rPr>
            </w:pPr>
            <w:r>
              <w:rPr>
                <w:rFonts w:hint="eastAsia" w:hAnsi="宋体" w:cs="宋体"/>
                <w:lang w:val="en-US" w:eastAsia="zh-CN"/>
              </w:rPr>
              <w:t>热塑外壳</w:t>
            </w:r>
          </w:p>
        </w:tc>
        <w:tc>
          <w:tcPr>
            <w:tcW w:w="4040" w:type="dxa"/>
            <w:vAlign w:val="center"/>
          </w:tcPr>
          <w:p>
            <w:pPr>
              <w:snapToGrid w:val="0"/>
              <w:spacing w:line="480" w:lineRule="atLeast"/>
              <w:jc w:val="center"/>
              <w:rPr>
                <w:rFonts w:hAnsi="宋体" w:cs="宋体"/>
                <w:lang w:val="en-GB"/>
              </w:rPr>
            </w:pPr>
            <w:r>
              <w:rPr>
                <w:rFonts w:hint="eastAsia" w:hAnsi="宋体" w:cs="宋体"/>
                <w:lang w:val="en-GB"/>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040" w:type="dxa"/>
            <w:vAlign w:val="center"/>
          </w:tcPr>
          <w:p>
            <w:pPr>
              <w:snapToGrid w:val="0"/>
              <w:spacing w:line="480" w:lineRule="atLeast"/>
              <w:rPr>
                <w:rFonts w:hAnsi="宋体" w:cs="宋体"/>
                <w:lang w:val="en-GB"/>
              </w:rPr>
            </w:pPr>
            <w:r>
              <w:rPr>
                <w:rFonts w:hint="eastAsia" w:hAnsi="宋体" w:cs="宋体"/>
                <w:lang w:val="en-GB"/>
              </w:rPr>
              <w:t>电阻元件</w:t>
            </w:r>
          </w:p>
        </w:tc>
        <w:tc>
          <w:tcPr>
            <w:tcW w:w="4040" w:type="dxa"/>
            <w:vAlign w:val="center"/>
          </w:tcPr>
          <w:p>
            <w:pPr>
              <w:snapToGrid w:val="0"/>
              <w:spacing w:line="480" w:lineRule="atLeast"/>
              <w:jc w:val="center"/>
              <w:rPr>
                <w:rFonts w:hAnsi="宋体" w:cs="宋体"/>
                <w:lang w:val="en-GB"/>
              </w:rPr>
            </w:pPr>
            <w:r>
              <w:rPr>
                <w:rFonts w:hint="eastAsia" w:hAnsi="宋体" w:cs="宋体"/>
                <w:lang w:val="en-GB"/>
              </w:rPr>
              <w:t>25（距外表30mm处）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040" w:type="dxa"/>
            <w:vAlign w:val="center"/>
          </w:tcPr>
          <w:p>
            <w:pPr>
              <w:snapToGrid w:val="0"/>
              <w:spacing w:line="480" w:lineRule="atLeast"/>
              <w:rPr>
                <w:rFonts w:hAnsi="宋体" w:cs="宋体"/>
                <w:lang w:val="en-GB"/>
              </w:rPr>
            </w:pPr>
            <w:r>
              <w:rPr>
                <w:rFonts w:hint="eastAsia" w:hAnsi="宋体" w:cs="宋体"/>
                <w:lang w:val="en-GB" w:eastAsia="zh-CN"/>
              </w:rPr>
              <w:t>紫铜线圈</w:t>
            </w:r>
          </w:p>
        </w:tc>
        <w:tc>
          <w:tcPr>
            <w:tcW w:w="4040" w:type="dxa"/>
            <w:vAlign w:val="center"/>
          </w:tcPr>
          <w:p>
            <w:pPr>
              <w:snapToGrid w:val="0"/>
              <w:spacing w:line="480" w:lineRule="atLeast"/>
              <w:jc w:val="center"/>
              <w:rPr>
                <w:rFonts w:hAnsi="宋体" w:cs="宋体"/>
                <w:lang w:val="en-GB"/>
              </w:rPr>
            </w:pPr>
            <w:r>
              <w:rPr>
                <w:rFonts w:hint="eastAsia" w:hAnsi="宋体" w:cs="宋体"/>
                <w:lang w:val="en-GB"/>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4040" w:type="dxa"/>
            <w:vAlign w:val="center"/>
          </w:tcPr>
          <w:p>
            <w:pPr>
              <w:snapToGrid w:val="0"/>
              <w:spacing w:line="480" w:lineRule="atLeast"/>
              <w:rPr>
                <w:rFonts w:hAnsi="宋体" w:cs="宋体"/>
                <w:lang w:val="en-GB"/>
              </w:rPr>
            </w:pPr>
            <w:r>
              <w:rPr>
                <w:rFonts w:hint="eastAsia" w:hAnsi="宋体" w:cs="宋体"/>
                <w:lang w:val="en-GB"/>
              </w:rPr>
              <w:t>与半导体器件的连接处塑料绝缘线</w:t>
            </w:r>
          </w:p>
        </w:tc>
        <w:tc>
          <w:tcPr>
            <w:tcW w:w="4040" w:type="dxa"/>
            <w:vAlign w:val="center"/>
          </w:tcPr>
          <w:p>
            <w:pPr>
              <w:snapToGrid w:val="0"/>
              <w:spacing w:line="480" w:lineRule="atLeast"/>
              <w:jc w:val="center"/>
              <w:rPr>
                <w:rFonts w:hAnsi="宋体" w:cs="宋体"/>
                <w:lang w:val="en-GB"/>
              </w:rPr>
            </w:pPr>
            <w:r>
              <w:rPr>
                <w:rFonts w:hint="eastAsia" w:hAnsi="宋体" w:cs="宋体"/>
                <w:lang w:val="en-GB"/>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 w:hRule="atLeast"/>
        </w:trPr>
        <w:tc>
          <w:tcPr>
            <w:tcW w:w="4040" w:type="dxa"/>
            <w:vAlign w:val="center"/>
          </w:tcPr>
          <w:p>
            <w:pPr>
              <w:snapToGrid w:val="0"/>
              <w:spacing w:line="480" w:lineRule="atLeast"/>
              <w:rPr>
                <w:rFonts w:hAnsi="宋体" w:cs="宋体"/>
                <w:lang w:val="en-GB"/>
              </w:rPr>
            </w:pPr>
            <w:r>
              <w:rPr>
                <w:rFonts w:hint="eastAsia" w:hAnsi="宋体" w:cs="宋体"/>
                <w:lang w:val="en-GB"/>
              </w:rPr>
              <w:t>印刷电路板铜箔</w:t>
            </w:r>
          </w:p>
        </w:tc>
        <w:tc>
          <w:tcPr>
            <w:tcW w:w="4040" w:type="dxa"/>
            <w:vAlign w:val="center"/>
          </w:tcPr>
          <w:p>
            <w:pPr>
              <w:snapToGrid w:val="0"/>
              <w:spacing w:line="480" w:lineRule="atLeast"/>
              <w:jc w:val="center"/>
              <w:rPr>
                <w:rFonts w:hAnsi="宋体" w:cs="宋体"/>
                <w:lang w:val="en-GB"/>
              </w:rPr>
            </w:pPr>
            <w:r>
              <w:rPr>
                <w:rFonts w:hint="eastAsia" w:hAnsi="宋体" w:cs="宋体"/>
                <w:lang w:val="en-GB"/>
              </w:rPr>
              <w:t>20</w:t>
            </w:r>
          </w:p>
        </w:tc>
      </w:tr>
    </w:tbl>
    <w:p>
      <w:pPr>
        <w:rPr>
          <w:rFonts w:hint="eastAsia"/>
          <w:lang w:val="en-US" w:eastAsia="zh-CN"/>
        </w:rPr>
      </w:pPr>
    </w:p>
    <w:p>
      <w:pPr>
        <w:pStyle w:val="3"/>
        <w:numPr>
          <w:ilvl w:val="0"/>
          <w:numId w:val="3"/>
        </w:numPr>
        <w:bidi w:val="0"/>
        <w:ind w:left="0" w:leftChars="0" w:firstLine="0" w:firstLineChars="0"/>
        <w:rPr>
          <w:rFonts w:hint="eastAsia"/>
        </w:rPr>
      </w:pPr>
      <w:bookmarkStart w:id="20" w:name="_Toc4046"/>
      <w:r>
        <w:rPr>
          <w:rFonts w:hint="eastAsia"/>
        </w:rPr>
        <w:t>技术文件要求</w:t>
      </w:r>
      <w:bookmarkEnd w:id="20"/>
    </w:p>
    <w:p>
      <w:pPr>
        <w:autoSpaceDE w:val="0"/>
        <w:autoSpaceDN w:val="0"/>
        <w:adjustRightInd w:val="0"/>
        <w:snapToGrid w:val="0"/>
        <w:ind w:firstLine="600" w:firstLineChars="250"/>
        <w:rPr>
          <w:rFonts w:hint="default" w:eastAsia="宋体"/>
          <w:lang w:val="en-US" w:eastAsia="zh-CN"/>
        </w:rPr>
      </w:pPr>
      <w:r>
        <w:rPr>
          <w:rFonts w:hint="eastAsia" w:hAnsi="宋体" w:cs="宋体"/>
          <w:szCs w:val="21"/>
        </w:rPr>
        <w:t>卖方应承诺在签订合同15天内提供以下所列（但不限于下列资料、图纸、文件，卖方应承诺提供买方提出的所有所需资料、图纸、文件供工程设计、安装、运维使用）的图纸、项目授权书、样本资料、文件纸质版。</w:t>
      </w:r>
    </w:p>
    <w:p>
      <w:pPr>
        <w:pStyle w:val="3"/>
        <w:numPr>
          <w:ilvl w:val="0"/>
          <w:numId w:val="3"/>
        </w:numPr>
        <w:bidi w:val="0"/>
        <w:ind w:left="0" w:leftChars="0" w:firstLine="0" w:firstLineChars="0"/>
        <w:rPr>
          <w:rFonts w:hint="eastAsia"/>
        </w:rPr>
      </w:pPr>
      <w:bookmarkStart w:id="21" w:name="_Toc237"/>
      <w:r>
        <w:rPr>
          <w:rFonts w:hint="eastAsia"/>
        </w:rPr>
        <w:t>包装、储存、运输、安装及质量保证</w:t>
      </w:r>
      <w:bookmarkEnd w:id="21"/>
    </w:p>
    <w:p>
      <w:pPr>
        <w:numPr>
          <w:ilvl w:val="0"/>
          <w:numId w:val="5"/>
        </w:numPr>
        <w:adjustRightInd w:val="0"/>
        <w:snapToGrid w:val="0"/>
        <w:spacing w:line="360" w:lineRule="auto"/>
        <w:rPr>
          <w:rFonts w:hint="eastAsia" w:ascii="Times New Roman" w:hAnsi="Times New Roman"/>
          <w:szCs w:val="24"/>
        </w:rPr>
      </w:pPr>
      <w:bookmarkStart w:id="22" w:name="_Toc276714496"/>
      <w:bookmarkStart w:id="23" w:name="_Toc245398401"/>
      <w:bookmarkStart w:id="24" w:name="_Toc245435309"/>
      <w:r>
        <w:rPr>
          <w:rFonts w:hint="eastAsia" w:ascii="Times New Roman" w:hAnsi="Times New Roman"/>
          <w:szCs w:val="24"/>
        </w:rPr>
        <w:t>设备制造完成并通过试验后应及时包装，否则应得到切实的保护，确保其不受污损。</w:t>
      </w:r>
      <w:bookmarkEnd w:id="22"/>
      <w:bookmarkEnd w:id="23"/>
      <w:bookmarkEnd w:id="24"/>
    </w:p>
    <w:p>
      <w:pPr>
        <w:numPr>
          <w:ilvl w:val="0"/>
          <w:numId w:val="5"/>
        </w:numPr>
        <w:adjustRightInd w:val="0"/>
        <w:snapToGrid w:val="0"/>
        <w:spacing w:line="360" w:lineRule="auto"/>
        <w:rPr>
          <w:rFonts w:hint="eastAsia" w:ascii="Times New Roman" w:hAnsi="Times New Roman"/>
          <w:szCs w:val="24"/>
        </w:rPr>
      </w:pPr>
      <w:bookmarkStart w:id="25" w:name="_Toc245398402"/>
      <w:bookmarkStart w:id="26" w:name="_Toc276714497"/>
      <w:bookmarkStart w:id="27" w:name="_Toc245435310"/>
      <w:r>
        <w:rPr>
          <w:rFonts w:hint="eastAsia" w:ascii="Times New Roman" w:hAnsi="Times New Roman"/>
          <w:szCs w:val="24"/>
        </w:rPr>
        <w:t>所有部件经妥善包装或装箱后，运输过程中尚应采取其它防护措施，以免散失损坏或被盗。</w:t>
      </w:r>
      <w:bookmarkEnd w:id="25"/>
      <w:bookmarkEnd w:id="26"/>
      <w:bookmarkEnd w:id="27"/>
    </w:p>
    <w:p>
      <w:pPr>
        <w:numPr>
          <w:ilvl w:val="0"/>
          <w:numId w:val="5"/>
        </w:numPr>
        <w:adjustRightInd w:val="0"/>
        <w:snapToGrid w:val="0"/>
        <w:spacing w:line="360" w:lineRule="auto"/>
        <w:rPr>
          <w:rFonts w:hint="eastAsia" w:ascii="Times New Roman" w:hAnsi="Times New Roman"/>
          <w:szCs w:val="24"/>
        </w:rPr>
      </w:pPr>
      <w:bookmarkStart w:id="28" w:name="_Toc245398403"/>
      <w:bookmarkStart w:id="29" w:name="_Toc276714498"/>
      <w:bookmarkStart w:id="30" w:name="_Toc245435311"/>
      <w:r>
        <w:rPr>
          <w:rFonts w:hint="eastAsia" w:ascii="Times New Roman" w:hAnsi="Times New Roman"/>
          <w:szCs w:val="24"/>
        </w:rPr>
        <w:t>在包装箱外应标明需方的订货号、发货号。</w:t>
      </w:r>
      <w:bookmarkEnd w:id="28"/>
      <w:bookmarkEnd w:id="29"/>
      <w:bookmarkEnd w:id="30"/>
    </w:p>
    <w:p>
      <w:pPr>
        <w:numPr>
          <w:ilvl w:val="0"/>
          <w:numId w:val="5"/>
        </w:numPr>
        <w:adjustRightInd w:val="0"/>
        <w:snapToGrid w:val="0"/>
        <w:spacing w:line="360" w:lineRule="auto"/>
        <w:rPr>
          <w:rFonts w:hint="eastAsia" w:ascii="Times New Roman" w:hAnsi="Times New Roman"/>
          <w:szCs w:val="24"/>
        </w:rPr>
      </w:pPr>
      <w:bookmarkStart w:id="31" w:name="_Toc245398404"/>
      <w:bookmarkStart w:id="32" w:name="_Toc276714499"/>
      <w:bookmarkStart w:id="33" w:name="_Toc245435312"/>
      <w:r>
        <w:rPr>
          <w:rFonts w:hint="eastAsia" w:ascii="Times New Roman" w:hAnsi="Times New Roman"/>
          <w:szCs w:val="24"/>
        </w:rPr>
        <w:t>各种包装应能确保各零部件在运输过程中不致遭到损坏、丢失、变形、受潮和腐蚀。</w:t>
      </w:r>
      <w:bookmarkEnd w:id="31"/>
      <w:bookmarkEnd w:id="32"/>
      <w:bookmarkEnd w:id="33"/>
    </w:p>
    <w:p>
      <w:pPr>
        <w:numPr>
          <w:ilvl w:val="0"/>
          <w:numId w:val="5"/>
        </w:numPr>
        <w:adjustRightInd w:val="0"/>
        <w:snapToGrid w:val="0"/>
        <w:spacing w:line="360" w:lineRule="auto"/>
        <w:rPr>
          <w:rFonts w:hint="eastAsia" w:ascii="Times New Roman" w:hAnsi="Times New Roman"/>
          <w:szCs w:val="24"/>
        </w:rPr>
      </w:pPr>
      <w:bookmarkStart w:id="34" w:name="_Toc245435313"/>
      <w:bookmarkStart w:id="35" w:name="_Toc276714500"/>
      <w:bookmarkStart w:id="36" w:name="_Toc245398405"/>
      <w:r>
        <w:rPr>
          <w:rFonts w:hint="eastAsia" w:ascii="Times New Roman" w:hAnsi="Times New Roman"/>
          <w:szCs w:val="24"/>
        </w:rPr>
        <w:t>包装箱上应有明显的包装储运图示标志(按GB191)。</w:t>
      </w:r>
      <w:bookmarkEnd w:id="34"/>
      <w:bookmarkEnd w:id="35"/>
      <w:bookmarkEnd w:id="36"/>
    </w:p>
    <w:p>
      <w:pPr>
        <w:numPr>
          <w:ilvl w:val="0"/>
          <w:numId w:val="5"/>
        </w:numPr>
        <w:adjustRightInd w:val="0"/>
        <w:snapToGrid w:val="0"/>
        <w:spacing w:line="360" w:lineRule="auto"/>
        <w:rPr>
          <w:rFonts w:hint="eastAsia" w:ascii="Times New Roman" w:hAnsi="Times New Roman"/>
          <w:szCs w:val="24"/>
        </w:rPr>
      </w:pPr>
      <w:bookmarkStart w:id="37" w:name="_Toc276714501"/>
      <w:bookmarkStart w:id="38" w:name="_Toc245435314"/>
      <w:bookmarkStart w:id="39" w:name="_Toc245398406"/>
      <w:r>
        <w:rPr>
          <w:rFonts w:hint="eastAsia" w:ascii="Times New Roman" w:hAnsi="Times New Roman"/>
          <w:szCs w:val="24"/>
        </w:rPr>
        <w:t>整体产品或分别运输的部件都要适合运输和装载的要求。</w:t>
      </w:r>
      <w:bookmarkEnd w:id="37"/>
      <w:bookmarkEnd w:id="38"/>
      <w:bookmarkEnd w:id="39"/>
    </w:p>
    <w:p>
      <w:pPr>
        <w:numPr>
          <w:ilvl w:val="0"/>
          <w:numId w:val="5"/>
        </w:numPr>
        <w:adjustRightInd w:val="0"/>
        <w:snapToGrid w:val="0"/>
        <w:spacing w:line="360" w:lineRule="auto"/>
        <w:rPr>
          <w:rFonts w:hint="eastAsia" w:ascii="Times New Roman" w:hAnsi="Times New Roman"/>
          <w:szCs w:val="24"/>
        </w:rPr>
      </w:pPr>
      <w:bookmarkStart w:id="40" w:name="_Toc245398407"/>
      <w:bookmarkStart w:id="41" w:name="_Toc276714502"/>
      <w:bookmarkStart w:id="42" w:name="_Toc245435315"/>
      <w:r>
        <w:rPr>
          <w:rFonts w:hint="eastAsia" w:ascii="Times New Roman" w:hAnsi="Times New Roman"/>
          <w:szCs w:val="24"/>
        </w:rPr>
        <w:t>随产品提供的技术资料应完整无缺，提供份额符合GB11032的要求。</w:t>
      </w:r>
      <w:bookmarkEnd w:id="40"/>
      <w:bookmarkEnd w:id="41"/>
      <w:bookmarkEnd w:id="42"/>
    </w:p>
    <w:p>
      <w:pPr>
        <w:numPr>
          <w:ilvl w:val="0"/>
          <w:numId w:val="5"/>
        </w:numPr>
        <w:adjustRightInd w:val="0"/>
        <w:snapToGrid w:val="0"/>
        <w:spacing w:line="360" w:lineRule="auto"/>
        <w:rPr>
          <w:rFonts w:hint="eastAsia" w:ascii="Times New Roman" w:hAnsi="Times New Roman"/>
          <w:szCs w:val="24"/>
        </w:rPr>
      </w:pPr>
      <w:bookmarkStart w:id="43" w:name="_Toc245435316"/>
      <w:bookmarkStart w:id="44" w:name="_Toc276714503"/>
      <w:bookmarkStart w:id="45" w:name="_Toc245398408"/>
      <w:r>
        <w:rPr>
          <w:rFonts w:hint="eastAsia" w:ascii="Times New Roman" w:hAnsi="Times New Roman"/>
          <w:szCs w:val="24"/>
        </w:rPr>
        <w:t>包装、运输和贮存均由投标方负责，运输的目的地为安装地点，设备抵达目的地后，投标方组织开箱验收。如果发现任一设备有偏差、损坏、损失、遗漏或数量、质量、技术规范因投标方的责任与合同不符，招标方有权向投标方提出索赔。</w:t>
      </w:r>
      <w:bookmarkEnd w:id="43"/>
      <w:bookmarkEnd w:id="44"/>
      <w:bookmarkEnd w:id="45"/>
    </w:p>
    <w:p>
      <w:pPr>
        <w:numPr>
          <w:ilvl w:val="0"/>
          <w:numId w:val="5"/>
        </w:numPr>
        <w:adjustRightInd w:val="0"/>
        <w:snapToGrid w:val="0"/>
        <w:spacing w:line="360" w:lineRule="auto"/>
        <w:rPr>
          <w:rFonts w:hint="eastAsia" w:ascii="Times New Roman" w:hAnsi="Times New Roman"/>
          <w:szCs w:val="24"/>
        </w:rPr>
      </w:pPr>
      <w:r>
        <w:rPr>
          <w:rFonts w:hint="eastAsia" w:ascii="Times New Roman" w:hAnsi="Times New Roman"/>
          <w:szCs w:val="24"/>
        </w:rPr>
        <w:t>订购的新产品除应满足本条件书外，投标方还应提供产品的鉴定证书。</w:t>
      </w:r>
    </w:p>
    <w:p>
      <w:pPr>
        <w:numPr>
          <w:ilvl w:val="0"/>
          <w:numId w:val="5"/>
        </w:numPr>
        <w:adjustRightInd w:val="0"/>
        <w:snapToGrid w:val="0"/>
        <w:spacing w:line="360" w:lineRule="auto"/>
        <w:rPr>
          <w:rFonts w:hint="eastAsia" w:ascii="Times New Roman" w:hAnsi="Times New Roman"/>
          <w:szCs w:val="24"/>
        </w:rPr>
      </w:pPr>
      <w:r>
        <w:rPr>
          <w:rFonts w:hint="eastAsia" w:ascii="Times New Roman" w:hAnsi="Times New Roman"/>
          <w:szCs w:val="24"/>
        </w:rPr>
        <w:t>投标方应保证制造过程中的所有工艺、材料等（包括投标方的外构件在内）均应符合规范书的规定。若招标方根据运行经验指定投标方提供某种外购零部件，投标方应积极配合。</w:t>
      </w:r>
    </w:p>
    <w:p>
      <w:pPr>
        <w:numPr>
          <w:ilvl w:val="0"/>
          <w:numId w:val="5"/>
        </w:numPr>
        <w:adjustRightInd w:val="0"/>
        <w:snapToGrid w:val="0"/>
        <w:spacing w:line="360" w:lineRule="auto"/>
        <w:rPr>
          <w:rFonts w:ascii="Times New Roman" w:hAnsi="Times New Roman"/>
          <w:szCs w:val="24"/>
        </w:rPr>
      </w:pPr>
      <w:r>
        <w:rPr>
          <w:rFonts w:hint="eastAsia" w:ascii="Times New Roman" w:hAnsi="Times New Roman"/>
          <w:szCs w:val="24"/>
        </w:rPr>
        <w:t>质保期间，因制造质量问题而发生损坏，或不能正常工作时，投标方应免费为招标方修理或更换零部件（质保期按设备投运日算起</w:t>
      </w:r>
      <w:r>
        <w:rPr>
          <w:rFonts w:hint="eastAsia" w:ascii="Times New Roman"/>
          <w:szCs w:val="24"/>
          <w:lang w:val="en-US" w:eastAsia="zh-CN"/>
        </w:rPr>
        <w:t>三</w:t>
      </w:r>
      <w:r>
        <w:rPr>
          <w:rFonts w:hint="eastAsia" w:ascii="Times New Roman" w:hAnsi="Times New Roman"/>
          <w:szCs w:val="24"/>
        </w:rPr>
        <w:t>年期间）。</w:t>
      </w:r>
    </w:p>
    <w:p>
      <w:pPr>
        <w:numPr>
          <w:ilvl w:val="0"/>
          <w:numId w:val="0"/>
        </w:numPr>
        <w:ind w:leftChars="0"/>
        <w:rPr>
          <w:rFonts w:hint="default"/>
          <w:lang w:val="en-US" w:eastAsia="zh-CN"/>
        </w:rPr>
      </w:pP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书宋简体">
    <w:altName w:val="宋体"/>
    <w:panose1 w:val="00000000000000000000"/>
    <w:charset w:val="86"/>
    <w:family w:val="auto"/>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8122343"/>
    <w:multiLevelType w:val="singleLevel"/>
    <w:tmpl w:val="D8122343"/>
    <w:lvl w:ilvl="0" w:tentative="0">
      <w:start w:val="5"/>
      <w:numFmt w:val="decimal"/>
      <w:lvlText w:val="%1."/>
      <w:lvlJc w:val="left"/>
      <w:pPr>
        <w:tabs>
          <w:tab w:val="left" w:pos="312"/>
        </w:tabs>
      </w:pPr>
    </w:lvl>
  </w:abstractNum>
  <w:abstractNum w:abstractNumId="1">
    <w:nsid w:val="00000009"/>
    <w:multiLevelType w:val="multilevel"/>
    <w:tmpl w:val="00000009"/>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pStyle w:val="12"/>
      <w:isLgl/>
      <w:suff w:val="space"/>
      <w:lvlText w:val="%1.%2.%3"/>
      <w:lvlJc w:val="left"/>
      <w:pPr>
        <w:ind w:left="0" w:firstLine="0"/>
      </w:pPr>
      <w:rPr>
        <w:rFonts w:hint="eastAsia"/>
        <w:b w:val="0"/>
        <w:i w:val="0"/>
      </w:rPr>
    </w:lvl>
    <w:lvl w:ilvl="3" w:tentative="0">
      <w:start w:val="1"/>
      <w:numFmt w:val="decimal"/>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0F1545A6"/>
    <w:multiLevelType w:val="singleLevel"/>
    <w:tmpl w:val="0F1545A6"/>
    <w:lvl w:ilvl="0" w:tentative="0">
      <w:start w:val="1"/>
      <w:numFmt w:val="decimal"/>
      <w:suff w:val="space"/>
      <w:lvlText w:val="%1)"/>
      <w:lvlJc w:val="left"/>
      <w:pPr>
        <w:ind w:left="-150"/>
      </w:pPr>
    </w:lvl>
  </w:abstractNum>
  <w:abstractNum w:abstractNumId="3">
    <w:nsid w:val="38927B5A"/>
    <w:multiLevelType w:val="multilevel"/>
    <w:tmpl w:val="38927B5A"/>
    <w:lvl w:ilvl="0" w:tentative="0">
      <w:start w:val="1"/>
      <w:numFmt w:val="bullet"/>
      <w:lvlText w:val=""/>
      <w:lvlJc w:val="left"/>
      <w:pPr>
        <w:tabs>
          <w:tab w:val="left" w:pos="420"/>
        </w:tabs>
        <w:ind w:left="420"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4">
    <w:nsid w:val="3C846478"/>
    <w:multiLevelType w:val="multilevel"/>
    <w:tmpl w:val="3C846478"/>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NotDisplayPageBoundaries w:val="1"/>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4MTljNDQ3ZjZiMmE2ZGMzNWE3OWRkMmNkYWYwMTMifQ=="/>
  </w:docVars>
  <w:rsids>
    <w:rsidRoot w:val="48CD0A21"/>
    <w:rsid w:val="01A8023A"/>
    <w:rsid w:val="04866978"/>
    <w:rsid w:val="06F772FB"/>
    <w:rsid w:val="097E7F9F"/>
    <w:rsid w:val="0A030928"/>
    <w:rsid w:val="0A2978C8"/>
    <w:rsid w:val="0B3B1AB0"/>
    <w:rsid w:val="0DFE7B03"/>
    <w:rsid w:val="0E3D5069"/>
    <w:rsid w:val="114875EB"/>
    <w:rsid w:val="122A26BF"/>
    <w:rsid w:val="14E159A8"/>
    <w:rsid w:val="15592117"/>
    <w:rsid w:val="16B9038D"/>
    <w:rsid w:val="183F64D4"/>
    <w:rsid w:val="188D3458"/>
    <w:rsid w:val="1A2754C3"/>
    <w:rsid w:val="1A872F16"/>
    <w:rsid w:val="1C1A7AA9"/>
    <w:rsid w:val="1C943385"/>
    <w:rsid w:val="1FF35D55"/>
    <w:rsid w:val="20334CAF"/>
    <w:rsid w:val="210163ED"/>
    <w:rsid w:val="216818F4"/>
    <w:rsid w:val="227261DD"/>
    <w:rsid w:val="26466C94"/>
    <w:rsid w:val="26BE4B70"/>
    <w:rsid w:val="26D94810"/>
    <w:rsid w:val="28D6498F"/>
    <w:rsid w:val="29D779BC"/>
    <w:rsid w:val="2CE64C0F"/>
    <w:rsid w:val="2D8F1A23"/>
    <w:rsid w:val="2DB027EF"/>
    <w:rsid w:val="2E203BBC"/>
    <w:rsid w:val="2F1B72D7"/>
    <w:rsid w:val="324C0413"/>
    <w:rsid w:val="36444932"/>
    <w:rsid w:val="3EED68CA"/>
    <w:rsid w:val="429D0A5D"/>
    <w:rsid w:val="455019E6"/>
    <w:rsid w:val="48CD0A21"/>
    <w:rsid w:val="4A0A301E"/>
    <w:rsid w:val="4AC57268"/>
    <w:rsid w:val="4AD90C7A"/>
    <w:rsid w:val="4C77480F"/>
    <w:rsid w:val="4DFB14C6"/>
    <w:rsid w:val="4E5212DB"/>
    <w:rsid w:val="50D5692A"/>
    <w:rsid w:val="53795C84"/>
    <w:rsid w:val="5443781B"/>
    <w:rsid w:val="57363121"/>
    <w:rsid w:val="585A6C45"/>
    <w:rsid w:val="5B27348E"/>
    <w:rsid w:val="60520E8D"/>
    <w:rsid w:val="63B636A5"/>
    <w:rsid w:val="67C3785A"/>
    <w:rsid w:val="68637725"/>
    <w:rsid w:val="69303421"/>
    <w:rsid w:val="6B226287"/>
    <w:rsid w:val="6C271898"/>
    <w:rsid w:val="6C787FDF"/>
    <w:rsid w:val="6D0801AC"/>
    <w:rsid w:val="6D900053"/>
    <w:rsid w:val="6EC77415"/>
    <w:rsid w:val="71E30EA7"/>
    <w:rsid w:val="724C2FD8"/>
    <w:rsid w:val="73712344"/>
    <w:rsid w:val="756C0933"/>
    <w:rsid w:val="76C32D98"/>
    <w:rsid w:val="76FF1E55"/>
    <w:rsid w:val="791671A9"/>
    <w:rsid w:val="7EE26EC3"/>
    <w:rsid w:val="7F926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qFormat/>
    <w:uiPriority w:val="0"/>
    <w:pPr>
      <w:keepNext/>
      <w:keepLines/>
      <w:numPr>
        <w:ilvl w:val="0"/>
        <w:numId w:val="1"/>
      </w:numPr>
      <w:jc w:val="left"/>
      <w:outlineLvl w:val="0"/>
    </w:pPr>
    <w:rPr>
      <w:rFonts w:hAnsi="宋体"/>
      <w:b/>
      <w:bCs/>
      <w:kern w:val="44"/>
      <w:sz w:val="32"/>
      <w:szCs w:val="44"/>
    </w:rPr>
  </w:style>
  <w:style w:type="paragraph" w:styleId="4">
    <w:name w:val="heading 2"/>
    <w:basedOn w:val="1"/>
    <w:next w:val="1"/>
    <w:qFormat/>
    <w:uiPriority w:val="0"/>
    <w:pPr>
      <w:keepNext/>
      <w:keepLines/>
      <w:numPr>
        <w:ilvl w:val="1"/>
        <w:numId w:val="1"/>
      </w:numPr>
      <w:jc w:val="left"/>
      <w:outlineLvl w:val="1"/>
    </w:pPr>
    <w:rPr>
      <w:rFonts w:hAnsi="宋体"/>
      <w:b/>
      <w:bCs/>
      <w:szCs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pPr>
      <w:spacing w:after="120"/>
    </w:pPr>
    <w:rPr>
      <w:rFonts w:asciiTheme="minorHAnsi" w:hAnsiTheme="minorHAnsi" w:cstheme="minorBidi"/>
    </w:rPr>
  </w:style>
  <w:style w:type="paragraph" w:styleId="5">
    <w:name w:val="annotation text"/>
    <w:basedOn w:val="1"/>
    <w:qFormat/>
    <w:uiPriority w:val="99"/>
    <w:pPr>
      <w:jc w:val="left"/>
    </w:p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qFormat/>
    <w:uiPriority w:val="0"/>
  </w:style>
  <w:style w:type="paragraph" w:styleId="9">
    <w:name w:val="toc 2"/>
    <w:basedOn w:val="1"/>
    <w:next w:val="1"/>
    <w:qFormat/>
    <w:uiPriority w:val="0"/>
    <w:pPr>
      <w:ind w:left="420" w:leftChars="200"/>
    </w:pPr>
  </w:style>
  <w:style w:type="paragraph" w:customStyle="1" w:styleId="12">
    <w:name w:val="样式1"/>
    <w:basedOn w:val="1"/>
    <w:qFormat/>
    <w:uiPriority w:val="0"/>
    <w:pPr>
      <w:numPr>
        <w:ilvl w:val="2"/>
        <w:numId w:val="1"/>
      </w:numPr>
    </w:pPr>
  </w:style>
  <w:style w:type="paragraph" w:customStyle="1" w:styleId="13">
    <w:name w:val="首行缩进"/>
    <w:basedOn w:val="1"/>
    <w:qFormat/>
    <w:uiPriority w:val="0"/>
    <w:pPr>
      <w:spacing w:line="300" w:lineRule="auto"/>
      <w:ind w:firstLine="420" w:firstLineChars="200"/>
    </w:pPr>
    <w:rPr>
      <w:rFonts w:ascii="Calibri" w:hAnsi="Calibri" w:eastAsia="方正书宋简体"/>
      <w:kern w:val="0"/>
      <w:sz w:val="20"/>
    </w:rPr>
  </w:style>
  <w:style w:type="paragraph" w:customStyle="1" w:styleId="14">
    <w:name w:val="小标"/>
    <w:basedOn w:val="1"/>
    <w:qFormat/>
    <w:uiPriority w:val="0"/>
    <w:pPr>
      <w:spacing w:line="360" w:lineRule="auto"/>
    </w:pPr>
    <w:rPr>
      <w:rFonts w:ascii="Calibri" w:hAnsi="Calibri"/>
      <w:b/>
      <w:sz w:val="24"/>
    </w:rPr>
  </w:style>
  <w:style w:type="paragraph" w:customStyle="1" w:styleId="15">
    <w:name w:val="WPSOffice手动目录 1"/>
    <w:qFormat/>
    <w:uiPriority w:val="0"/>
    <w:pPr>
      <w:ind w:leftChars="0"/>
    </w:pPr>
    <w:rPr>
      <w:rFonts w:ascii="Times New Roman" w:hAnsi="Times New Roman" w:eastAsia="宋体" w:cs="Times New Roman"/>
      <w:sz w:val="20"/>
      <w:szCs w:val="20"/>
    </w:rPr>
  </w:style>
  <w:style w:type="paragraph" w:customStyle="1" w:styleId="16">
    <w:name w:val="WPSOffice手动目录 2"/>
    <w:qFormat/>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3883</Words>
  <Characters>4328</Characters>
  <Lines>1</Lines>
  <Paragraphs>1</Paragraphs>
  <TotalTime>1</TotalTime>
  <ScaleCrop>false</ScaleCrop>
  <LinksUpToDate>false</LinksUpToDate>
  <CharactersWithSpaces>4455</CharactersWithSpaces>
  <Application>WPS Office_11.8.2.11813_F1E327BC-269C-435d-A152-05C5408002CA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2021-08-16T02:04:00Z</dcterms:created>
  <dc:creator>若惜</dc:creator>
  <cp:lastModifiedBy>liuxingyan.hz</cp:lastModifiedBy>
  <dcterms:modified xsi:type="dcterms:W3CDTF">2024-08-16T08:21:44Z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2052-11.8.2.11813</vt:lpwstr>
  </property>
  <property fmtid="{D5CDD505-2E9C-101B-9397-08002B2CF9AE}" pid="3" name="ICV">
    <vt:lpwstr>C70DBB6D9FDB4949BF4AD97B487A12F8</vt:lpwstr>
  </property>
</Properties>
</file>