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widowControl/>
        <w:snapToGrid w:val="0"/>
        <w:spacing w:before="0" w:beforeAutospacing="0" w:after="0" w:afterAutospacing="0" w:line="700" w:lineRule="exact"/>
        <w:ind w:right="140"/>
        <w:jc w:val="center"/>
        <w:textAlignment w:val="baseline"/>
        <w:rPr>
          <w:rStyle w:val="11"/>
          <w:rFonts w:ascii="宋体" w:hAnsi="宋体" w:eastAsia="宋体"/>
          <w:b/>
          <w:i w:val="0"/>
          <w:caps w:val="0"/>
          <w:color w:val="000000"/>
          <w:spacing w:val="0"/>
          <w:w w:val="100"/>
          <w:sz w:val="52"/>
          <w:szCs w:val="22"/>
          <w:lang w:val="en-US" w:eastAsia="zh-CN" w:bidi="ar-SA"/>
        </w:rPr>
      </w:pPr>
    </w:p>
    <w:p>
      <w:pPr>
        <w:pStyle w:val="10"/>
        <w:widowControl/>
        <w:snapToGrid w:val="0"/>
        <w:spacing w:before="0" w:beforeAutospacing="0" w:after="0" w:afterAutospacing="0" w:line="700" w:lineRule="exact"/>
        <w:ind w:right="140"/>
        <w:jc w:val="center"/>
        <w:textAlignment w:val="baseline"/>
        <w:rPr>
          <w:rStyle w:val="11"/>
          <w:rFonts w:ascii="宋体" w:hAnsi="宋体" w:eastAsia="宋体"/>
          <w:b/>
          <w:i w:val="0"/>
          <w:caps w:val="0"/>
          <w:color w:val="000000"/>
          <w:spacing w:val="0"/>
          <w:w w:val="100"/>
          <w:sz w:val="52"/>
          <w:szCs w:val="22"/>
          <w:lang w:val="en-US" w:eastAsia="zh-CN" w:bidi="ar-SA"/>
        </w:rPr>
      </w:pPr>
    </w:p>
    <w:p>
      <w:pPr>
        <w:pStyle w:val="10"/>
        <w:widowControl/>
        <w:snapToGrid w:val="0"/>
        <w:spacing w:before="0" w:beforeAutospacing="0" w:after="0" w:afterAutospacing="0" w:line="700" w:lineRule="exact"/>
        <w:ind w:right="140"/>
        <w:jc w:val="center"/>
        <w:textAlignment w:val="baseline"/>
        <w:rPr>
          <w:rStyle w:val="11"/>
          <w:rFonts w:hint="eastAsia" w:ascii="方正小标宋_GBK" w:hAnsi="方正小标宋_GBK" w:eastAsia="方正小标宋_GBK" w:cs="方正小标宋_GBK"/>
          <w:b/>
          <w:i w:val="0"/>
          <w:caps w:val="0"/>
          <w:spacing w:val="0"/>
          <w:w w:val="100"/>
          <w:sz w:val="44"/>
          <w:szCs w:val="44"/>
          <w:lang w:val="en-US" w:eastAsia="zh-CN" w:bidi="ar-SA"/>
        </w:rPr>
      </w:pPr>
      <w:r>
        <w:rPr>
          <w:rStyle w:val="11"/>
          <w:rFonts w:hint="eastAsia" w:ascii="方正小标宋_GBK" w:hAnsi="方正小标宋_GBK" w:eastAsia="方正小标宋_GBK" w:cs="方正小标宋_GBK"/>
          <w:b/>
          <w:i w:val="0"/>
          <w:caps w:val="0"/>
          <w:color w:val="000000"/>
          <w:spacing w:val="0"/>
          <w:w w:val="100"/>
          <w:sz w:val="44"/>
          <w:szCs w:val="44"/>
          <w:lang w:val="en-US" w:eastAsia="zh-CN" w:bidi="ar-SA"/>
        </w:rPr>
        <w:t>燃油、电动叉车维保技术规范</w:t>
      </w: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hint="eastAsia" w:ascii="方正仿宋_GB2312" w:hAnsi="方正仿宋_GB2312" w:eastAsia="方正仿宋_GB2312" w:cs="方正仿宋_GB2312"/>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exact"/>
        <w:jc w:val="center"/>
        <w:textAlignment w:val="baseline"/>
        <w:rPr>
          <w:rStyle w:val="11"/>
          <w:rFonts w:ascii="宋体" w:hAnsi="宋体"/>
          <w:b w:val="0"/>
          <w:i w:val="0"/>
          <w:caps w:val="0"/>
          <w:spacing w:val="0"/>
          <w:w w:val="100"/>
          <w:kern w:val="2"/>
          <w:sz w:val="32"/>
          <w:lang w:val="en-US" w:eastAsia="zh-CN" w:bidi="ar-SA"/>
        </w:rPr>
      </w:pPr>
    </w:p>
    <w:p>
      <w:pPr>
        <w:snapToGrid w:val="0"/>
        <w:spacing w:before="0" w:beforeAutospacing="0" w:after="0" w:afterAutospacing="0" w:line="240" w:lineRule="exact"/>
        <w:jc w:val="center"/>
        <w:textAlignment w:val="baseline"/>
        <w:rPr>
          <w:rStyle w:val="11"/>
          <w:rFonts w:ascii="宋体" w:hAnsi="宋体"/>
          <w:b w:val="0"/>
          <w:i w:val="0"/>
          <w:caps w:val="0"/>
          <w:spacing w:val="0"/>
          <w:w w:val="100"/>
          <w:kern w:val="2"/>
          <w:sz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pStyle w:val="9"/>
        <w:widowControl/>
        <w:tabs>
          <w:tab w:val="right" w:leader="dot" w:pos="8296"/>
        </w:tabs>
        <w:snapToGrid w:val="0"/>
        <w:spacing w:before="120" w:beforeAutospacing="0" w:after="120" w:afterAutospacing="0" w:line="360" w:lineRule="auto"/>
        <w:jc w:val="left"/>
        <w:textAlignment w:val="baseline"/>
        <w:rPr>
          <w:rStyle w:val="8"/>
          <w:rFonts w:cs="Times New Roman"/>
          <w:b w:val="0"/>
          <w:bCs/>
          <w:i w:val="0"/>
          <w:caps/>
          <w:color w:val="0000FF"/>
          <w:spacing w:val="0"/>
          <w:w w:val="100"/>
          <w:kern w:val="2"/>
          <w:sz w:val="28"/>
          <w:szCs w:val="28"/>
          <w:u w:val="single" w:color="0000FF"/>
          <w:lang w:val="en-US" w:eastAsia="zh-CN" w:bidi="ar-SA"/>
        </w:rPr>
      </w:pPr>
    </w:p>
    <w:p>
      <w:pPr>
        <w:pStyle w:val="9"/>
        <w:widowControl/>
        <w:tabs>
          <w:tab w:val="right" w:leader="dot" w:pos="8296"/>
        </w:tabs>
        <w:snapToGrid w:val="0"/>
        <w:spacing w:before="120" w:beforeAutospacing="0" w:after="120" w:afterAutospacing="0" w:line="360" w:lineRule="auto"/>
        <w:jc w:val="left"/>
        <w:textAlignment w:val="baseline"/>
        <w:rPr>
          <w:rStyle w:val="11"/>
          <w:rFonts w:ascii="仿宋_GB2312" w:eastAsia="仿宋_GB2312"/>
          <w:b/>
          <w:i w:val="0"/>
          <w:caps w:val="0"/>
          <w:spacing w:val="0"/>
          <w:w w:val="100"/>
          <w:kern w:val="2"/>
          <w:sz w:val="30"/>
          <w:szCs w:val="28"/>
          <w:lang w:val="en-US" w:eastAsia="zh-CN" w:bidi="ar-SA"/>
        </w:rPr>
      </w:pPr>
    </w:p>
    <w:p>
      <w:pPr>
        <w:snapToGrid w:val="0"/>
        <w:spacing w:before="0" w:beforeAutospacing="0" w:after="0" w:afterAutospacing="0" w:line="360" w:lineRule="auto"/>
        <w:ind w:firstLine="640" w:firstLineChars="200"/>
        <w:jc w:val="center"/>
        <w:textAlignment w:val="baseline"/>
        <w:rPr>
          <w:rStyle w:val="11"/>
          <w:rFonts w:hint="eastAsia" w:ascii="仿宋_GB2312" w:eastAsia="仿宋_GB2312"/>
          <w:b w:val="0"/>
          <w:i w:val="0"/>
          <w:caps w:val="0"/>
          <w:spacing w:val="0"/>
          <w:w w:val="100"/>
          <w:kern w:val="2"/>
          <w:sz w:val="32"/>
          <w:szCs w:val="32"/>
          <w:lang w:val="en-US" w:eastAsia="zh-CN" w:bidi="ar-SA"/>
        </w:rPr>
      </w:pPr>
      <w:r>
        <w:rPr>
          <w:rStyle w:val="11"/>
          <w:rFonts w:hint="eastAsia" w:ascii="仿宋_GB2312" w:eastAsia="仿宋_GB2312"/>
          <w:b w:val="0"/>
          <w:i w:val="0"/>
          <w:caps w:val="0"/>
          <w:spacing w:val="0"/>
          <w:w w:val="100"/>
          <w:kern w:val="2"/>
          <w:sz w:val="32"/>
          <w:szCs w:val="32"/>
          <w:lang w:val="en-US" w:eastAsia="zh-CN" w:bidi="ar-SA"/>
        </w:rPr>
        <w:t>2024年08月</w:t>
      </w:r>
    </w:p>
    <w:p>
      <w:pPr>
        <w:snapToGrid w:val="0"/>
        <w:spacing w:before="0" w:beforeAutospacing="0" w:after="0" w:afterAutospacing="0" w:line="360" w:lineRule="auto"/>
        <w:ind w:firstLine="562" w:firstLineChars="200"/>
        <w:jc w:val="both"/>
        <w:textAlignment w:val="baseline"/>
        <w:rPr>
          <w:rStyle w:val="11"/>
          <w:rFonts w:ascii="仿宋_GB2312" w:eastAsia="仿宋_GB2312"/>
          <w:b/>
          <w:i w:val="0"/>
          <w:caps w:val="0"/>
          <w:spacing w:val="0"/>
          <w:w w:val="100"/>
          <w:kern w:val="2"/>
          <w:sz w:val="28"/>
          <w:szCs w:val="28"/>
          <w:lang w:val="en-US" w:eastAsia="zh-CN" w:bidi="ar-SA"/>
        </w:rPr>
      </w:pPr>
      <w:r>
        <w:rPr>
          <w:rStyle w:val="11"/>
          <w:rFonts w:ascii="仿宋_GB2312" w:eastAsia="仿宋_GB2312"/>
          <w:b/>
          <w:i w:val="0"/>
          <w:caps w:val="0"/>
          <w:spacing w:val="0"/>
          <w:w w:val="100"/>
          <w:kern w:val="2"/>
          <w:sz w:val="28"/>
          <w:szCs w:val="28"/>
          <w:lang w:val="en-US" w:eastAsia="zh-CN" w:bidi="ar-SA"/>
        </w:rPr>
        <w:br w:type="page"/>
      </w:r>
      <w:r>
        <w:rPr>
          <w:rStyle w:val="11"/>
          <w:rFonts w:ascii="仿宋_GB2312" w:eastAsia="仿宋_GB2312"/>
          <w:b/>
          <w:i w:val="0"/>
          <w:caps w:val="0"/>
          <w:spacing w:val="0"/>
          <w:w w:val="100"/>
          <w:kern w:val="2"/>
          <w:sz w:val="28"/>
          <w:szCs w:val="28"/>
          <w:lang w:val="en-US" w:eastAsia="zh-CN" w:bidi="ar-SA"/>
        </w:rPr>
        <w:t>一、总则</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（一）本技术条件规定了</w:t>
      </w:r>
      <w:r>
        <w:rPr>
          <w:rStyle w:val="11"/>
          <w:rFonts w:hint="eastAsia" w:ascii="仿宋_GB2312" w:eastAsia="仿宋_GB2312"/>
          <w:b w:val="0"/>
          <w:i w:val="0"/>
          <w:caps w:val="0"/>
          <w:spacing w:val="0"/>
          <w:w w:val="100"/>
          <w:kern w:val="2"/>
          <w:sz w:val="28"/>
          <w:szCs w:val="28"/>
          <w:lang w:val="en-US" w:eastAsia="zh-CN" w:bidi="ar-SA"/>
        </w:rPr>
        <w:t>内燃、电动叉车</w:t>
      </w:r>
      <w:r>
        <w:rPr>
          <w:rStyle w:val="11"/>
          <w:rFonts w:ascii="仿宋_GB2312" w:eastAsia="仿宋_GB2312"/>
          <w:b w:val="0"/>
          <w:i w:val="0"/>
          <w:caps w:val="0"/>
          <w:spacing w:val="0"/>
          <w:w w:val="100"/>
          <w:kern w:val="2"/>
          <w:sz w:val="28"/>
          <w:szCs w:val="28"/>
          <w:lang w:val="en-US" w:eastAsia="zh-CN" w:bidi="ar-SA"/>
        </w:rPr>
        <w:t>维修维保的使用条件、技术参数、性能、结构、技术要求、验收等内容。</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二）本招标文件提出的是最低限度的技术要求，并未对一切技术细节作出规定，也未充分引述有关标准和规范的条文，投标人应提供符合本采购标准规范引用标准的最新版本和本招标文件技术要求的全新产品。如果所引用的标准之间不一致或本招标文件所使用的标准与投标人所执行的标准不一致时，按要求较高的标准执行。</w:t>
      </w:r>
    </w:p>
    <w:p>
      <w:pPr>
        <w:snapToGrid w:val="0"/>
        <w:spacing w:before="0" w:beforeAutospacing="0" w:after="0" w:afterAutospacing="0" w:line="360" w:lineRule="auto"/>
        <w:ind w:firstLine="562" w:firstLineChars="200"/>
        <w:jc w:val="both"/>
        <w:textAlignment w:val="baseline"/>
        <w:rPr>
          <w:rStyle w:val="11"/>
          <w:rFonts w:ascii="仿宋_GB2312" w:hAnsi="宋体" w:eastAsia="仿宋_GB2312"/>
          <w:b/>
          <w:i w:val="0"/>
          <w:caps w:val="0"/>
          <w:spacing w:val="0"/>
          <w:w w:val="100"/>
          <w:kern w:val="2"/>
          <w:sz w:val="28"/>
          <w:szCs w:val="28"/>
          <w:lang w:val="en-US" w:eastAsia="zh-CN" w:bidi="ar-SA"/>
        </w:rPr>
      </w:pPr>
      <w:r>
        <w:rPr>
          <w:rStyle w:val="11"/>
          <w:rFonts w:hint="eastAsia" w:ascii="仿宋_GB2312" w:hAnsi="宋体" w:eastAsia="仿宋_GB2312"/>
          <w:b/>
          <w:i w:val="0"/>
          <w:caps w:val="0"/>
          <w:spacing w:val="0"/>
          <w:w w:val="100"/>
          <w:kern w:val="2"/>
          <w:sz w:val="28"/>
          <w:szCs w:val="28"/>
          <w:lang w:val="en-US" w:eastAsia="zh-CN" w:bidi="ar-SA"/>
        </w:rPr>
        <w:t>二</w:t>
      </w:r>
      <w:r>
        <w:rPr>
          <w:rStyle w:val="11"/>
          <w:rFonts w:ascii="仿宋_GB2312" w:hAnsi="宋体" w:eastAsia="仿宋_GB2312"/>
          <w:b/>
          <w:i w:val="0"/>
          <w:caps w:val="0"/>
          <w:spacing w:val="0"/>
          <w:w w:val="100"/>
          <w:kern w:val="2"/>
          <w:sz w:val="28"/>
          <w:szCs w:val="28"/>
          <w:lang w:val="en-US" w:eastAsia="zh-CN" w:bidi="ar-SA"/>
        </w:rPr>
        <w:t>、应遵循的标准和规范</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如果供方有自已的企业标准或规范，应提供标准代号及其有关内容，并经需方同意后方可采用，但原则上采用更高要求的标准。</w:t>
      </w:r>
    </w:p>
    <w:p>
      <w:pPr>
        <w:snapToGrid w:val="0"/>
        <w:spacing w:before="0" w:beforeAutospacing="0" w:after="0" w:afterAutospacing="0" w:line="360" w:lineRule="auto"/>
        <w:ind w:firstLine="274" w:firstLineChars="98"/>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投标方提供的产品应满足本技术条件书规定的技术参数和要求及以下标准。</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hint="eastAsia" w:ascii="仿宋_GB2312" w:eastAsia="仿宋_GB2312"/>
          <w:b w:val="0"/>
          <w:i w:val="0"/>
          <w:caps w:val="0"/>
          <w:spacing w:val="0"/>
          <w:w w:val="100"/>
          <w:kern w:val="2"/>
          <w:sz w:val="28"/>
          <w:szCs w:val="28"/>
          <w:lang w:val="en-US" w:eastAsia="zh-CN" w:bidi="ar-SA"/>
        </w:rPr>
        <w:t>GB/T 36507-2023 工业车辆使用、操作与维护安全规范</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cs="Times New Roman"/>
          <w:b w:val="0"/>
          <w:i w:val="0"/>
          <w:caps w:val="0"/>
          <w:spacing w:val="0"/>
          <w:w w:val="100"/>
          <w:kern w:val="2"/>
          <w:sz w:val="28"/>
          <w:szCs w:val="28"/>
          <w:lang w:val="en-US" w:eastAsia="zh-CN" w:bidi="ar-SA"/>
        </w:rPr>
      </w:pPr>
      <w:r>
        <w:rPr>
          <w:rStyle w:val="11"/>
          <w:rFonts w:hint="eastAsia" w:ascii="仿宋_GB2312" w:eastAsia="仿宋_GB2312" w:cs="Times New Roman"/>
          <w:b w:val="0"/>
          <w:i w:val="0"/>
          <w:caps w:val="0"/>
          <w:spacing w:val="0"/>
          <w:w w:val="100"/>
          <w:kern w:val="2"/>
          <w:sz w:val="28"/>
          <w:szCs w:val="28"/>
          <w:lang w:val="en-US" w:eastAsia="zh-CN" w:bidi="ar-SA"/>
        </w:rPr>
        <w:t>GBT 43756-2024 叉车设计规范</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cs="Times New Roman"/>
          <w:b w:val="0"/>
          <w:i w:val="0"/>
          <w:caps w:val="0"/>
          <w:spacing w:val="0"/>
          <w:w w:val="100"/>
          <w:kern w:val="2"/>
          <w:sz w:val="28"/>
          <w:szCs w:val="28"/>
          <w:lang w:val="en-US" w:eastAsia="zh-CN" w:bidi="ar-SA"/>
        </w:rPr>
      </w:pPr>
      <w:r>
        <w:rPr>
          <w:rStyle w:val="11"/>
          <w:rFonts w:hint="eastAsia" w:ascii="仿宋_GB2312" w:eastAsia="仿宋_GB2312" w:cs="Times New Roman"/>
          <w:b w:val="0"/>
          <w:i w:val="0"/>
          <w:caps w:val="0"/>
          <w:spacing w:val="0"/>
          <w:w w:val="100"/>
          <w:kern w:val="2"/>
          <w:sz w:val="28"/>
          <w:szCs w:val="28"/>
          <w:lang w:val="en-US" w:eastAsia="zh-CN" w:bidi="ar-SA"/>
        </w:rPr>
        <w:t>GB/T 5141-2005 平衡重式叉车 稳定性试验</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cs="Times New Roman"/>
          <w:b w:val="0"/>
          <w:i w:val="0"/>
          <w:caps w:val="0"/>
          <w:spacing w:val="0"/>
          <w:w w:val="100"/>
          <w:kern w:val="2"/>
          <w:sz w:val="28"/>
          <w:szCs w:val="28"/>
          <w:lang w:val="en-US" w:eastAsia="zh-CN" w:bidi="ar-SA"/>
        </w:rPr>
      </w:pPr>
      <w:r>
        <w:rPr>
          <w:rStyle w:val="11"/>
          <w:rFonts w:hint="eastAsia" w:ascii="仿宋_GB2312" w:eastAsia="仿宋_GB2312" w:cs="Times New Roman"/>
          <w:b w:val="0"/>
          <w:i w:val="0"/>
          <w:caps w:val="0"/>
          <w:spacing w:val="0"/>
          <w:w w:val="100"/>
          <w:kern w:val="2"/>
          <w:sz w:val="28"/>
          <w:szCs w:val="28"/>
          <w:lang w:val="en-US" w:eastAsia="zh-CN" w:bidi="ar-SA"/>
        </w:rPr>
        <w:fldChar w:fldCharType="begin"/>
      </w:r>
      <w:r>
        <w:rPr>
          <w:rStyle w:val="11"/>
          <w:rFonts w:hint="eastAsia" w:ascii="仿宋_GB2312" w:eastAsia="仿宋_GB2312" w:cs="Times New Roman"/>
          <w:b w:val="0"/>
          <w:i w:val="0"/>
          <w:caps w:val="0"/>
          <w:spacing w:val="0"/>
          <w:w w:val="100"/>
          <w:kern w:val="2"/>
          <w:sz w:val="28"/>
          <w:szCs w:val="28"/>
          <w:lang w:val="en-US" w:eastAsia="zh-CN" w:bidi="ar-SA"/>
        </w:rPr>
        <w:instrText xml:space="preserve"> HYPERLINK "https://std.samr.gov.cn/gb/search/gbDetailed?id=173829859CFC1AA5E06397BE0A0AA311" \t "https://std.samr.gov.cn/search/_blank" </w:instrText>
      </w:r>
      <w:r>
        <w:rPr>
          <w:rStyle w:val="11"/>
          <w:rFonts w:hint="eastAsia" w:ascii="仿宋_GB2312" w:eastAsia="仿宋_GB2312" w:cs="Times New Roman"/>
          <w:b w:val="0"/>
          <w:i w:val="0"/>
          <w:caps w:val="0"/>
          <w:spacing w:val="0"/>
          <w:w w:val="100"/>
          <w:kern w:val="2"/>
          <w:sz w:val="28"/>
          <w:szCs w:val="28"/>
          <w:lang w:val="en-US" w:eastAsia="zh-CN" w:bidi="ar-SA"/>
        </w:rPr>
        <w:fldChar w:fldCharType="separate"/>
      </w:r>
      <w:r>
        <w:rPr>
          <w:rStyle w:val="11"/>
          <w:rFonts w:hint="default" w:ascii="仿宋_GB2312" w:eastAsia="仿宋_GB2312" w:cs="Times New Roman"/>
          <w:b w:val="0"/>
          <w:i w:val="0"/>
          <w:caps w:val="0"/>
          <w:spacing w:val="0"/>
          <w:w w:val="100"/>
          <w:kern w:val="2"/>
          <w:sz w:val="28"/>
          <w:szCs w:val="28"/>
          <w:lang w:val="en-US" w:eastAsia="zh-CN" w:bidi="ar-SA"/>
        </w:rPr>
        <w:t>GB/T 43909-2024</w:t>
      </w:r>
      <w:r>
        <w:rPr>
          <w:rStyle w:val="11"/>
          <w:rFonts w:hint="eastAsia" w:ascii="仿宋_GB2312" w:eastAsia="仿宋_GB2312" w:cs="Times New Roman"/>
          <w:b w:val="0"/>
          <w:i w:val="0"/>
          <w:caps w:val="0"/>
          <w:spacing w:val="0"/>
          <w:w w:val="100"/>
          <w:kern w:val="2"/>
          <w:sz w:val="28"/>
          <w:szCs w:val="28"/>
          <w:lang w:val="en-US" w:eastAsia="zh-CN" w:bidi="ar-SA"/>
        </w:rPr>
        <w:t xml:space="preserve"> </w:t>
      </w:r>
      <w:r>
        <w:rPr>
          <w:rStyle w:val="11"/>
          <w:rFonts w:hint="default" w:ascii="仿宋_GB2312" w:eastAsia="仿宋_GB2312" w:cs="Times New Roman"/>
          <w:b w:val="0"/>
          <w:i w:val="0"/>
          <w:caps w:val="0"/>
          <w:spacing w:val="0"/>
          <w:w w:val="100"/>
          <w:kern w:val="2"/>
          <w:sz w:val="28"/>
          <w:szCs w:val="28"/>
          <w:lang w:val="en-US" w:eastAsia="zh-CN" w:bidi="ar-SA"/>
        </w:rPr>
        <w:t>叉车属具 安全要求</w:t>
      </w:r>
      <w:r>
        <w:rPr>
          <w:rStyle w:val="11"/>
          <w:rFonts w:hint="default" w:ascii="仿宋_GB2312" w:eastAsia="仿宋_GB2312" w:cs="Times New Roman"/>
          <w:b w:val="0"/>
          <w:i w:val="0"/>
          <w:caps w:val="0"/>
          <w:spacing w:val="0"/>
          <w:w w:val="100"/>
          <w:kern w:val="2"/>
          <w:sz w:val="28"/>
          <w:szCs w:val="28"/>
          <w:lang w:val="en-US" w:eastAsia="zh-CN" w:bidi="ar-SA"/>
        </w:rPr>
        <w:fldChar w:fldCharType="end"/>
      </w:r>
    </w:p>
    <w:p>
      <w:pPr>
        <w:snapToGrid w:val="0"/>
        <w:spacing w:before="0" w:beforeAutospacing="0" w:after="0" w:afterAutospacing="0" w:line="360" w:lineRule="auto"/>
        <w:ind w:firstLine="562" w:firstLineChars="200"/>
        <w:jc w:val="both"/>
        <w:textAlignment w:val="baseline"/>
        <w:rPr>
          <w:rStyle w:val="11"/>
          <w:rFonts w:hint="eastAsia" w:ascii="Times New Roman" w:hAnsi="Times New Roman" w:eastAsia="仿宋_GB2312"/>
          <w:b w:val="0"/>
          <w:i w:val="0"/>
          <w:caps w:val="0"/>
          <w:spacing w:val="0"/>
          <w:w w:val="100"/>
          <w:kern w:val="2"/>
          <w:sz w:val="24"/>
          <w:lang w:val="en-US" w:eastAsia="zh-CN" w:bidi="ar-SA"/>
        </w:rPr>
      </w:pPr>
      <w:r>
        <w:rPr>
          <w:rStyle w:val="11"/>
          <w:rFonts w:hint="eastAsia" w:ascii="仿宋_GB2312" w:eastAsia="仿宋_GB2312"/>
          <w:b/>
          <w:i w:val="0"/>
          <w:caps w:val="0"/>
          <w:spacing w:val="0"/>
          <w:w w:val="100"/>
          <w:kern w:val="2"/>
          <w:sz w:val="28"/>
          <w:lang w:val="en-US" w:eastAsia="zh-CN" w:bidi="ar-SA"/>
        </w:rPr>
        <w:t>三</w:t>
      </w:r>
      <w:r>
        <w:rPr>
          <w:rStyle w:val="11"/>
          <w:rFonts w:ascii="仿宋_GB2312" w:eastAsia="仿宋_GB2312"/>
          <w:b/>
          <w:i w:val="0"/>
          <w:caps w:val="0"/>
          <w:spacing w:val="0"/>
          <w:w w:val="100"/>
          <w:kern w:val="2"/>
          <w:sz w:val="28"/>
          <w:lang w:val="en-US" w:eastAsia="zh-CN" w:bidi="ar-SA"/>
        </w:rPr>
        <w:t>、</w:t>
      </w:r>
      <w:r>
        <w:rPr>
          <w:rStyle w:val="11"/>
          <w:rFonts w:hint="eastAsia" w:ascii="仿宋_GB2312" w:eastAsia="仿宋_GB2312"/>
          <w:b/>
          <w:i w:val="0"/>
          <w:caps w:val="0"/>
          <w:spacing w:val="0"/>
          <w:w w:val="100"/>
          <w:kern w:val="2"/>
          <w:sz w:val="28"/>
          <w:lang w:val="en-US" w:eastAsia="zh-CN" w:bidi="ar-SA"/>
        </w:rPr>
        <w:t>服务范围</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 xml:space="preserve">1. </w:t>
      </w:r>
      <w:r>
        <w:rPr>
          <w:rStyle w:val="11"/>
          <w:rFonts w:hint="eastAsia" w:ascii="仿宋_GB2312" w:eastAsia="仿宋_GB2312"/>
          <w:b w:val="0"/>
          <w:i w:val="0"/>
          <w:caps w:val="0"/>
          <w:spacing w:val="0"/>
          <w:w w:val="100"/>
          <w:kern w:val="2"/>
          <w:sz w:val="28"/>
          <w:szCs w:val="28"/>
          <w:lang w:val="en-US" w:eastAsia="zh-CN" w:bidi="ar-SA"/>
        </w:rPr>
        <w:t>对1台3.5T内燃式叉车（柴油）、2台3.5T电动叉车进行常规维保和故障处理工作，在2024年12月31日前完成故障处理和一次维保工作；如在维护保养过程中需更换零配件材料，所更换配件材料在配件报价单内的，经项目负责人同意后更换，总费用=维保费用+更换配件费，如所更换配件不在配件报价单内，需双方签订补充协议签字确认后予以更换及结算。</w:t>
      </w:r>
    </w:p>
    <w:p>
      <w:pPr>
        <w:snapToGrid w:val="0"/>
        <w:spacing w:before="0" w:beforeAutospacing="0" w:after="0" w:afterAutospacing="0" w:line="360" w:lineRule="auto"/>
        <w:ind w:firstLine="562" w:firstLineChars="200"/>
        <w:jc w:val="both"/>
        <w:textAlignment w:val="baseline"/>
        <w:rPr>
          <w:rStyle w:val="11"/>
          <w:rFonts w:ascii="仿宋_GB2312" w:eastAsia="仿宋_GB2312"/>
          <w:b/>
          <w:i w:val="0"/>
          <w:caps w:val="0"/>
          <w:spacing w:val="0"/>
          <w:w w:val="100"/>
          <w:kern w:val="2"/>
          <w:sz w:val="28"/>
          <w:lang w:val="en-US" w:eastAsia="zh-CN" w:bidi="ar-SA"/>
        </w:rPr>
      </w:pPr>
      <w:r>
        <w:rPr>
          <w:rStyle w:val="11"/>
          <w:rFonts w:hint="eastAsia" w:ascii="仿宋_GB2312" w:eastAsia="仿宋_GB2312"/>
          <w:b/>
          <w:i w:val="0"/>
          <w:caps w:val="0"/>
          <w:spacing w:val="0"/>
          <w:w w:val="100"/>
          <w:kern w:val="2"/>
          <w:sz w:val="28"/>
          <w:lang w:val="en-US" w:eastAsia="zh-CN" w:bidi="ar-SA"/>
        </w:rPr>
        <w:t>四</w:t>
      </w:r>
      <w:r>
        <w:rPr>
          <w:rStyle w:val="11"/>
          <w:rFonts w:ascii="仿宋_GB2312" w:eastAsia="仿宋_GB2312"/>
          <w:b/>
          <w:i w:val="0"/>
          <w:caps w:val="0"/>
          <w:spacing w:val="0"/>
          <w:w w:val="100"/>
          <w:kern w:val="2"/>
          <w:sz w:val="28"/>
          <w:lang w:val="en-US" w:eastAsia="zh-CN" w:bidi="ar-SA"/>
        </w:rPr>
        <w:t>、总体要求</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（一）总体目标</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按照</w:t>
      </w:r>
      <w:r>
        <w:rPr>
          <w:rStyle w:val="11"/>
          <w:rFonts w:hint="eastAsia" w:ascii="仿宋_GB2312" w:eastAsia="仿宋_GB2312"/>
          <w:b w:val="0"/>
          <w:i w:val="0"/>
          <w:caps w:val="0"/>
          <w:spacing w:val="0"/>
          <w:w w:val="100"/>
          <w:kern w:val="2"/>
          <w:sz w:val="28"/>
          <w:szCs w:val="28"/>
          <w:lang w:val="en-US" w:eastAsia="zh-CN" w:bidi="ar-SA"/>
        </w:rPr>
        <w:t>行业</w:t>
      </w:r>
      <w:r>
        <w:rPr>
          <w:rStyle w:val="11"/>
          <w:rFonts w:ascii="仿宋_GB2312" w:eastAsia="仿宋_GB2312"/>
          <w:b w:val="0"/>
          <w:i w:val="0"/>
          <w:caps w:val="0"/>
          <w:spacing w:val="0"/>
          <w:w w:val="100"/>
          <w:kern w:val="2"/>
          <w:sz w:val="28"/>
          <w:szCs w:val="28"/>
          <w:lang w:val="en-US" w:eastAsia="zh-CN" w:bidi="ar-SA"/>
        </w:rPr>
        <w:t>标准</w:t>
      </w:r>
      <w:r>
        <w:rPr>
          <w:rStyle w:val="11"/>
          <w:rFonts w:hint="eastAsia" w:ascii="仿宋_GB2312" w:eastAsia="仿宋_GB2312"/>
          <w:b w:val="0"/>
          <w:i w:val="0"/>
          <w:caps w:val="0"/>
          <w:spacing w:val="0"/>
          <w:w w:val="100"/>
          <w:kern w:val="2"/>
          <w:sz w:val="28"/>
          <w:szCs w:val="28"/>
          <w:lang w:val="en-US" w:eastAsia="zh-CN" w:bidi="ar-SA"/>
        </w:rPr>
        <w:t>对内燃、电动叉车开展</w:t>
      </w:r>
      <w:r>
        <w:rPr>
          <w:rStyle w:val="11"/>
          <w:rFonts w:ascii="仿宋_GB2312" w:eastAsia="仿宋_GB2312"/>
          <w:b w:val="0"/>
          <w:i w:val="0"/>
          <w:caps w:val="0"/>
          <w:spacing w:val="0"/>
          <w:w w:val="100"/>
          <w:kern w:val="2"/>
          <w:sz w:val="28"/>
          <w:szCs w:val="28"/>
          <w:lang w:val="en-US" w:eastAsia="zh-CN" w:bidi="ar-SA"/>
        </w:rPr>
        <w:t>维护，严格工艺流程，控制维护成本，监督维护过程，使维护后的车辆各系统运行安全可靠。</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（二）总体要求</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对</w:t>
      </w:r>
      <w:r>
        <w:rPr>
          <w:rStyle w:val="11"/>
          <w:rFonts w:hint="eastAsia" w:ascii="仿宋_GB2312" w:eastAsia="仿宋_GB2312"/>
          <w:b w:val="0"/>
          <w:i w:val="0"/>
          <w:caps w:val="0"/>
          <w:spacing w:val="0"/>
          <w:w w:val="100"/>
          <w:kern w:val="2"/>
          <w:sz w:val="28"/>
          <w:szCs w:val="28"/>
          <w:lang w:val="en-US" w:eastAsia="zh-CN" w:bidi="ar-SA"/>
        </w:rPr>
        <w:t>内燃、电动叉车</w:t>
      </w:r>
      <w:r>
        <w:rPr>
          <w:rStyle w:val="11"/>
          <w:rFonts w:ascii="仿宋_GB2312" w:eastAsia="仿宋_GB2312"/>
          <w:b w:val="0"/>
          <w:i w:val="0"/>
          <w:caps w:val="0"/>
          <w:spacing w:val="0"/>
          <w:w w:val="100"/>
          <w:kern w:val="2"/>
          <w:sz w:val="28"/>
          <w:szCs w:val="28"/>
          <w:lang w:val="en-US" w:eastAsia="zh-CN" w:bidi="ar-SA"/>
        </w:rPr>
        <w:t>一切可疑点均应进行仔细地检查，对于检查部位还应充分尊重生产厂商的建议，经过检查测试后，判断设备是否存在缺陷和故障。</w:t>
      </w:r>
    </w:p>
    <w:p>
      <w:pPr>
        <w:snapToGrid w:val="0"/>
        <w:spacing w:before="0" w:beforeAutospacing="0" w:after="0" w:afterAutospacing="0" w:line="360" w:lineRule="auto"/>
        <w:ind w:firstLine="562" w:firstLineChars="200"/>
        <w:jc w:val="both"/>
        <w:textAlignment w:val="baseline"/>
        <w:rPr>
          <w:rStyle w:val="11"/>
          <w:rFonts w:ascii="仿宋_GB2312" w:eastAsia="仿宋_GB2312"/>
          <w:b/>
          <w:i w:val="0"/>
          <w:caps w:val="0"/>
          <w:spacing w:val="0"/>
          <w:w w:val="100"/>
          <w:kern w:val="2"/>
          <w:sz w:val="28"/>
          <w:lang w:val="en-US" w:eastAsia="zh-CN" w:bidi="ar-SA"/>
        </w:rPr>
      </w:pPr>
      <w:r>
        <w:rPr>
          <w:rStyle w:val="11"/>
          <w:rFonts w:hint="eastAsia" w:ascii="仿宋_GB2312" w:eastAsia="仿宋_GB2312"/>
          <w:b/>
          <w:i w:val="0"/>
          <w:caps w:val="0"/>
          <w:spacing w:val="0"/>
          <w:w w:val="100"/>
          <w:kern w:val="2"/>
          <w:sz w:val="28"/>
          <w:lang w:val="en-US" w:eastAsia="zh-CN" w:bidi="ar-SA"/>
        </w:rPr>
        <w:t>五</w:t>
      </w:r>
      <w:r>
        <w:rPr>
          <w:rStyle w:val="11"/>
          <w:rFonts w:ascii="仿宋_GB2312" w:eastAsia="仿宋_GB2312"/>
          <w:b/>
          <w:i w:val="0"/>
          <w:caps w:val="0"/>
          <w:spacing w:val="0"/>
          <w:w w:val="100"/>
          <w:kern w:val="2"/>
          <w:sz w:val="28"/>
          <w:lang w:val="en-US" w:eastAsia="zh-CN" w:bidi="ar-SA"/>
        </w:rPr>
        <w:t>、质量</w:t>
      </w:r>
      <w:r>
        <w:rPr>
          <w:rStyle w:val="11"/>
          <w:rFonts w:hint="eastAsia" w:ascii="仿宋_GB2312" w:eastAsia="仿宋_GB2312"/>
          <w:b/>
          <w:i w:val="0"/>
          <w:caps w:val="0"/>
          <w:color w:val="auto"/>
          <w:spacing w:val="0"/>
          <w:w w:val="100"/>
          <w:kern w:val="2"/>
          <w:sz w:val="28"/>
          <w:lang w:val="en-US" w:eastAsia="zh-CN" w:bidi="ar-SA"/>
        </w:rPr>
        <w:t>要求</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维护后的</w:t>
      </w:r>
      <w:r>
        <w:rPr>
          <w:rStyle w:val="11"/>
          <w:rFonts w:hint="eastAsia" w:ascii="仿宋_GB2312" w:eastAsia="仿宋_GB2312"/>
          <w:b w:val="0"/>
          <w:i w:val="0"/>
          <w:caps w:val="0"/>
          <w:spacing w:val="0"/>
          <w:w w:val="100"/>
          <w:kern w:val="2"/>
          <w:sz w:val="28"/>
          <w:szCs w:val="28"/>
          <w:lang w:val="en-US" w:eastAsia="zh-CN" w:bidi="ar-SA"/>
        </w:rPr>
        <w:t>内燃、电动叉车</w:t>
      </w:r>
      <w:r>
        <w:rPr>
          <w:rStyle w:val="11"/>
          <w:rFonts w:ascii="仿宋_GB2312" w:eastAsia="仿宋_GB2312"/>
          <w:b w:val="0"/>
          <w:i w:val="0"/>
          <w:caps w:val="0"/>
          <w:spacing w:val="0"/>
          <w:w w:val="100"/>
          <w:kern w:val="2"/>
          <w:sz w:val="28"/>
          <w:szCs w:val="28"/>
          <w:lang w:val="en-US" w:eastAsia="zh-CN" w:bidi="ar-SA"/>
        </w:rPr>
        <w:t>运行系统应安全可靠，满足引用标准要求，具备</w:t>
      </w:r>
      <w:r>
        <w:rPr>
          <w:rStyle w:val="11"/>
          <w:rFonts w:hint="eastAsia" w:ascii="仿宋_GB2312" w:eastAsia="仿宋_GB2312"/>
          <w:b w:val="0"/>
          <w:i w:val="0"/>
          <w:caps w:val="0"/>
          <w:spacing w:val="0"/>
          <w:w w:val="100"/>
          <w:kern w:val="2"/>
          <w:sz w:val="28"/>
          <w:szCs w:val="28"/>
          <w:lang w:val="en-US" w:eastAsia="zh-CN" w:bidi="ar-SA"/>
        </w:rPr>
        <w:t>额定载荷下正常作业能力</w:t>
      </w:r>
      <w:r>
        <w:rPr>
          <w:rStyle w:val="11"/>
          <w:rFonts w:ascii="仿宋_GB2312" w:eastAsia="仿宋_GB2312"/>
          <w:b w:val="0"/>
          <w:i w:val="0"/>
          <w:caps w:val="0"/>
          <w:spacing w:val="0"/>
          <w:w w:val="100"/>
          <w:kern w:val="2"/>
          <w:sz w:val="28"/>
          <w:szCs w:val="28"/>
          <w:lang w:val="en-US" w:eastAsia="zh-CN" w:bidi="ar-SA"/>
        </w:rPr>
        <w:t>。</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（一）质量保证期为投入运行后6个月，质保期内由于维护厂商的原因（选材不当、设计错误、制造不良、组装不好等），设备出现缺陷和损坏时，维护方应免费到现场修理或更换。</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（二）维护方保证其提供的产品是全新的、未使用过的，并符合招标文件规定的质量、规格和性能。维护方保证其产品在正确安装、正常操作和保养的情况下，运行安全、可靠。</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三）在合同规定的质量保证期内，维护方对由于设计、制造、运输和材料的缺陷等原因而造成产品的任何破坏、缺陷或故障，由维护方收到书面通知后，应及时免费负责修理或更换有缺陷的产品，以达到技术条件规定的要求。</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（四）由于维护方提供部件（系统）质量造成的一切损失概由维护方负责。</w:t>
      </w:r>
    </w:p>
    <w:p>
      <w:pPr>
        <w:snapToGrid w:val="0"/>
        <w:spacing w:before="0" w:beforeAutospacing="0" w:after="0" w:afterAutospacing="0" w:line="360" w:lineRule="auto"/>
        <w:ind w:firstLine="602" w:firstLineChars="200"/>
        <w:jc w:val="both"/>
        <w:textAlignment w:val="baseline"/>
        <w:rPr>
          <w:rStyle w:val="11"/>
          <w:rFonts w:hint="eastAsia" w:ascii="仿宋_GB2312" w:hAnsi="楷体" w:eastAsia="仿宋_GB2312"/>
          <w:b/>
          <w:i w:val="0"/>
          <w:caps w:val="0"/>
          <w:spacing w:val="0"/>
          <w:w w:val="100"/>
          <w:kern w:val="2"/>
          <w:sz w:val="30"/>
          <w:szCs w:val="30"/>
          <w:lang w:val="en-US" w:eastAsia="zh-CN" w:bidi="ar-SA"/>
        </w:rPr>
      </w:pPr>
      <w:r>
        <w:rPr>
          <w:rStyle w:val="11"/>
          <w:rFonts w:hint="eastAsia" w:ascii="仿宋_GB2312" w:hAnsi="楷体" w:eastAsia="仿宋_GB2312"/>
          <w:b/>
          <w:i w:val="0"/>
          <w:caps w:val="0"/>
          <w:spacing w:val="0"/>
          <w:w w:val="100"/>
          <w:kern w:val="2"/>
          <w:sz w:val="30"/>
          <w:szCs w:val="30"/>
          <w:lang w:val="en-US" w:eastAsia="zh-CN" w:bidi="ar-SA"/>
        </w:rPr>
        <w:t>六、服务要求</w:t>
      </w:r>
    </w:p>
    <w:p>
      <w:pPr>
        <w:snapToGrid w:val="0"/>
        <w:spacing w:before="0" w:beforeAutospacing="0" w:after="0" w:afterAutospacing="0" w:line="360" w:lineRule="auto"/>
        <w:ind w:firstLine="560" w:firstLineChars="200"/>
        <w:jc w:val="both"/>
        <w:textAlignment w:val="baseline"/>
        <w:rPr>
          <w:rStyle w:val="11"/>
          <w:rFonts w:hint="eastAsia" w:ascii="仿宋_GB2312" w:hAnsi="Times New Roman" w:eastAsia="仿宋_GB2312"/>
          <w:b w:val="0"/>
          <w:i w:val="0"/>
          <w:caps w:val="0"/>
          <w:spacing w:val="0"/>
          <w:w w:val="100"/>
          <w:kern w:val="2"/>
          <w:sz w:val="28"/>
          <w:szCs w:val="28"/>
          <w:lang w:val="en-US" w:eastAsia="zh-CN" w:bidi="ar-SA"/>
        </w:rPr>
      </w:pPr>
      <w:r>
        <w:rPr>
          <w:rStyle w:val="11"/>
          <w:rFonts w:hint="eastAsia" w:ascii="仿宋_GB2312" w:hAnsi="Times New Roman" w:eastAsia="仿宋_GB2312"/>
          <w:b w:val="0"/>
          <w:i w:val="0"/>
          <w:caps w:val="0"/>
          <w:spacing w:val="0"/>
          <w:w w:val="100"/>
          <w:kern w:val="2"/>
          <w:sz w:val="28"/>
          <w:szCs w:val="28"/>
          <w:lang w:val="en-US" w:eastAsia="zh-CN" w:bidi="ar-SA"/>
        </w:rPr>
        <w:t>对南方电网供应链（广西）有限公司</w:t>
      </w:r>
      <w:r>
        <w:rPr>
          <w:rStyle w:val="11"/>
          <w:rFonts w:hint="eastAsia" w:ascii="仿宋_GB2312" w:hAnsi="Times New Roman" w:eastAsia="仿宋_GB2312"/>
          <w:b w:val="0"/>
          <w:i w:val="0"/>
          <w:caps w:val="0"/>
          <w:spacing w:val="0"/>
          <w:w w:val="100"/>
          <w:kern w:val="2"/>
          <w:sz w:val="28"/>
          <w:szCs w:val="28"/>
          <w:lang w:val="en-US" w:eastAsia="zh-CN" w:bidi="ar-SA"/>
        </w:rPr>
        <w:t>1台内燃叉车及2台电动叉车进行维保，</w:t>
      </w:r>
      <w:r>
        <w:rPr>
          <w:rStyle w:val="11"/>
          <w:rFonts w:hint="eastAsia" w:ascii="仿宋_GB2312" w:eastAsia="仿宋_GB2312"/>
          <w:b w:val="0"/>
          <w:i w:val="0"/>
          <w:caps w:val="0"/>
          <w:spacing w:val="0"/>
          <w:w w:val="100"/>
          <w:kern w:val="2"/>
          <w:sz w:val="28"/>
          <w:szCs w:val="28"/>
          <w:lang w:val="en-US" w:eastAsia="zh-CN" w:bidi="ar-SA"/>
        </w:rPr>
        <w:t>服务期限至202</w:t>
      </w:r>
      <w:bookmarkStart w:id="0" w:name="_GoBack"/>
      <w:bookmarkEnd w:id="0"/>
      <w:r>
        <w:rPr>
          <w:rStyle w:val="11"/>
          <w:rFonts w:hint="eastAsia" w:ascii="仿宋_GB2312" w:eastAsia="仿宋_GB2312"/>
          <w:b w:val="0"/>
          <w:i w:val="0"/>
          <w:caps w:val="0"/>
          <w:spacing w:val="0"/>
          <w:w w:val="100"/>
          <w:kern w:val="2"/>
          <w:sz w:val="28"/>
          <w:szCs w:val="28"/>
          <w:lang w:val="en-US" w:eastAsia="zh-CN" w:bidi="ar-SA"/>
        </w:rPr>
        <w:t>4年12月31日，根据甲方要求在服务期内进行故障处理和一次</w:t>
      </w:r>
      <w:r>
        <w:rPr>
          <w:rStyle w:val="11"/>
          <w:rFonts w:hint="eastAsia" w:ascii="仿宋_GB2312" w:hAnsi="Times New Roman" w:eastAsia="仿宋_GB2312"/>
          <w:b w:val="0"/>
          <w:i w:val="0"/>
          <w:caps w:val="0"/>
          <w:spacing w:val="0"/>
          <w:w w:val="100"/>
          <w:kern w:val="2"/>
          <w:sz w:val="28"/>
          <w:szCs w:val="28"/>
          <w:lang w:val="en-US" w:eastAsia="zh-CN" w:bidi="ar-SA"/>
        </w:rPr>
        <w:t>维保（以实际开展业务进行结算）。根据国家标准及该设备相关技术规范的内容及要求进行调整、检查、润滑、清洁等保养工作，以使设备正常运行。</w:t>
      </w:r>
    </w:p>
    <w:p>
      <w:pPr>
        <w:snapToGrid w:val="0"/>
        <w:spacing w:before="0" w:beforeAutospacing="0" w:after="0" w:afterAutospacing="0" w:line="360" w:lineRule="auto"/>
        <w:ind w:firstLine="602" w:firstLineChars="200"/>
        <w:jc w:val="both"/>
        <w:textAlignment w:val="baseline"/>
        <w:rPr>
          <w:rStyle w:val="11"/>
          <w:rFonts w:hint="eastAsia" w:ascii="仿宋_GB2312" w:hAnsi="楷体" w:eastAsia="仿宋_GB2312"/>
          <w:b/>
          <w:i w:val="0"/>
          <w:caps w:val="0"/>
          <w:color w:val="auto"/>
          <w:spacing w:val="0"/>
          <w:w w:val="100"/>
          <w:kern w:val="2"/>
          <w:sz w:val="30"/>
          <w:szCs w:val="30"/>
          <w:lang w:val="en-US" w:eastAsia="zh-CN" w:bidi="ar-SA"/>
        </w:rPr>
      </w:pPr>
      <w:r>
        <w:rPr>
          <w:rStyle w:val="11"/>
          <w:rFonts w:hint="eastAsia" w:ascii="仿宋_GB2312" w:hAnsi="楷体" w:eastAsia="仿宋_GB2312"/>
          <w:b/>
          <w:i w:val="0"/>
          <w:caps w:val="0"/>
          <w:color w:val="auto"/>
          <w:spacing w:val="0"/>
          <w:w w:val="100"/>
          <w:kern w:val="2"/>
          <w:sz w:val="30"/>
          <w:szCs w:val="30"/>
          <w:lang w:val="en-US" w:eastAsia="zh-CN" w:bidi="ar-SA"/>
        </w:rPr>
        <w:t>七、结算要求</w:t>
      </w:r>
    </w:p>
    <w:p>
      <w:pPr>
        <w:snapToGrid w:val="0"/>
        <w:spacing w:before="0" w:beforeAutospacing="0" w:after="0" w:afterAutospacing="0" w:line="360" w:lineRule="auto"/>
        <w:ind w:firstLine="560" w:firstLineChars="200"/>
        <w:jc w:val="both"/>
        <w:textAlignment w:val="baseline"/>
        <w:rPr>
          <w:rStyle w:val="11"/>
          <w:rFonts w:hint="default" w:ascii="仿宋_GB2312" w:hAnsi="Times New Roman" w:eastAsia="仿宋_GB2312"/>
          <w:b w:val="0"/>
          <w:i w:val="0"/>
          <w:caps w:val="0"/>
          <w:spacing w:val="0"/>
          <w:w w:val="100"/>
          <w:kern w:val="2"/>
          <w:sz w:val="28"/>
          <w:szCs w:val="28"/>
          <w:lang w:val="en-US" w:eastAsia="zh-CN" w:bidi="ar-SA"/>
        </w:rPr>
      </w:pPr>
      <w:r>
        <w:rPr>
          <w:rStyle w:val="11"/>
          <w:rFonts w:hint="eastAsia" w:ascii="仿宋_GB2312" w:hAnsi="Times New Roman" w:eastAsia="仿宋_GB2312"/>
          <w:b w:val="0"/>
          <w:i w:val="0"/>
          <w:caps w:val="0"/>
          <w:spacing w:val="0"/>
          <w:w w:val="100"/>
          <w:kern w:val="2"/>
          <w:sz w:val="28"/>
          <w:szCs w:val="28"/>
          <w:lang w:val="en-US" w:eastAsia="zh-CN" w:bidi="ar-SA"/>
        </w:rPr>
        <w:t>供应商完成服务并通过验收后提供全额增值税专用发票，甲方在收到相关发票后，次月进行费用结算。</w:t>
      </w:r>
    </w:p>
    <w:sectPr>
      <w:footerReference r:id="rId4" w:type="first"/>
      <w:footerReference r:id="rId3" w:type="default"/>
      <w:pgSz w:w="11907" w:h="16840"/>
      <w:pgMar w:top="1418" w:right="1418" w:bottom="1418" w:left="1701" w:header="851" w:footer="992" w:gutter="0"/>
      <w:lnNumType w:countBy="0"/>
      <w:pgNumType w:start="1"/>
      <w:cols w:space="720" w:num="1"/>
      <w:titlePg/>
      <w:docGrid w:linePitch="381"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1" w:fontKey="{BD054F89-EF7B-42A6-91A8-1613F903F4BD}"/>
  </w:font>
  <w:font w:name="方正小标宋_GBK">
    <w:panose1 w:val="03000509000000000000"/>
    <w:charset w:val="86"/>
    <w:family w:val="auto"/>
    <w:pitch w:val="default"/>
    <w:sig w:usb0="00000001" w:usb1="080E0000" w:usb2="00000000" w:usb3="00000000" w:csb0="00040000" w:csb1="00000000"/>
    <w:embedRegular r:id="rId2" w:fontKey="{36088DC4-15CB-41EA-A4A4-3CDCD2AED76C}"/>
  </w:font>
  <w:font w:name="方正仿宋_GB2312">
    <w:panose1 w:val="02000000000000000000"/>
    <w:charset w:val="86"/>
    <w:family w:val="auto"/>
    <w:pitch w:val="default"/>
    <w:sig w:usb0="A00002BF" w:usb1="184F6CFA" w:usb2="00000012" w:usb3="00000000" w:csb0="00040001" w:csb1="00000000"/>
    <w:embedRegular r:id="rId3" w:fontKey="{BEAA11E1-8765-4367-BB80-79283E22D48C}"/>
  </w:font>
  <w:font w:name="楷体_GB2312">
    <w:panose1 w:val="02010609030101010101"/>
    <w:charset w:val="86"/>
    <w:family w:val="modern"/>
    <w:pitch w:val="default"/>
    <w:sig w:usb0="00000001" w:usb1="080E0000" w:usb2="00000000" w:usb3="00000000" w:csb0="00040000" w:csb1="00000000"/>
    <w:embedRegular r:id="rId4" w:fontKey="{C12BC60C-AE91-4728-84BB-BF943C0BAD8B}"/>
  </w:font>
  <w:font w:name="仿宋_GB2312">
    <w:panose1 w:val="02010609030101010101"/>
    <w:charset w:val="86"/>
    <w:family w:val="modern"/>
    <w:pitch w:val="default"/>
    <w:sig w:usb0="00000001" w:usb1="080E0000" w:usb2="00000000" w:usb3="00000000" w:csb0="00040000" w:csb1="00000000"/>
    <w:embedRegular r:id="rId5" w:fontKey="{FFE754CC-E780-4BCA-92EA-648CC2BE012A}"/>
  </w:font>
  <w:font w:name="楷体">
    <w:panose1 w:val="02010609060101010101"/>
    <w:charset w:val="86"/>
    <w:family w:val="modern"/>
    <w:pitch w:val="default"/>
    <w:sig w:usb0="800002BF" w:usb1="38CF7CFA" w:usb2="00000016" w:usb3="00000000" w:csb0="00040001" w:csb1="00000000"/>
    <w:embedRegular r:id="rId6" w:fontKey="{07477B5F-4DD1-434D-A58F-1C3913BA4015}"/>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snapToGrid w:val="0"/>
      <w:jc w:val="center"/>
      <w:textAlignment w:val="baseline"/>
      <w:rPr>
        <w:rStyle w:val="11"/>
        <w:kern w:val="2"/>
        <w:sz w:val="18"/>
        <w:lang w:val="en-US" w:eastAsia="zh-CN" w:bidi="ar-SA"/>
      </w:rPr>
    </w:pPr>
  </w:p>
  <w:p>
    <w:pPr>
      <w:pStyle w:val="4"/>
      <w:widowControl/>
      <w:snapToGrid w:val="0"/>
      <w:jc w:val="left"/>
      <w:textAlignment w:val="baseline"/>
      <w:rPr>
        <w:rStyle w:val="11"/>
        <w:kern w:val="2"/>
        <w:sz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snapToGrid w:val="0"/>
      <w:jc w:val="center"/>
      <w:textAlignment w:val="baseline"/>
      <w:rPr>
        <w:rStyle w:val="11"/>
        <w:kern w:val="2"/>
        <w:sz w:val="18"/>
        <w:lang w:val="en-US" w:eastAsia="zh-CN" w:bidi="ar-SA"/>
      </w:rPr>
    </w:pPr>
  </w:p>
  <w:p>
    <w:pPr>
      <w:pStyle w:val="4"/>
      <w:widowControl/>
      <w:snapToGrid w:val="0"/>
      <w:jc w:val="left"/>
      <w:textAlignment w:val="baseline"/>
      <w:rPr>
        <w:rStyle w:val="11"/>
        <w:kern w:val="2"/>
        <w:sz w:val="18"/>
        <w:lang w:val="en-US" w:eastAsia="zh-CN" w:bidi="ar-S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6A8CA8"/>
    <w:multiLevelType w:val="singleLevel"/>
    <w:tmpl w:val="976A8CA8"/>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5ZWEwYTViZjEyMTc1NDAwMzQ2ZDdjOTdiZDZiOTMifQ=="/>
  </w:docVars>
  <w:rsids>
    <w:rsidRoot w:val="00000000"/>
    <w:rsid w:val="03906A9D"/>
    <w:rsid w:val="03B17754"/>
    <w:rsid w:val="043333E8"/>
    <w:rsid w:val="079E08CA"/>
    <w:rsid w:val="0888316F"/>
    <w:rsid w:val="0AEB627D"/>
    <w:rsid w:val="0C2E1467"/>
    <w:rsid w:val="0CF87D87"/>
    <w:rsid w:val="0D244519"/>
    <w:rsid w:val="0D3D36B5"/>
    <w:rsid w:val="0DE17BBD"/>
    <w:rsid w:val="0F35576D"/>
    <w:rsid w:val="11262C5D"/>
    <w:rsid w:val="11EF113F"/>
    <w:rsid w:val="13D74800"/>
    <w:rsid w:val="15460D75"/>
    <w:rsid w:val="15AF7257"/>
    <w:rsid w:val="1BD71A93"/>
    <w:rsid w:val="1DB06C45"/>
    <w:rsid w:val="1DBF36D7"/>
    <w:rsid w:val="1E695897"/>
    <w:rsid w:val="1E862216"/>
    <w:rsid w:val="1F822666"/>
    <w:rsid w:val="202820DF"/>
    <w:rsid w:val="215025B4"/>
    <w:rsid w:val="22FF35CB"/>
    <w:rsid w:val="23B32A8D"/>
    <w:rsid w:val="24450A07"/>
    <w:rsid w:val="24561F7E"/>
    <w:rsid w:val="26415CA9"/>
    <w:rsid w:val="271C3F7E"/>
    <w:rsid w:val="2BE065F8"/>
    <w:rsid w:val="36EE4505"/>
    <w:rsid w:val="37F479DA"/>
    <w:rsid w:val="3A702926"/>
    <w:rsid w:val="3CBE629F"/>
    <w:rsid w:val="3CC316B6"/>
    <w:rsid w:val="3DD50400"/>
    <w:rsid w:val="40AD420F"/>
    <w:rsid w:val="41E27C26"/>
    <w:rsid w:val="42A012DD"/>
    <w:rsid w:val="42E47C90"/>
    <w:rsid w:val="44174FED"/>
    <w:rsid w:val="451A1E03"/>
    <w:rsid w:val="451A7D19"/>
    <w:rsid w:val="46BE7BA2"/>
    <w:rsid w:val="489E6141"/>
    <w:rsid w:val="48DF5911"/>
    <w:rsid w:val="490270C2"/>
    <w:rsid w:val="493A4767"/>
    <w:rsid w:val="4A841573"/>
    <w:rsid w:val="4B361917"/>
    <w:rsid w:val="4C6767A7"/>
    <w:rsid w:val="4D4F2324"/>
    <w:rsid w:val="520F17B1"/>
    <w:rsid w:val="527821A3"/>
    <w:rsid w:val="52F42672"/>
    <w:rsid w:val="53982CB5"/>
    <w:rsid w:val="54161C73"/>
    <w:rsid w:val="55B41744"/>
    <w:rsid w:val="59AF1C80"/>
    <w:rsid w:val="5A6B64E6"/>
    <w:rsid w:val="5BC24519"/>
    <w:rsid w:val="5D310F5C"/>
    <w:rsid w:val="60577751"/>
    <w:rsid w:val="60A770F1"/>
    <w:rsid w:val="62BA3381"/>
    <w:rsid w:val="632325A3"/>
    <w:rsid w:val="63293771"/>
    <w:rsid w:val="649479AB"/>
    <w:rsid w:val="65136487"/>
    <w:rsid w:val="6AD54E89"/>
    <w:rsid w:val="6CE77CBA"/>
    <w:rsid w:val="6D24356E"/>
    <w:rsid w:val="6E334459"/>
    <w:rsid w:val="733124C3"/>
    <w:rsid w:val="73337CF4"/>
    <w:rsid w:val="78C67234"/>
    <w:rsid w:val="79CD59E4"/>
    <w:rsid w:val="7B6A4BAE"/>
    <w:rsid w:val="7EF60E5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4">
    <w:name w:val="footer"/>
    <w:basedOn w:val="1"/>
    <w:qFormat/>
    <w:uiPriority w:val="0"/>
    <w:pPr>
      <w:tabs>
        <w:tab w:val="center" w:pos="4153"/>
        <w:tab w:val="right" w:pos="8306"/>
      </w:tabs>
      <w:snapToGrid w:val="0"/>
      <w:jc w:val="left"/>
      <w:textAlignment w:val="baseline"/>
    </w:pPr>
    <w:rPr>
      <w:kern w:val="2"/>
      <w:sz w:val="18"/>
      <w:lang w:val="en-US" w:eastAsia="zh-CN" w:bidi="ar-SA"/>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Hyperlink"/>
    <w:qFormat/>
    <w:uiPriority w:val="0"/>
    <w:rPr>
      <w:color w:val="0000FF"/>
      <w:u w:val="single"/>
    </w:rPr>
  </w:style>
  <w:style w:type="paragraph" w:customStyle="1" w:styleId="9">
    <w:name w:val="TOC1"/>
    <w:basedOn w:val="1"/>
    <w:next w:val="1"/>
    <w:qFormat/>
    <w:uiPriority w:val="0"/>
    <w:pPr>
      <w:tabs>
        <w:tab w:val="right" w:leader="dot" w:pos="8778"/>
      </w:tabs>
      <w:spacing w:line="276" w:lineRule="auto"/>
      <w:jc w:val="center"/>
      <w:textAlignment w:val="baseline"/>
    </w:pPr>
    <w:rPr>
      <w:kern w:val="2"/>
      <w:sz w:val="30"/>
      <w:szCs w:val="30"/>
      <w:lang w:val="en-US" w:eastAsia="zh-CN" w:bidi="ar-SA"/>
    </w:rPr>
  </w:style>
  <w:style w:type="paragraph" w:customStyle="1" w:styleId="10">
    <w:name w:val="UserStyle_72"/>
    <w:qFormat/>
    <w:uiPriority w:val="0"/>
    <w:pPr>
      <w:widowControl/>
      <w:textAlignment w:val="baseline"/>
    </w:pPr>
    <w:rPr>
      <w:rFonts w:ascii="Times New Roman" w:hAnsi="Times New Roman" w:eastAsia="Times New Roman" w:cs="Times New Roman"/>
      <w:sz w:val="22"/>
      <w:lang w:val="en-US" w:eastAsia="zh-CN" w:bidi="ar-SA"/>
    </w:rPr>
  </w:style>
  <w:style w:type="character" w:customStyle="1" w:styleId="11">
    <w:name w:val="NormalCharacter"/>
    <w:qFormat/>
    <w:uiPriority w:val="0"/>
    <w:rPr>
      <w:rFonts w:ascii="Calibri" w:hAnsi="Calibri" w:eastAsia="宋体" w:cs="Times New Roman"/>
      <w:kern w:val="2"/>
      <w:sz w:val="21"/>
      <w:szCs w:val="24"/>
      <w:lang w:val="en-US" w:eastAsia="zh-CN" w:bidi="ar-SA"/>
    </w:rPr>
  </w:style>
  <w:style w:type="character" w:customStyle="1" w:styleId="12">
    <w:name w:val="font01"/>
    <w:basedOn w:val="7"/>
    <w:qFormat/>
    <w:uiPriority w:val="0"/>
    <w:rPr>
      <w:rFonts w:hint="eastAsia" w:ascii="宋体" w:hAnsi="宋体" w:eastAsia="宋体" w:cs="宋体"/>
      <w:color w:val="000000"/>
      <w:sz w:val="18"/>
      <w:szCs w:val="18"/>
      <w:u w:val="none"/>
    </w:rPr>
  </w:style>
  <w:style w:type="character" w:customStyle="1" w:styleId="13">
    <w:name w:val="font61"/>
    <w:basedOn w:val="7"/>
    <w:qFormat/>
    <w:uiPriority w:val="0"/>
    <w:rPr>
      <w:rFonts w:ascii="Arial" w:hAnsi="Arial" w:cs="Arial"/>
      <w:color w:val="000000"/>
      <w:sz w:val="18"/>
      <w:szCs w:val="18"/>
      <w:u w:val="none"/>
    </w:rPr>
  </w:style>
  <w:style w:type="character" w:customStyle="1" w:styleId="14">
    <w:name w:val="font51"/>
    <w:basedOn w:val="7"/>
    <w:qFormat/>
    <w:uiPriority w:val="0"/>
    <w:rPr>
      <w:rFonts w:ascii="Calibri" w:hAnsi="Calibri" w:cs="Calibri"/>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2199</Words>
  <Characters>2294</Characters>
  <Lines>0</Lines>
  <Paragraphs>0</Paragraphs>
  <TotalTime>1</TotalTime>
  <ScaleCrop>false</ScaleCrop>
  <LinksUpToDate>false</LinksUpToDate>
  <CharactersWithSpaces>2323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63FD8D88E9BC47B98A175178059C8B2F</cp:lastModifiedBy>
  <dcterms:modified xsi:type="dcterms:W3CDTF">2024-08-20T01:35:00Z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8D03C5FB5C2C4BD3B93451CEBB970FAA</vt:lpwstr>
  </property>
</Properties>
</file>