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kern w:val="0"/>
          <w:sz w:val="44"/>
          <w:szCs w:val="44"/>
          <w:lang w:val="en-US" w:eastAsia="zh-CN"/>
        </w:rPr>
      </w:pPr>
      <w:bookmarkStart w:id="0" w:name="_Toc1609"/>
    </w:p>
    <w:p>
      <w:pPr>
        <w:jc w:val="center"/>
        <w:rPr>
          <w:rFonts w:hint="eastAsia" w:ascii="宋体" w:hAnsi="宋体"/>
          <w:kern w:val="0"/>
          <w:sz w:val="44"/>
          <w:szCs w:val="44"/>
          <w:lang w:val="en-US" w:eastAsia="zh-CN"/>
        </w:rPr>
      </w:pPr>
    </w:p>
    <w:p>
      <w:pPr>
        <w:jc w:val="center"/>
        <w:rPr>
          <w:rFonts w:hint="eastAsia" w:ascii="宋体" w:hAnsi="宋体"/>
          <w:kern w:val="0"/>
          <w:sz w:val="44"/>
          <w:szCs w:val="44"/>
          <w:lang w:val="en-US" w:eastAsia="zh-CN"/>
        </w:rPr>
      </w:pPr>
    </w:p>
    <w:p>
      <w:pPr>
        <w:jc w:val="center"/>
        <w:rPr>
          <w:rFonts w:hint="eastAsia" w:ascii="宋体" w:hAnsi="宋体"/>
          <w:kern w:val="0"/>
          <w:sz w:val="44"/>
          <w:szCs w:val="44"/>
          <w:lang w:val="en-US" w:eastAsia="zh-CN"/>
        </w:rPr>
      </w:pPr>
    </w:p>
    <w:p>
      <w:pPr>
        <w:jc w:val="center"/>
        <w:rPr>
          <w:rFonts w:hint="eastAsia" w:ascii="宋体" w:hAnsi="宋体"/>
          <w:kern w:val="0"/>
          <w:sz w:val="44"/>
          <w:szCs w:val="44"/>
          <w:lang w:val="en-US" w:eastAsia="zh-CN"/>
        </w:rPr>
      </w:pPr>
    </w:p>
    <w:p>
      <w:pPr>
        <w:jc w:val="center"/>
        <w:rPr>
          <w:rFonts w:hint="eastAsia" w:ascii="宋体" w:hAnsi="宋体"/>
          <w:kern w:val="0"/>
          <w:sz w:val="44"/>
          <w:szCs w:val="44"/>
          <w:lang w:val="en-US" w:eastAsia="zh-CN"/>
        </w:rPr>
      </w:pPr>
    </w:p>
    <w:p>
      <w:pPr>
        <w:jc w:val="center"/>
        <w:rPr>
          <w:rFonts w:hint="eastAsia" w:ascii="宋体" w:hAnsi="宋体"/>
          <w:kern w:val="0"/>
          <w:sz w:val="44"/>
          <w:szCs w:val="44"/>
          <w:lang w:val="en-US" w:eastAsia="zh-CN"/>
        </w:rPr>
      </w:pPr>
    </w:p>
    <w:p>
      <w:pPr>
        <w:jc w:val="center"/>
        <w:rPr>
          <w:rFonts w:hint="eastAsia" w:ascii="宋体" w:hAnsi="宋体"/>
          <w:kern w:val="0"/>
          <w:sz w:val="44"/>
          <w:szCs w:val="44"/>
        </w:rPr>
      </w:pPr>
      <w:r>
        <w:rPr>
          <w:rFonts w:hint="eastAsia" w:ascii="宋体" w:hAnsi="宋体"/>
          <w:kern w:val="0"/>
          <w:sz w:val="44"/>
          <w:szCs w:val="44"/>
          <w:lang w:val="en-US" w:eastAsia="zh-CN"/>
        </w:rPr>
        <w:t xml:space="preserve"> </w:t>
      </w:r>
      <w:r>
        <w:rPr>
          <w:rFonts w:hint="eastAsia" w:ascii="宋体" w:hAnsi="宋体"/>
          <w:kern w:val="0"/>
          <w:sz w:val="44"/>
          <w:szCs w:val="44"/>
          <w:lang w:eastAsia="zh-CN"/>
        </w:rPr>
        <w:t>南方电网供应链（广东）有限公司江村区域仓库分布式光伏发电节能服务”项目</w:t>
      </w:r>
    </w:p>
    <w:p>
      <w:pPr>
        <w:jc w:val="center"/>
        <w:rPr>
          <w:rFonts w:hint="eastAsia" w:ascii="宋体" w:hAnsi="宋体" w:eastAsia="宋体"/>
          <w:kern w:val="0"/>
          <w:sz w:val="44"/>
          <w:szCs w:val="44"/>
          <w:lang w:eastAsia="zh-CN"/>
        </w:rPr>
      </w:pPr>
      <w:r>
        <w:rPr>
          <w:rFonts w:hint="eastAsia" w:ascii="宋体" w:hAnsi="宋体"/>
          <w:kern w:val="0"/>
          <w:sz w:val="44"/>
          <w:szCs w:val="44"/>
          <w:lang w:val="en-US" w:eastAsia="zh-CN"/>
        </w:rPr>
        <w:t>技术规范书</w:t>
      </w:r>
    </w:p>
    <w:p>
      <w:pPr>
        <w:jc w:val="center"/>
        <w:rPr>
          <w:rFonts w:ascii="宋体" w:hAnsi="宋体"/>
          <w:kern w:val="0"/>
          <w:sz w:val="44"/>
          <w:szCs w:val="44"/>
        </w:rPr>
      </w:pPr>
    </w:p>
    <w:p>
      <w:pPr>
        <w:jc w:val="center"/>
        <w:rPr>
          <w:rFonts w:ascii="宋体" w:hAnsi="宋体"/>
          <w:kern w:val="0"/>
          <w:sz w:val="44"/>
          <w:szCs w:val="44"/>
        </w:rPr>
      </w:pPr>
    </w:p>
    <w:p>
      <w:pPr>
        <w:jc w:val="center"/>
        <w:rPr>
          <w:rFonts w:ascii="宋体" w:hAnsi="宋体"/>
          <w:kern w:val="0"/>
          <w:sz w:val="44"/>
          <w:szCs w:val="44"/>
        </w:rPr>
      </w:pPr>
    </w:p>
    <w:p>
      <w:pPr>
        <w:jc w:val="center"/>
        <w:rPr>
          <w:rFonts w:ascii="宋体" w:hAnsi="宋体"/>
          <w:kern w:val="0"/>
          <w:sz w:val="44"/>
          <w:szCs w:val="44"/>
        </w:rPr>
      </w:pPr>
    </w:p>
    <w:bookmarkEnd w:id="0"/>
    <w:p>
      <w:pPr>
        <w:pStyle w:val="3"/>
        <w:pageBreakBefore/>
        <w:spacing w:before="120" w:after="120" w:line="240" w:lineRule="auto"/>
        <w:jc w:val="center"/>
        <w:rPr>
          <w:rFonts w:ascii="宋体" w:hAnsi="宋体" w:eastAsia="宋体"/>
          <w:sz w:val="30"/>
        </w:rPr>
      </w:pPr>
      <w:bookmarkStart w:id="1" w:name="_Toc20955"/>
      <w:bookmarkStart w:id="2" w:name="_Toc454818278"/>
      <w:r>
        <w:rPr>
          <w:rFonts w:hint="eastAsia" w:ascii="宋体" w:hAnsi="宋体" w:eastAsia="宋体"/>
          <w:sz w:val="30"/>
        </w:rPr>
        <w:t>项目概述</w:t>
      </w:r>
    </w:p>
    <w:p>
      <w:pPr>
        <w:keepNext w:val="0"/>
        <w:keepLines w:val="0"/>
        <w:pageBreakBefore w:val="0"/>
        <w:widowControl/>
        <w:numPr>
          <w:ilvl w:val="0"/>
          <w:numId w:val="0"/>
        </w:numPr>
        <w:adjustRightInd w:val="0"/>
        <w:snapToGrid/>
        <w:spacing w:line="360" w:lineRule="auto"/>
        <w:ind w:leftChars="200" w:right="0" w:rightChars="0"/>
        <w:jc w:val="left"/>
        <w:textAlignment w:val="center"/>
        <w:rPr>
          <w:rFonts w:hint="default" w:ascii="Times New Roman" w:hAnsi="Times New Roman" w:eastAsia="宋体" w:cs="Times New Roman"/>
          <w:b/>
          <w:bCs/>
          <w:kern w:val="0"/>
          <w:sz w:val="24"/>
          <w:szCs w:val="30"/>
        </w:rPr>
      </w:pPr>
    </w:p>
    <w:p>
      <w:pPr>
        <w:pStyle w:val="2"/>
        <w:pageBreakBefore w:val="0"/>
        <w:kinsoku/>
        <w:wordWrap/>
        <w:overflowPunct/>
        <w:topLinePunct w:val="0"/>
        <w:autoSpaceDE/>
        <w:autoSpaceDN/>
        <w:bidi w:val="0"/>
        <w:adjustRightInd/>
        <w:snapToGrid/>
        <w:spacing w:line="360" w:lineRule="auto"/>
        <w:textAlignment w:val="auto"/>
        <w:rPr>
          <w:rFonts w:ascii="宋体" w:hAnsi="宋体" w:eastAsia="宋体" w:cs="宋体"/>
          <w:b/>
          <w:bCs/>
          <w:sz w:val="24"/>
          <w:szCs w:val="24"/>
        </w:rPr>
      </w:pPr>
      <w:r>
        <w:rPr>
          <w:rFonts w:hint="eastAsia" w:ascii="宋体" w:hAnsi="宋体" w:eastAsia="宋体" w:cs="宋体"/>
          <w:sz w:val="24"/>
          <w:szCs w:val="24"/>
          <w:lang w:val="en-US" w:eastAsia="zh-CN"/>
        </w:rPr>
        <w:t>1.1</w:t>
      </w:r>
      <w:r>
        <w:rPr>
          <w:rFonts w:ascii="宋体" w:hAnsi="宋体" w:eastAsia="宋体" w:cs="宋体"/>
          <w:b/>
          <w:bCs/>
          <w:sz w:val="24"/>
          <w:szCs w:val="24"/>
        </w:rPr>
        <w:t>项目名称</w:t>
      </w:r>
    </w:p>
    <w:p>
      <w:pPr>
        <w:pStyle w:val="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“南方电网供应链（广东）有限公司江村区域仓库分布式光伏发电节能服务”项目</w:t>
      </w:r>
      <w:r>
        <w:rPr>
          <w:rFonts w:hint="eastAsia" w:ascii="宋体" w:hAnsi="宋体" w:eastAsia="宋体" w:cs="宋体"/>
          <w:kern w:val="2"/>
          <w:sz w:val="24"/>
          <w:szCs w:val="24"/>
          <w:lang w:val="en-US" w:eastAsia="zh-CN" w:bidi="ar-SA"/>
        </w:rPr>
        <w:t>。</w:t>
      </w:r>
    </w:p>
    <w:p>
      <w:pPr>
        <w:pStyle w:val="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1.2项目内容</w:t>
      </w:r>
      <w:r>
        <w:rPr>
          <w:rFonts w:hint="eastAsia" w:ascii="宋体" w:hAnsi="宋体" w:eastAsia="宋体" w:cs="宋体"/>
          <w:sz w:val="24"/>
          <w:szCs w:val="24"/>
          <w:lang w:val="en-US" w:eastAsia="zh-CN"/>
        </w:rPr>
        <w:t>：</w:t>
      </w:r>
    </w:p>
    <w:p>
      <w:pPr>
        <w:pStyle w:val="2"/>
        <w:pageBreakBefore w:val="0"/>
        <w:kinsoku/>
        <w:wordWrap/>
        <w:overflowPunct/>
        <w:topLinePunct w:val="0"/>
        <w:autoSpaceDE/>
        <w:autoSpaceDN/>
        <w:bidi w:val="0"/>
        <w:adjustRightInd/>
        <w:snapToGrid/>
        <w:spacing w:line="360" w:lineRule="auto"/>
        <w:textAlignment w:val="auto"/>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本次江村区域仓分布式光伏发电扩建，计划在</w:t>
      </w:r>
      <w:r>
        <w:rPr>
          <w:rFonts w:hint="eastAsia" w:ascii="宋体" w:hAnsi="宋体"/>
          <w:color w:val="auto"/>
          <w:sz w:val="28"/>
          <w:szCs w:val="28"/>
          <w:highlight w:val="none"/>
          <w:lang w:val="en-US" w:eastAsia="zh-CN"/>
        </w:rPr>
        <w:t>包括但不限于</w:t>
      </w:r>
      <w:r>
        <w:rPr>
          <w:rFonts w:ascii="宋体" w:hAnsi="宋体" w:eastAsia="宋体" w:cs="宋体"/>
          <w:kern w:val="2"/>
          <w:sz w:val="24"/>
          <w:szCs w:val="24"/>
          <w:lang w:val="en-US" w:eastAsia="zh-CN" w:bidi="ar-SA"/>
        </w:rPr>
        <w:t>广州市白云区唐阁北路138号之二江村仓库屋顶（B库）余下可装机部分，面积约2800平方米，138号之一江村仓库屋顶（A库），面积约2700平方米，</w:t>
      </w:r>
      <w:r>
        <w:rPr>
          <w:rFonts w:hint="eastAsia" w:ascii="宋体" w:hAnsi="宋体"/>
          <w:color w:val="auto"/>
          <w:sz w:val="28"/>
          <w:szCs w:val="28"/>
          <w:highlight w:val="none"/>
          <w:lang w:val="en-US" w:eastAsia="zh-CN"/>
        </w:rPr>
        <w:t>其他或有可装区域，</w:t>
      </w:r>
      <w:r>
        <w:rPr>
          <w:rFonts w:ascii="宋体" w:hAnsi="宋体" w:eastAsia="宋体" w:cs="宋体"/>
          <w:kern w:val="2"/>
          <w:sz w:val="24"/>
          <w:szCs w:val="24"/>
          <w:lang w:val="en-US" w:eastAsia="zh-CN" w:bidi="ar-SA"/>
        </w:rPr>
        <w:t>安装光伏发电设施，拟采用分布式光伏发电节能服务的方式实施。具体实施范围和装机容量以</w:t>
      </w:r>
      <w:r>
        <w:rPr>
          <w:rFonts w:hint="eastAsia" w:ascii="宋体" w:hAnsi="宋体" w:cs="宋体"/>
          <w:kern w:val="2"/>
          <w:sz w:val="24"/>
          <w:szCs w:val="24"/>
          <w:lang w:val="en-US" w:eastAsia="zh-CN" w:bidi="ar-SA"/>
        </w:rPr>
        <w:t>实际可装面积和</w:t>
      </w:r>
      <w:r>
        <w:rPr>
          <w:rFonts w:ascii="宋体" w:hAnsi="宋体" w:eastAsia="宋体" w:cs="宋体"/>
          <w:kern w:val="2"/>
          <w:sz w:val="24"/>
          <w:szCs w:val="24"/>
          <w:lang w:val="en-US" w:eastAsia="zh-CN" w:bidi="ar-SA"/>
        </w:rPr>
        <w:t>政府发改部门同意备案为准。</w:t>
      </w:r>
    </w:p>
    <w:p>
      <w:pPr>
        <w:pStyle w:val="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由</w:t>
      </w:r>
      <w:r>
        <w:rPr>
          <w:rFonts w:hint="eastAsia" w:ascii="宋体" w:hAnsi="宋体" w:eastAsia="宋体" w:cs="宋体"/>
          <w:kern w:val="2"/>
          <w:sz w:val="24"/>
          <w:szCs w:val="24"/>
          <w:lang w:val="en-US" w:eastAsia="zh-CN" w:bidi="ar-SA"/>
        </w:rPr>
        <w:t>中标</w:t>
      </w:r>
      <w:r>
        <w:rPr>
          <w:rFonts w:ascii="宋体" w:hAnsi="宋体" w:eastAsia="宋体" w:cs="宋体"/>
          <w:kern w:val="2"/>
          <w:sz w:val="24"/>
          <w:szCs w:val="24"/>
          <w:lang w:val="en-US" w:eastAsia="zh-CN" w:bidi="ar-SA"/>
        </w:rPr>
        <w:t>企业按照“合同能源管理”模式，进行本项目的建设，包括前期项目申报、投资、建设、</w:t>
      </w:r>
      <w:r>
        <w:rPr>
          <w:rFonts w:hint="eastAsia" w:ascii="宋体" w:hAnsi="宋体" w:eastAsia="宋体" w:cs="宋体"/>
          <w:kern w:val="2"/>
          <w:sz w:val="24"/>
          <w:szCs w:val="24"/>
          <w:lang w:val="en-US" w:eastAsia="zh-CN" w:bidi="ar-SA"/>
        </w:rPr>
        <w:t>并网、</w:t>
      </w:r>
      <w:r>
        <w:rPr>
          <w:rFonts w:ascii="宋体" w:hAnsi="宋体" w:eastAsia="宋体" w:cs="宋体"/>
          <w:kern w:val="2"/>
          <w:sz w:val="24"/>
          <w:szCs w:val="24"/>
          <w:lang w:val="en-US" w:eastAsia="zh-CN" w:bidi="ar-SA"/>
        </w:rPr>
        <w:t>后期运营及维护</w:t>
      </w:r>
      <w:r>
        <w:rPr>
          <w:rFonts w:hint="eastAsia" w:ascii="宋体" w:hAnsi="宋体" w:eastAsia="宋体" w:cs="宋体"/>
          <w:kern w:val="2"/>
          <w:sz w:val="24"/>
          <w:szCs w:val="24"/>
          <w:lang w:val="en-US" w:eastAsia="zh-CN" w:bidi="ar-SA"/>
        </w:rPr>
        <w:t>等</w:t>
      </w:r>
      <w:r>
        <w:rPr>
          <w:rFonts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光伏项目验收合格、投产发电后，本项目所产生的电能业主按签约年限及电费折扣优先消纳。业主和中标方</w:t>
      </w:r>
      <w:r>
        <w:rPr>
          <w:rFonts w:ascii="宋体" w:hAnsi="宋体" w:eastAsia="宋体" w:cs="宋体"/>
          <w:kern w:val="2"/>
          <w:sz w:val="24"/>
          <w:szCs w:val="24"/>
          <w:lang w:val="en-US" w:eastAsia="zh-CN" w:bidi="ar-SA"/>
        </w:rPr>
        <w:t>在系统的运行周期年限内共享节能收益</w:t>
      </w:r>
      <w:r>
        <w:rPr>
          <w:rFonts w:hint="eastAsia" w:ascii="宋体" w:hAnsi="宋体" w:eastAsia="宋体" w:cs="宋体"/>
          <w:kern w:val="2"/>
          <w:sz w:val="24"/>
          <w:szCs w:val="24"/>
          <w:lang w:val="en-US" w:eastAsia="zh-CN" w:bidi="ar-SA"/>
        </w:rPr>
        <w:t>。</w:t>
      </w:r>
    </w:p>
    <w:p>
      <w:pPr>
        <w:pageBreakBefore w:val="0"/>
        <w:numPr>
          <w:ilvl w:val="0"/>
          <w:numId w:val="2"/>
        </w:numPr>
        <w:kinsoku/>
        <w:wordWrap/>
        <w:overflowPunct/>
        <w:topLinePunct w:val="0"/>
        <w:autoSpaceDE/>
        <w:autoSpaceDN/>
        <w:bidi w:val="0"/>
        <w:adjustRightInd/>
        <w:snapToGrid/>
        <w:spacing w:line="360" w:lineRule="auto"/>
        <w:ind w:left="20" w:leftChars="0" w:firstLineChars="0"/>
        <w:textAlignment w:val="auto"/>
        <w:rPr>
          <w:rFonts w:ascii="仿宋" w:hAnsi="仿宋" w:eastAsia="仿宋" w:cs="仿宋"/>
          <w:b/>
          <w:bCs/>
          <w:sz w:val="32"/>
          <w:szCs w:val="32"/>
        </w:rPr>
      </w:pPr>
      <w:r>
        <w:rPr>
          <w:rFonts w:hint="eastAsia" w:ascii="仿宋" w:hAnsi="仿宋" w:eastAsia="仿宋" w:cs="仿宋"/>
          <w:b/>
          <w:bCs/>
          <w:sz w:val="32"/>
          <w:szCs w:val="32"/>
        </w:rPr>
        <w:t>项目内容</w:t>
      </w:r>
      <w:r>
        <w:rPr>
          <w:rFonts w:hint="eastAsia" w:ascii="仿宋" w:hAnsi="仿宋" w:eastAsia="仿宋" w:cs="仿宋"/>
          <w:b/>
          <w:bCs/>
          <w:sz w:val="32"/>
          <w:szCs w:val="32"/>
          <w:lang w:val="en-US" w:eastAsia="zh-CN"/>
        </w:rPr>
        <w:t>主要要求</w:t>
      </w:r>
    </w:p>
    <w:p>
      <w:pPr>
        <w:pStyle w:val="2"/>
        <w:pageBreakBefore w:val="0"/>
        <w:kinsoku/>
        <w:wordWrap/>
        <w:overflowPunct/>
        <w:topLinePunct w:val="0"/>
        <w:autoSpaceDE/>
        <w:autoSpaceDN/>
        <w:bidi w:val="0"/>
        <w:adjustRightInd/>
        <w:snapToGrid/>
        <w:spacing w:line="360" w:lineRule="auto"/>
        <w:textAlignment w:val="auto"/>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江村区域仓B库屋顶（可安装部分）面积约2800平方米、A库屋顶面积约2700平方米</w:t>
      </w:r>
      <w:r>
        <w:rPr>
          <w:rFonts w:hint="eastAsia" w:ascii="宋体" w:hAnsi="宋体" w:cs="宋体"/>
          <w:kern w:val="2"/>
          <w:sz w:val="24"/>
          <w:szCs w:val="24"/>
          <w:lang w:val="en-US" w:eastAsia="zh-CN" w:bidi="ar-SA"/>
        </w:rPr>
        <w:t>等区域</w:t>
      </w:r>
      <w:r>
        <w:rPr>
          <w:rFonts w:ascii="宋体" w:hAnsi="宋体" w:eastAsia="宋体" w:cs="宋体"/>
          <w:kern w:val="2"/>
          <w:sz w:val="24"/>
          <w:szCs w:val="24"/>
          <w:lang w:val="en-US" w:eastAsia="zh-CN" w:bidi="ar-SA"/>
        </w:rPr>
        <w:t>提供分布式光伏发的节能项目节能解决方案、设计方案和施工方案，并按方案实施，提供节能减排服务，项目系统工程包含但不限定于：（1）光伏组件、（2）光伏支架、（3）供电网络附属工程、（4）厂房供电设施</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（5）满足国家及行业标准的分布式光伏发电站设计要求的必要设备设施开展节能服务。   </w:t>
      </w:r>
    </w:p>
    <w:p>
      <w:pPr>
        <w:pStyle w:val="2"/>
        <w:pageBreakBefore w:val="0"/>
        <w:kinsoku/>
        <w:wordWrap/>
        <w:overflowPunct/>
        <w:topLinePunct w:val="0"/>
        <w:autoSpaceDE/>
        <w:autoSpaceDN/>
        <w:bidi w:val="0"/>
        <w:adjustRightInd/>
        <w:snapToGrid/>
        <w:spacing w:line="360" w:lineRule="auto"/>
        <w:textAlignment w:val="auto"/>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本项目采用分布式光伏发电节能服务方式实施</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包括但不限于以下内容：</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1）工程勘察设计：全部前期手续的办理（包括但不限于环评、项目报备、施工等），所有并网点的工程勘察、初步设计报告编制及施工图审查、竣工图编制审核等。</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2）建设期间的设计、设备采购、安装、调式、验收，库房屋顶承重相关结构必要检测，B库屋顶不锈钢安全护栏制作与安装（B库屋面四周1.2米高不锈钢安全护栏加装约396米（注：1、护栏具体高度以符合政府规划规范为准；2、护栏加装长度以实际周边长度为准）、现有库房造成破坏的修复以及运营期间光伏发电站运行、管理、运维、维修等工作。</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3）项目建设所需的现有库房屋顶、配电、工作间、电缆通道等的安装等</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4）设备及材料的采购。包括但不限于光伏组件、支架、逆变器等所有设备及配套的设备设施的采购、接卸、成品保护、转运、安装、调试、验收等材料应包括但不限于防水材料、电缆槽盒、标识标牌、电缆沟盖板（如有）、围栏和标桩等工程配套材料的采购、制作安装以及B库屋顶不不锈钢安全护栏制作与安装等。</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5）工程施工包括但不限于土建、安装、施工协调、试验及检查测试（含</w:t>
      </w:r>
      <w:r>
        <w:rPr>
          <w:rFonts w:hint="eastAsia" w:ascii="宋体" w:hAnsi="宋体" w:cs="宋体"/>
          <w:kern w:val="2"/>
          <w:sz w:val="24"/>
          <w:szCs w:val="24"/>
          <w:lang w:val="en-US" w:eastAsia="zh-CN" w:bidi="ar-SA"/>
        </w:rPr>
        <w:t>具有房屋安全鉴定备案证书及相关资质的第三方对</w:t>
      </w:r>
      <w:r>
        <w:rPr>
          <w:rFonts w:ascii="宋体" w:hAnsi="宋体" w:eastAsia="宋体" w:cs="宋体"/>
          <w:kern w:val="2"/>
          <w:sz w:val="24"/>
          <w:szCs w:val="24"/>
          <w:lang w:val="en-US" w:eastAsia="zh-CN" w:bidi="ar-SA"/>
        </w:rPr>
        <w:t>屋顶</w:t>
      </w:r>
      <w:r>
        <w:rPr>
          <w:rFonts w:hint="eastAsia" w:ascii="宋体" w:hAnsi="宋体" w:cs="宋体"/>
          <w:kern w:val="2"/>
          <w:sz w:val="24"/>
          <w:szCs w:val="24"/>
          <w:lang w:val="en-US" w:eastAsia="zh-CN" w:bidi="ar-SA"/>
        </w:rPr>
        <w:t>的</w:t>
      </w:r>
      <w:r>
        <w:rPr>
          <w:rFonts w:ascii="宋体" w:hAnsi="宋体" w:eastAsia="宋体" w:cs="宋体"/>
          <w:kern w:val="2"/>
          <w:sz w:val="24"/>
          <w:szCs w:val="24"/>
          <w:lang w:val="en-US" w:eastAsia="zh-CN" w:bidi="ar-SA"/>
        </w:rPr>
        <w:t>承载力检测</w:t>
      </w:r>
      <w:r>
        <w:rPr>
          <w:rFonts w:hint="eastAsia" w:ascii="宋体" w:hAnsi="宋体" w:cs="宋体"/>
          <w:kern w:val="2"/>
          <w:sz w:val="24"/>
          <w:szCs w:val="24"/>
          <w:lang w:val="en-US" w:eastAsia="zh-CN" w:bidi="ar-SA"/>
        </w:rPr>
        <w:t>，</w:t>
      </w:r>
      <w:r>
        <w:rPr>
          <w:rFonts w:ascii="宋体" w:hAnsi="宋体" w:eastAsia="宋体" w:cs="宋体"/>
          <w:kern w:val="2"/>
          <w:sz w:val="24"/>
          <w:szCs w:val="24"/>
          <w:lang w:val="en-US" w:eastAsia="zh-CN" w:bidi="ar-SA"/>
        </w:rPr>
        <w:t>防水检测及施工，施工保险等）</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6）调试并网包括但不限于并网的申报、调试、运行等</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7）工程验收、消缺、投运，工程资料的备案等。</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8）招标范围内的所有内外协调和纠纷处理。</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9）项目投运后的运行维护、检修检测、维修等所有涉及的工作。</w:t>
      </w:r>
      <w:r>
        <w:rPr>
          <w:rFonts w:ascii="宋体" w:hAnsi="宋体" w:eastAsia="宋体" w:cs="宋体"/>
          <w:kern w:val="2"/>
          <w:sz w:val="24"/>
          <w:szCs w:val="24"/>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10）其他招标文件中未明确列出，但对于一个光伏项目的功能、安全、稳定运行必不可少的以及满足供电局接入运行要求、满足国家竣工验收规范要求的建筑、设备、材料及服务。</w:t>
      </w:r>
    </w:p>
    <w:p>
      <w:pPr>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11</w:t>
      </w:r>
      <w:r>
        <w:rPr>
          <w:rFonts w:hint="eastAsia" w:ascii="宋体" w:hAnsi="宋体" w:cs="宋体"/>
          <w:kern w:val="2"/>
          <w:sz w:val="24"/>
          <w:szCs w:val="24"/>
          <w:highlight w:val="none"/>
          <w:lang w:val="en-US" w:eastAsia="zh-CN" w:bidi="ar-SA"/>
        </w:rPr>
        <w:t>）</w:t>
      </w:r>
      <w:r>
        <w:rPr>
          <w:rFonts w:hint="eastAsia" w:ascii="宋体" w:hAnsi="宋体" w:cs="宋体"/>
          <w:color w:val="auto"/>
          <w:sz w:val="21"/>
          <w:szCs w:val="21"/>
          <w:highlight w:val="none"/>
          <w:u w:val="none"/>
          <w:lang w:val="en-US" w:eastAsia="zh-CN"/>
        </w:rPr>
        <w:t>报价</w:t>
      </w:r>
      <w:r>
        <w:rPr>
          <w:rFonts w:hint="eastAsia" w:ascii="宋体" w:hAnsi="宋体" w:eastAsia="宋体" w:cs="宋体"/>
          <w:color w:val="auto"/>
          <w:sz w:val="21"/>
          <w:szCs w:val="21"/>
          <w:highlight w:val="none"/>
          <w:u w:val="none"/>
          <w:lang w:val="en-US" w:eastAsia="zh-CN"/>
        </w:rPr>
        <w:t>人</w:t>
      </w:r>
      <w:r>
        <w:rPr>
          <w:rFonts w:hint="eastAsia" w:ascii="宋体" w:hAnsi="宋体" w:eastAsia="宋体" w:cs="宋体"/>
          <w:color w:val="auto"/>
          <w:sz w:val="21"/>
          <w:szCs w:val="21"/>
          <w:highlight w:val="none"/>
          <w:u w:val="none"/>
        </w:rPr>
        <w:t>需拥有光伏远程集中监控平台，</w:t>
      </w:r>
      <w:r>
        <w:rPr>
          <w:rFonts w:hint="eastAsia" w:ascii="宋体" w:hAnsi="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后如业主有需要，光伏发电系统的运行状态</w:t>
      </w:r>
      <w:r>
        <w:rPr>
          <w:rFonts w:hint="eastAsia" w:ascii="宋体" w:hAnsi="宋体" w:eastAsia="宋体" w:cs="宋体"/>
          <w:color w:val="auto"/>
          <w:sz w:val="21"/>
          <w:szCs w:val="21"/>
          <w:highlight w:val="none"/>
          <w:u w:val="none"/>
          <w:lang w:val="en-US" w:eastAsia="zh-CN"/>
        </w:rPr>
        <w:t>数据</w:t>
      </w:r>
      <w:r>
        <w:rPr>
          <w:rFonts w:hint="eastAsia" w:ascii="宋体" w:hAnsi="宋体" w:eastAsia="宋体" w:cs="宋体"/>
          <w:color w:val="auto"/>
          <w:sz w:val="21"/>
          <w:szCs w:val="21"/>
          <w:highlight w:val="none"/>
          <w:u w:val="none"/>
        </w:rPr>
        <w:t>信息可在业主已建设屏幕中展示。展示界面可以体现系统</w:t>
      </w:r>
      <w:r>
        <w:rPr>
          <w:rFonts w:hint="eastAsia" w:ascii="宋体" w:hAnsi="宋体" w:cs="宋体"/>
          <w:color w:val="auto"/>
          <w:sz w:val="21"/>
          <w:szCs w:val="21"/>
          <w:highlight w:val="none"/>
          <w:u w:val="none"/>
          <w:lang w:val="en-US" w:eastAsia="zh-CN"/>
        </w:rPr>
        <w:t>的</w:t>
      </w:r>
      <w:r>
        <w:rPr>
          <w:rFonts w:hint="eastAsia" w:ascii="宋体" w:hAnsi="宋体" w:eastAsia="宋体" w:cs="宋体"/>
          <w:color w:val="auto"/>
          <w:sz w:val="21"/>
          <w:szCs w:val="21"/>
          <w:highlight w:val="none"/>
          <w:u w:val="none"/>
        </w:rPr>
        <w:t>当日发电量、年度月度累计发电量、系统瞬时功率等相关信息（具体信息由双方在签订合同时确定）。</w:t>
      </w:r>
      <w:r>
        <w:rPr>
          <w:rFonts w:ascii="宋体" w:hAnsi="宋体" w:eastAsia="宋体" w:cs="宋体"/>
          <w:kern w:val="2"/>
          <w:sz w:val="24"/>
          <w:szCs w:val="24"/>
          <w:highlight w:val="none"/>
          <w:lang w:val="en-US" w:eastAsia="zh-CN" w:bidi="ar-SA"/>
        </w:rPr>
        <w:br w:type="textWrapping"/>
      </w:r>
      <w:r>
        <w:rPr>
          <w:rFonts w:hint="eastAsia" w:ascii="宋体" w:hAnsi="宋体" w:eastAsia="宋体" w:cs="宋体"/>
          <w:kern w:val="2"/>
          <w:sz w:val="24"/>
          <w:szCs w:val="24"/>
          <w:lang w:val="en-US" w:eastAsia="zh-CN" w:bidi="ar-SA"/>
        </w:rPr>
        <w:t xml:space="preserve">    </w:t>
      </w:r>
      <w:r>
        <w:rPr>
          <w:rFonts w:ascii="宋体" w:hAnsi="宋体" w:eastAsia="宋体" w:cs="宋体"/>
          <w:kern w:val="2"/>
          <w:sz w:val="24"/>
          <w:szCs w:val="24"/>
          <w:lang w:val="en-US" w:eastAsia="zh-CN" w:bidi="ar-SA"/>
        </w:rPr>
        <w:t>本次招标为“分布式光伏发电节能服务”项目。投标人负责项目全部前期、施工、验收、并网、投产及后续运行维修维护等与本项目相关的一切工作及所产生的费用</w:t>
      </w:r>
      <w:r>
        <w:rPr>
          <w:rFonts w:hint="eastAsia" w:ascii="宋体" w:hAnsi="宋体" w:eastAsia="宋体" w:cs="宋体"/>
          <w:kern w:val="2"/>
          <w:sz w:val="24"/>
          <w:szCs w:val="24"/>
          <w:lang w:val="en-US" w:eastAsia="zh-CN" w:bidi="ar-SA"/>
        </w:rPr>
        <w:t>。</w:t>
      </w:r>
    </w:p>
    <w:p>
      <w:pPr>
        <w:pStyle w:val="2"/>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注</w:t>
      </w:r>
      <w:r>
        <w:rPr>
          <w:rFonts w:hint="eastAsia" w:ascii="宋体" w:hAnsi="宋体" w:eastAsia="宋体" w:cs="宋体"/>
          <w:kern w:val="2"/>
          <w:sz w:val="24"/>
          <w:szCs w:val="24"/>
          <w:lang w:val="en-US" w:eastAsia="zh-CN" w:bidi="ar-SA"/>
        </w:rPr>
        <w:t>：1、B库建筑面积为4880</w:t>
      </w:r>
      <w:r>
        <w:rPr>
          <w:rFonts w:ascii="宋体" w:hAnsi="宋体" w:eastAsia="宋体" w:cs="宋体"/>
          <w:kern w:val="2"/>
          <w:sz w:val="24"/>
          <w:szCs w:val="24"/>
          <w:lang w:val="en-US" w:eastAsia="zh-CN" w:bidi="ar-SA"/>
        </w:rPr>
        <w:t>平方米</w:t>
      </w:r>
      <w:r>
        <w:rPr>
          <w:rFonts w:hint="eastAsia" w:ascii="宋体" w:hAnsi="宋体" w:eastAsia="宋体" w:cs="宋体"/>
          <w:kern w:val="2"/>
          <w:sz w:val="24"/>
          <w:szCs w:val="24"/>
          <w:lang w:val="en-US" w:eastAsia="zh-CN" w:bidi="ar-SA"/>
        </w:rPr>
        <w:t>，该座库房原设计为屋面设计为不上人屋面；该库房屋面2016年铺设了（TPO）防水卷材；仓库为高低跨建筑，低跨部分原屋面部分面积已经安装光伏发电设施；高跨部分建有不锈钢水箱一座。2、A库基建面积为2714平方米，内有夹层，库房建筑面积为4270平方米，该仓库屋面建有女儿墙，2023年</w:t>
      </w:r>
      <w:r>
        <w:rPr>
          <w:rFonts w:ascii="宋体" w:hAnsi="宋体" w:eastAsia="宋体" w:cs="宋体"/>
          <w:kern w:val="2"/>
          <w:sz w:val="24"/>
          <w:szCs w:val="24"/>
          <w:lang w:val="en-US" w:eastAsia="zh-CN" w:bidi="ar-SA"/>
        </w:rPr>
        <w:t>A库</w:t>
      </w:r>
      <w:r>
        <w:rPr>
          <w:rFonts w:hint="eastAsia" w:ascii="宋体" w:hAnsi="宋体" w:eastAsia="宋体" w:cs="宋体"/>
          <w:kern w:val="2"/>
          <w:sz w:val="24"/>
          <w:szCs w:val="24"/>
          <w:lang w:val="en-US" w:eastAsia="zh-CN" w:bidi="ar-SA"/>
        </w:rPr>
        <w:t>实施了</w:t>
      </w:r>
      <w:r>
        <w:rPr>
          <w:rFonts w:ascii="宋体" w:hAnsi="宋体" w:eastAsia="宋体" w:cs="宋体"/>
          <w:kern w:val="2"/>
          <w:sz w:val="24"/>
          <w:szCs w:val="24"/>
          <w:lang w:val="en-US" w:eastAsia="zh-CN" w:bidi="ar-SA"/>
        </w:rPr>
        <w:t>屋面防水改造</w:t>
      </w:r>
      <w:r>
        <w:rPr>
          <w:rFonts w:hint="eastAsia" w:ascii="宋体" w:hAnsi="宋体" w:eastAsia="宋体" w:cs="宋体"/>
          <w:kern w:val="2"/>
          <w:sz w:val="24"/>
          <w:szCs w:val="24"/>
          <w:lang w:val="en-US" w:eastAsia="zh-CN" w:bidi="ar-SA"/>
        </w:rPr>
        <w:t>，主要包</w:t>
      </w:r>
      <w:r>
        <w:rPr>
          <w:rFonts w:ascii="宋体" w:hAnsi="宋体" w:eastAsia="宋体" w:cs="宋体"/>
          <w:kern w:val="2"/>
          <w:sz w:val="24"/>
          <w:szCs w:val="24"/>
          <w:lang w:val="en-US" w:eastAsia="zh-CN" w:bidi="ar-SA"/>
        </w:rPr>
        <w:t>灌浆,聚氨酯防水涂膜</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SBS防水卷材</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挤塑聚苯乙烯板</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低强度等级砂浆隔离层</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C25细石混凝土</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水泥砂浆结合层</w:t>
      </w:r>
      <w:r>
        <w:rPr>
          <w:rFonts w:hint="eastAsia" w:ascii="宋体" w:hAnsi="宋体" w:eastAsia="宋体" w:cs="宋体"/>
          <w:kern w:val="2"/>
          <w:sz w:val="24"/>
          <w:szCs w:val="24"/>
          <w:lang w:val="en-US" w:eastAsia="zh-CN" w:bidi="ar-SA"/>
        </w:rPr>
        <w:t>、</w:t>
      </w:r>
      <w:r>
        <w:rPr>
          <w:rFonts w:ascii="宋体" w:hAnsi="宋体" w:eastAsia="宋体" w:cs="宋体"/>
          <w:kern w:val="2"/>
          <w:sz w:val="24"/>
          <w:szCs w:val="24"/>
          <w:lang w:val="en-US" w:eastAsia="zh-CN" w:bidi="ar-SA"/>
        </w:rPr>
        <w:t>隔热砖</w:t>
      </w:r>
      <w:r>
        <w:rPr>
          <w:rFonts w:hint="eastAsia" w:ascii="宋体" w:hAnsi="宋体" w:eastAsia="宋体" w:cs="宋体"/>
          <w:kern w:val="2"/>
          <w:sz w:val="24"/>
          <w:szCs w:val="24"/>
          <w:lang w:val="en-US" w:eastAsia="zh-CN" w:bidi="ar-SA"/>
        </w:rPr>
        <w:t>等</w:t>
      </w:r>
      <w:r>
        <w:rPr>
          <w:rFonts w:ascii="宋体" w:hAnsi="宋体" w:eastAsia="宋体" w:cs="宋体"/>
          <w:kern w:val="2"/>
          <w:sz w:val="24"/>
          <w:szCs w:val="24"/>
          <w:lang w:val="en-US" w:eastAsia="zh-CN" w:bidi="ar-SA"/>
        </w:rPr>
        <w:t>。增加</w:t>
      </w:r>
      <w:r>
        <w:rPr>
          <w:rFonts w:hint="eastAsia" w:ascii="宋体" w:hAnsi="宋体" w:eastAsia="宋体" w:cs="宋体"/>
          <w:kern w:val="2"/>
          <w:sz w:val="24"/>
          <w:szCs w:val="24"/>
          <w:lang w:val="en-US" w:eastAsia="zh-CN" w:bidi="ar-SA"/>
        </w:rPr>
        <w:t>屋面</w:t>
      </w:r>
      <w:r>
        <w:rPr>
          <w:rFonts w:ascii="宋体" w:hAnsi="宋体" w:eastAsia="宋体" w:cs="宋体"/>
          <w:kern w:val="2"/>
          <w:sz w:val="24"/>
          <w:szCs w:val="24"/>
          <w:lang w:val="en-US" w:eastAsia="zh-CN" w:bidi="ar-SA"/>
        </w:rPr>
        <w:t>荷载估算约153kg/m2</w:t>
      </w:r>
      <w:r>
        <w:rPr>
          <w:rFonts w:hint="eastAsia" w:ascii="宋体" w:hAnsi="宋体" w:eastAsia="宋体" w:cs="宋体"/>
          <w:kern w:val="2"/>
          <w:sz w:val="24"/>
          <w:szCs w:val="24"/>
          <w:lang w:val="en-US" w:eastAsia="zh-CN" w:bidi="ar-SA"/>
        </w:rPr>
        <w:t>或</w:t>
      </w:r>
      <w:r>
        <w:rPr>
          <w:rFonts w:ascii="宋体" w:hAnsi="宋体" w:eastAsia="宋体" w:cs="宋体"/>
          <w:kern w:val="2"/>
          <w:sz w:val="24"/>
          <w:szCs w:val="24"/>
          <w:lang w:val="en-US" w:eastAsia="zh-CN" w:bidi="ar-SA"/>
        </w:rPr>
        <w:t>1.5kn/m2</w:t>
      </w:r>
      <w:r>
        <w:rPr>
          <w:rFonts w:hint="eastAsia" w:ascii="宋体" w:hAnsi="宋体" w:eastAsia="宋体" w:cs="宋体"/>
          <w:kern w:val="2"/>
          <w:sz w:val="24"/>
          <w:szCs w:val="24"/>
          <w:lang w:val="en-US" w:eastAsia="zh-CN" w:bidi="ar-SA"/>
        </w:rPr>
        <w:t>。3、两座库房可用于光伏发电设施安装面积均以实际为准。4、同时，须慎重考虑A库、B库的特点进行评估、设计、安装，确保项目安全可靠，请投标人重点关注。</w:t>
      </w:r>
    </w:p>
    <w:p>
      <w:pPr>
        <w:pStyle w:val="19"/>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b w:val="0"/>
          <w:kern w:val="2"/>
          <w:sz w:val="21"/>
          <w:szCs w:val="20"/>
          <w:highlight w:val="yellow"/>
          <w:lang w:val="en-US" w:eastAsia="zh-CN" w:bidi="ar-SA"/>
        </w:rPr>
      </w:pPr>
    </w:p>
    <w:p>
      <w:pPr>
        <w:pStyle w:val="4"/>
        <w:pageBreakBefore w:val="0"/>
        <w:numPr>
          <w:ilvl w:val="0"/>
          <w:numId w:val="0"/>
        </w:numPr>
        <w:kinsoku/>
        <w:wordWrap/>
        <w:overflowPunct/>
        <w:topLinePunct w:val="0"/>
        <w:autoSpaceDE/>
        <w:autoSpaceDN/>
        <w:bidi w:val="0"/>
        <w:adjustRightInd/>
        <w:snapToGrid/>
        <w:spacing w:before="0" w:after="0" w:line="360" w:lineRule="auto"/>
        <w:ind w:firstLine="602" w:firstLineChars="200"/>
        <w:textAlignment w:val="auto"/>
        <w:rPr>
          <w:rFonts w:hint="eastAsia" w:ascii="宋体" w:hAnsi="宋体" w:eastAsia="宋体" w:cs="Times New Roman"/>
          <w:sz w:val="30"/>
          <w:lang w:val="en-US" w:eastAsia="zh-CN"/>
        </w:rPr>
      </w:pPr>
      <w:r>
        <w:rPr>
          <w:rFonts w:hint="eastAsia" w:ascii="宋体" w:hAnsi="宋体" w:eastAsia="宋体" w:cs="Times New Roman"/>
          <w:sz w:val="30"/>
          <w:lang w:val="en-US" w:eastAsia="zh-CN"/>
        </w:rPr>
        <w:t>3.建设工期及运营管理期</w:t>
      </w:r>
    </w:p>
    <w:p>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本期分布式光伏发电扩建工期要求</w:t>
      </w:r>
      <w:r>
        <w:rPr>
          <w:rFonts w:ascii="宋体" w:hAnsi="宋体" w:eastAsia="宋体" w:cs="宋体"/>
          <w:sz w:val="24"/>
          <w:szCs w:val="24"/>
        </w:rPr>
        <w:t>：</w:t>
      </w:r>
      <w:r>
        <w:rPr>
          <w:rFonts w:hint="eastAsia" w:ascii="宋体" w:hAnsi="宋体" w:eastAsia="宋体" w:cs="宋体"/>
          <w:sz w:val="24"/>
          <w:szCs w:val="24"/>
          <w:lang w:val="en-US" w:eastAsia="zh-CN"/>
        </w:rPr>
        <w:t>7个月</w:t>
      </w:r>
      <w:r>
        <w:rPr>
          <w:rFonts w:hint="eastAsia" w:ascii="宋体" w:hAnsi="宋体" w:cs="宋体"/>
          <w:sz w:val="24"/>
          <w:szCs w:val="24"/>
          <w:lang w:eastAsia="zh-CN"/>
        </w:rPr>
        <w:t>；</w:t>
      </w:r>
      <w:r>
        <w:rPr>
          <w:rFonts w:hint="eastAsia" w:ascii="宋体" w:hAnsi="宋体" w:cs="宋体"/>
          <w:sz w:val="24"/>
          <w:szCs w:val="24"/>
          <w:lang w:val="en-US" w:eastAsia="zh-CN"/>
        </w:rPr>
        <w:t>并网之日起运营管理期限：25年。</w:t>
      </w:r>
    </w:p>
    <w:p>
      <w:pPr>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投标人应按照招标文件的要求，实施包括但不限于</w:t>
      </w:r>
      <w:r>
        <w:rPr>
          <w:rFonts w:hint="eastAsia" w:ascii="宋体" w:hAnsi="宋体" w:eastAsia="宋体" w:cs="宋体"/>
          <w:sz w:val="24"/>
          <w:szCs w:val="24"/>
          <w:lang w:val="en-US" w:eastAsia="zh-CN"/>
        </w:rPr>
        <w:t>设计、</w:t>
      </w:r>
      <w:r>
        <w:rPr>
          <w:rFonts w:hint="eastAsia" w:ascii="宋体" w:hAnsi="宋体" w:eastAsia="宋体" w:cs="宋体"/>
          <w:sz w:val="24"/>
          <w:szCs w:val="24"/>
        </w:rPr>
        <w:t>施工、包材料、包质量、包工期、包安全、包文明施工、包验收、包保修</w:t>
      </w:r>
      <w:r>
        <w:rPr>
          <w:rFonts w:hint="eastAsia" w:ascii="宋体" w:hAnsi="宋体" w:eastAsia="宋体" w:cs="宋体"/>
          <w:sz w:val="24"/>
          <w:szCs w:val="24"/>
          <w:lang w:eastAsia="zh-CN"/>
        </w:rPr>
        <w:t>、</w:t>
      </w:r>
      <w:r>
        <w:rPr>
          <w:rFonts w:hint="eastAsia" w:ascii="宋体" w:hAnsi="宋体" w:eastAsia="宋体" w:cs="宋体"/>
          <w:sz w:val="24"/>
          <w:szCs w:val="24"/>
        </w:rPr>
        <w:t>售后服务</w:t>
      </w:r>
      <w:r>
        <w:rPr>
          <w:rFonts w:hint="eastAsia" w:ascii="宋体" w:hAnsi="宋体" w:eastAsia="宋体" w:cs="宋体"/>
          <w:sz w:val="24"/>
          <w:szCs w:val="24"/>
          <w:lang w:val="en-US" w:eastAsia="zh-CN"/>
        </w:rPr>
        <w:t>及后续运行维护</w:t>
      </w:r>
      <w:r>
        <w:rPr>
          <w:rFonts w:hint="eastAsia" w:ascii="宋体" w:hAnsi="宋体" w:eastAsia="宋体" w:cs="宋体"/>
          <w:sz w:val="24"/>
          <w:szCs w:val="24"/>
        </w:rPr>
        <w:t>等全部服务。</w:t>
      </w:r>
    </w:p>
    <w:p>
      <w:pPr>
        <w:spacing w:line="240" w:lineRule="auto"/>
        <w:ind w:firstLine="480" w:firstLineChars="200"/>
        <w:rPr>
          <w:rFonts w:hint="eastAsia" w:ascii="宋体" w:hAnsi="宋体" w:eastAsia="宋体" w:cs="宋体"/>
          <w:sz w:val="24"/>
          <w:szCs w:val="24"/>
        </w:rPr>
      </w:pPr>
    </w:p>
    <w:p>
      <w:pPr>
        <w:pStyle w:val="4"/>
        <w:numPr>
          <w:ilvl w:val="0"/>
          <w:numId w:val="0"/>
        </w:numPr>
        <w:spacing w:before="0" w:after="0" w:line="360" w:lineRule="auto"/>
        <w:ind w:firstLine="602" w:firstLineChars="200"/>
        <w:rPr>
          <w:rFonts w:hint="default" w:ascii="宋体" w:hAnsi="宋体" w:eastAsia="宋体" w:cs="Times New Roman"/>
          <w:sz w:val="30"/>
          <w:lang w:val="en-US" w:eastAsia="zh-CN"/>
        </w:rPr>
      </w:pPr>
      <w:r>
        <w:rPr>
          <w:rFonts w:hint="eastAsia" w:ascii="宋体" w:hAnsi="宋体" w:eastAsia="宋体" w:cs="Times New Roman"/>
          <w:sz w:val="30"/>
          <w:lang w:val="en-US" w:eastAsia="zh-CN"/>
        </w:rPr>
        <w:t>4.技术要求</w:t>
      </w:r>
    </w:p>
    <w:bookmarkEnd w:id="1"/>
    <w:bookmarkEnd w:id="2"/>
    <w:p>
      <w:pPr>
        <w:pStyle w:val="19"/>
        <w:rPr>
          <w:rFonts w:hint="eastAsia"/>
        </w:rPr>
      </w:pPr>
      <w:bookmarkStart w:id="3" w:name="_Toc13850"/>
      <w:bookmarkStart w:id="4" w:name="_Toc454818279"/>
    </w:p>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color w:val="000000"/>
          <w:sz w:val="21"/>
          <w:szCs w:val="21"/>
        </w:rPr>
      </w:pPr>
      <w:r>
        <w:rPr>
          <w:rFonts w:hint="default" w:ascii="阿里巴巴普惠体" w:hAnsi="阿里巴巴普惠体" w:eastAsia="阿里巴巴普惠体" w:cs="阿里巴巴普惠体"/>
          <w:color w:val="000000"/>
          <w:kern w:val="0"/>
          <w:sz w:val="21"/>
          <w:szCs w:val="21"/>
          <w:lang w:val="en-US" w:eastAsia="zh-CN" w:bidi="ar"/>
        </w:rPr>
        <w:t>件一 主材品牌清单响应表</w:t>
      </w:r>
    </w:p>
    <w:tbl>
      <w:tblPr>
        <w:tblStyle w:val="16"/>
        <w:tblW w:w="8429"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31"/>
        <w:gridCol w:w="1556"/>
        <w:gridCol w:w="4962"/>
        <w:gridCol w:w="14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0" w:hRule="atLeast"/>
        </w:trPr>
        <w:tc>
          <w:tcPr>
            <w:tcW w:w="43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sz w:val="18"/>
                <w:szCs w:val="18"/>
              </w:rPr>
            </w:pPr>
            <w:r>
              <w:rPr>
                <w:rFonts w:hint="default" w:ascii="阿里巴巴普惠体" w:hAnsi="阿里巴巴普惠体" w:eastAsia="阿里巴巴普惠体" w:cs="阿里巴巴普惠体"/>
                <w:color w:val="000000"/>
                <w:kern w:val="0"/>
                <w:sz w:val="18"/>
                <w:szCs w:val="18"/>
                <w:lang w:val="en-US" w:eastAsia="zh-CN" w:bidi="ar"/>
              </w:rPr>
              <w:t>序号</w:t>
            </w:r>
          </w:p>
        </w:tc>
        <w:tc>
          <w:tcPr>
            <w:tcW w:w="1556"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sz w:val="18"/>
                <w:szCs w:val="18"/>
              </w:rPr>
            </w:pPr>
            <w:r>
              <w:rPr>
                <w:rFonts w:hint="default" w:ascii="阿里巴巴普惠体" w:hAnsi="阿里巴巴普惠体" w:eastAsia="阿里巴巴普惠体" w:cs="阿里巴巴普惠体"/>
                <w:color w:val="000000"/>
                <w:kern w:val="0"/>
                <w:sz w:val="18"/>
                <w:szCs w:val="18"/>
                <w:lang w:val="en-US" w:eastAsia="zh-CN" w:bidi="ar"/>
              </w:rPr>
              <w:t>主材名称</w:t>
            </w:r>
          </w:p>
        </w:tc>
        <w:tc>
          <w:tcPr>
            <w:tcW w:w="4962"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sz w:val="18"/>
                <w:szCs w:val="18"/>
              </w:rPr>
            </w:pPr>
            <w:r>
              <w:rPr>
                <w:rFonts w:hint="default" w:ascii="阿里巴巴普惠体" w:hAnsi="阿里巴巴普惠体" w:eastAsia="阿里巴巴普惠体" w:cs="阿里巴巴普惠体"/>
                <w:color w:val="000000"/>
                <w:kern w:val="0"/>
                <w:sz w:val="18"/>
                <w:szCs w:val="18"/>
                <w:lang w:val="en-US" w:eastAsia="zh-CN" w:bidi="ar"/>
              </w:rPr>
              <w:t>主材品牌清单</w:t>
            </w:r>
          </w:p>
        </w:tc>
        <w:tc>
          <w:tcPr>
            <w:tcW w:w="1480"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kern w:val="0"/>
                <w:sz w:val="18"/>
                <w:szCs w:val="18"/>
              </w:rPr>
            </w:pPr>
            <w:r>
              <w:rPr>
                <w:rFonts w:hint="eastAsia" w:ascii="阿里巴巴普惠体" w:hAnsi="阿里巴巴普惠体" w:eastAsia="阿里巴巴普惠体" w:cs="阿里巴巴普惠体"/>
                <w:color w:val="000000"/>
                <w:kern w:val="0"/>
                <w:sz w:val="18"/>
                <w:szCs w:val="18"/>
                <w:lang w:val="en-US" w:eastAsia="zh-CN" w:bidi="ar"/>
              </w:rPr>
              <w:t>投标人</w:t>
            </w:r>
            <w:r>
              <w:rPr>
                <w:rFonts w:hint="default" w:ascii="阿里巴巴普惠体" w:hAnsi="阿里巴巴普惠体" w:eastAsia="阿里巴巴普惠体" w:cs="阿里巴巴普惠体"/>
                <w:color w:val="000000"/>
                <w:kern w:val="0"/>
                <w:sz w:val="18"/>
                <w:szCs w:val="18"/>
                <w:lang w:val="en-US" w:eastAsia="zh-CN" w:bidi="ar"/>
              </w:rPr>
              <w:t>拟选择品牌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0" w:hRule="atLeast"/>
        </w:trPr>
        <w:tc>
          <w:tcPr>
            <w:tcW w:w="43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default" w:ascii="阿里巴巴普惠体" w:hAnsi="阿里巴巴普惠体" w:eastAsia="阿里巴巴普惠体" w:cs="阿里巴巴普惠体"/>
                <w:color w:val="000000"/>
                <w:sz w:val="18"/>
                <w:szCs w:val="18"/>
              </w:rPr>
            </w:pPr>
            <w:r>
              <w:rPr>
                <w:rFonts w:hint="eastAsia" w:ascii="阿里巴巴普惠体" w:hAnsi="阿里巴巴普惠体" w:eastAsia="阿里巴巴普惠体" w:cs="阿里巴巴普惠体"/>
                <w:color w:val="000000"/>
                <w:kern w:val="0"/>
                <w:sz w:val="18"/>
                <w:szCs w:val="18"/>
                <w:highlight w:val="none"/>
                <w:lang w:bidi="ar"/>
              </w:rPr>
              <w:t>1</w:t>
            </w:r>
          </w:p>
        </w:tc>
        <w:tc>
          <w:tcPr>
            <w:tcW w:w="1556"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default" w:ascii="阿里巴巴普惠体" w:hAnsi="阿里巴巴普惠体" w:eastAsia="阿里巴巴普惠体" w:cs="阿里巴巴普惠体"/>
                <w:color w:val="000000"/>
                <w:sz w:val="18"/>
                <w:szCs w:val="18"/>
                <w:lang w:val="en-US"/>
              </w:rPr>
            </w:pPr>
            <w:r>
              <w:rPr>
                <w:rFonts w:hint="eastAsia" w:ascii="阿里巴巴普惠体" w:hAnsi="阿里巴巴普惠体" w:eastAsia="阿里巴巴普惠体" w:cs="阿里巴巴普惠体"/>
                <w:color w:val="000000"/>
                <w:kern w:val="0"/>
                <w:sz w:val="18"/>
                <w:szCs w:val="18"/>
                <w:highlight w:val="none"/>
                <w:lang w:bidi="ar"/>
              </w:rPr>
              <w:t>光伏板</w:t>
            </w:r>
          </w:p>
        </w:tc>
        <w:tc>
          <w:tcPr>
            <w:tcW w:w="4962"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default" w:ascii="阿里巴巴普惠体" w:hAnsi="阿里巴巴普惠体" w:eastAsia="阿里巴巴普惠体" w:cs="阿里巴巴普惠体"/>
                <w:color w:val="auto"/>
                <w:sz w:val="18"/>
                <w:szCs w:val="18"/>
                <w:lang w:val="en-US"/>
              </w:rPr>
            </w:pPr>
            <w:r>
              <w:rPr>
                <w:rFonts w:hint="eastAsia" w:ascii="宋体" w:hAnsi="宋体" w:eastAsia="宋体"/>
                <w:color w:val="auto"/>
                <w:kern w:val="0"/>
                <w:sz w:val="20"/>
                <w:szCs w:val="20"/>
              </w:rPr>
              <w:t>光伏板N型</w:t>
            </w:r>
            <w:r>
              <w:rPr>
                <w:rFonts w:hint="eastAsia" w:ascii="宋体" w:hAnsi="宋体" w:eastAsia="宋体"/>
                <w:color w:val="auto"/>
                <w:kern w:val="0"/>
                <w:sz w:val="20"/>
                <w:szCs w:val="20"/>
                <w:lang w:eastAsia="zh-CN"/>
              </w:rPr>
              <w:t>：</w:t>
            </w:r>
            <w:r>
              <w:rPr>
                <w:rStyle w:val="27"/>
                <w:rFonts w:hint="eastAsia" w:ascii="阿里巴巴普惠体" w:hAnsi="阿里巴巴普惠体" w:eastAsia="阿里巴巴普惠体" w:cs="阿里巴巴普惠体"/>
                <w:color w:val="auto"/>
                <w:sz w:val="18"/>
                <w:szCs w:val="18"/>
                <w:highlight w:val="none"/>
                <w:lang w:bidi="ar"/>
              </w:rPr>
              <w:t>隆基、天合</w:t>
            </w:r>
            <w:r>
              <w:rPr>
                <w:rStyle w:val="27"/>
                <w:rFonts w:hint="eastAsia" w:ascii="阿里巴巴普惠体" w:hAnsi="阿里巴巴普惠体" w:eastAsia="阿里巴巴普惠体" w:cs="阿里巴巴普惠体"/>
                <w:color w:val="auto"/>
                <w:sz w:val="18"/>
                <w:szCs w:val="18"/>
                <w:highlight w:val="none"/>
                <w:lang w:eastAsia="zh-CN" w:bidi="ar"/>
              </w:rPr>
              <w:t>、</w:t>
            </w:r>
            <w:r>
              <w:rPr>
                <w:rStyle w:val="27"/>
                <w:rFonts w:hint="eastAsia" w:ascii="阿里巴巴普惠体" w:hAnsi="阿里巴巴普惠体" w:eastAsia="阿里巴巴普惠体" w:cs="阿里巴巴普惠体"/>
                <w:color w:val="auto"/>
                <w:sz w:val="18"/>
                <w:szCs w:val="18"/>
                <w:highlight w:val="none"/>
                <w:lang w:val="en-US" w:eastAsia="zh-CN" w:bidi="ar"/>
              </w:rPr>
              <w:t>晶科、</w:t>
            </w:r>
            <w:r>
              <w:rPr>
                <w:rStyle w:val="27"/>
                <w:rFonts w:hint="eastAsia" w:ascii="阿里巴巴普惠体" w:hAnsi="阿里巴巴普惠体" w:eastAsia="阿里巴巴普惠体" w:cs="阿里巴巴普惠体"/>
                <w:color w:val="auto"/>
                <w:sz w:val="18"/>
                <w:szCs w:val="18"/>
                <w:highlight w:val="none"/>
                <w:lang w:bidi="ar"/>
              </w:rPr>
              <w:t>晶澳</w:t>
            </w:r>
            <w:r>
              <w:rPr>
                <w:rStyle w:val="27"/>
                <w:rFonts w:hint="eastAsia" w:ascii="阿里巴巴普惠体" w:hAnsi="阿里巴巴普惠体" w:eastAsia="阿里巴巴普惠体" w:cs="阿里巴巴普惠体"/>
                <w:color w:val="auto"/>
                <w:sz w:val="18"/>
                <w:szCs w:val="18"/>
                <w:highlight w:val="none"/>
                <w:lang w:eastAsia="zh-CN" w:bidi="ar"/>
              </w:rPr>
              <w:t>、</w:t>
            </w:r>
            <w:r>
              <w:rPr>
                <w:rStyle w:val="27"/>
                <w:rFonts w:hint="eastAsia" w:ascii="阿里巴巴普惠体" w:hAnsi="阿里巴巴普惠体" w:eastAsia="阿里巴巴普惠体" w:cs="阿里巴巴普惠体"/>
                <w:color w:val="auto"/>
                <w:sz w:val="18"/>
                <w:szCs w:val="18"/>
                <w:highlight w:val="none"/>
                <w:lang w:val="en-US" w:eastAsia="zh-CN" w:bidi="ar"/>
              </w:rPr>
              <w:t>一道、协鑫、亿晶或同等品牌组件</w:t>
            </w:r>
          </w:p>
        </w:tc>
        <w:tc>
          <w:tcPr>
            <w:tcW w:w="1480"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textAlignment w:val="center"/>
              <w:rPr>
                <w:rFonts w:hint="default" w:ascii="阿里巴巴普惠体" w:hAnsi="阿里巴巴普惠体" w:eastAsia="阿里巴巴普惠体" w:cs="阿里巴巴普惠体"/>
                <w:i w:val="0"/>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0" w:hRule="atLeast"/>
        </w:trPr>
        <w:tc>
          <w:tcPr>
            <w:tcW w:w="43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default" w:ascii="阿里巴巴普惠体" w:hAnsi="阿里巴巴普惠体" w:eastAsia="阿里巴巴普惠体" w:cs="阿里巴巴普惠体"/>
                <w:color w:val="000000"/>
                <w:sz w:val="18"/>
                <w:szCs w:val="18"/>
              </w:rPr>
            </w:pPr>
            <w:r>
              <w:rPr>
                <w:rFonts w:hint="eastAsia" w:ascii="阿里巴巴普惠体" w:hAnsi="阿里巴巴普惠体" w:eastAsia="阿里巴巴普惠体" w:cs="阿里巴巴普惠体"/>
                <w:color w:val="000000"/>
                <w:kern w:val="0"/>
                <w:sz w:val="18"/>
                <w:szCs w:val="18"/>
                <w:highlight w:val="none"/>
                <w:lang w:val="en-US" w:eastAsia="zh-CN" w:bidi="ar"/>
              </w:rPr>
              <w:t>2</w:t>
            </w:r>
          </w:p>
        </w:tc>
        <w:tc>
          <w:tcPr>
            <w:tcW w:w="1556"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default" w:ascii="阿里巴巴普惠体" w:hAnsi="阿里巴巴普惠体" w:eastAsia="阿里巴巴普惠体" w:cs="阿里巴巴普惠体"/>
                <w:color w:val="000000"/>
                <w:sz w:val="18"/>
                <w:szCs w:val="18"/>
              </w:rPr>
            </w:pPr>
            <w:r>
              <w:rPr>
                <w:rFonts w:hint="eastAsia" w:ascii="阿里巴巴普惠体" w:hAnsi="阿里巴巴普惠体" w:eastAsia="阿里巴巴普惠体" w:cs="阿里巴巴普惠体"/>
                <w:color w:val="000000"/>
                <w:kern w:val="0"/>
                <w:sz w:val="18"/>
                <w:szCs w:val="18"/>
                <w:highlight w:val="none"/>
                <w:lang w:bidi="ar"/>
              </w:rPr>
              <w:t>并网逆变器</w:t>
            </w:r>
          </w:p>
        </w:tc>
        <w:tc>
          <w:tcPr>
            <w:tcW w:w="4962"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widowControl/>
              <w:jc w:val="center"/>
              <w:textAlignment w:val="center"/>
              <w:rPr>
                <w:rFonts w:hint="default" w:ascii="阿里巴巴普惠体" w:hAnsi="阿里巴巴普惠体" w:eastAsia="阿里巴巴普惠体" w:cs="阿里巴巴普惠体"/>
                <w:color w:val="auto"/>
                <w:sz w:val="18"/>
                <w:szCs w:val="18"/>
              </w:rPr>
            </w:pPr>
            <w:r>
              <w:rPr>
                <w:rFonts w:hint="eastAsia" w:ascii="宋体" w:hAnsi="宋体" w:eastAsia="宋体"/>
                <w:color w:val="auto"/>
                <w:kern w:val="0"/>
                <w:sz w:val="20"/>
                <w:szCs w:val="20"/>
              </w:rPr>
              <w:t>逆变器：华为、阳光、特变电工</w:t>
            </w:r>
            <w:r>
              <w:rPr>
                <w:rFonts w:hint="eastAsia" w:ascii="宋体" w:hAnsi="宋体" w:eastAsia="宋体"/>
                <w:color w:val="auto"/>
                <w:kern w:val="0"/>
                <w:sz w:val="20"/>
                <w:szCs w:val="20"/>
                <w:lang w:val="en-US" w:eastAsia="zh-CN"/>
              </w:rPr>
              <w:t>或同等品牌产品</w:t>
            </w:r>
          </w:p>
        </w:tc>
        <w:tc>
          <w:tcPr>
            <w:tcW w:w="1480"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textAlignment w:val="center"/>
              <w:rPr>
                <w:rFonts w:hint="default" w:ascii="阿里巴巴普惠体" w:hAnsi="阿里巴巴普惠体" w:eastAsia="阿里巴巴普惠体" w:cs="阿里巴巴普惠体"/>
                <w:i w:val="0"/>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0" w:hRule="atLeast"/>
        </w:trPr>
        <w:tc>
          <w:tcPr>
            <w:tcW w:w="43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sz w:val="18"/>
                <w:szCs w:val="18"/>
              </w:rPr>
            </w:pPr>
            <w:r>
              <w:rPr>
                <w:rFonts w:hint="default" w:ascii="阿里巴巴普惠体" w:hAnsi="阿里巴巴普惠体" w:eastAsia="阿里巴巴普惠体" w:cs="阿里巴巴普惠体"/>
                <w:color w:val="000000"/>
                <w:kern w:val="0"/>
                <w:sz w:val="18"/>
                <w:szCs w:val="18"/>
                <w:lang w:val="en-US" w:eastAsia="zh-CN" w:bidi="ar"/>
              </w:rPr>
              <w:t>4</w:t>
            </w:r>
          </w:p>
        </w:tc>
        <w:tc>
          <w:tcPr>
            <w:tcW w:w="1556"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sz w:val="18"/>
                <w:szCs w:val="18"/>
              </w:rPr>
            </w:pPr>
            <w:r>
              <w:rPr>
                <w:rFonts w:hint="default" w:ascii="阿里巴巴普惠体" w:hAnsi="阿里巴巴普惠体" w:eastAsia="阿里巴巴普惠体" w:cs="阿里巴巴普惠体"/>
                <w:color w:val="000000"/>
                <w:kern w:val="0"/>
                <w:sz w:val="18"/>
                <w:szCs w:val="18"/>
                <w:lang w:val="en-US" w:eastAsia="zh-CN" w:bidi="ar"/>
              </w:rPr>
              <w:t>计量装置</w:t>
            </w:r>
          </w:p>
        </w:tc>
        <w:tc>
          <w:tcPr>
            <w:tcW w:w="4962"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color w:val="000000"/>
                <w:sz w:val="18"/>
                <w:szCs w:val="18"/>
              </w:rPr>
            </w:pPr>
            <w:r>
              <w:rPr>
                <w:rFonts w:hint="eastAsia" w:ascii="宋体" w:hAnsi="宋体" w:eastAsia="宋体"/>
                <w:color w:val="000000"/>
                <w:kern w:val="0"/>
                <w:sz w:val="20"/>
                <w:szCs w:val="20"/>
              </w:rPr>
              <w:t>满足入网标准</w:t>
            </w:r>
            <w:r>
              <w:rPr>
                <w:rFonts w:hint="eastAsia" w:ascii="宋体" w:hAnsi="宋体" w:eastAsia="宋体"/>
                <w:color w:val="000000"/>
                <w:kern w:val="0"/>
                <w:sz w:val="20"/>
                <w:szCs w:val="20"/>
                <w:lang w:eastAsia="zh-CN"/>
              </w:rPr>
              <w:t>的</w:t>
            </w:r>
            <w:r>
              <w:rPr>
                <w:rFonts w:hint="eastAsia" w:ascii="阿里巴巴普惠体" w:hAnsi="阿里巴巴普惠体" w:eastAsia="宋体" w:cs="阿里巴巴普惠体"/>
                <w:color w:val="000000"/>
                <w:sz w:val="18"/>
                <w:szCs w:val="18"/>
                <w:lang w:val="en-US" w:eastAsia="zh-CN"/>
              </w:rPr>
              <w:t>品牌</w:t>
            </w:r>
          </w:p>
        </w:tc>
        <w:tc>
          <w:tcPr>
            <w:tcW w:w="1480" w:type="dxa"/>
            <w:tcBorders>
              <w:top w:val="single" w:color="000000" w:sz="4" w:space="0"/>
              <w:left w:val="nil"/>
              <w:bottom w:val="single" w:color="000000" w:sz="4" w:space="0"/>
              <w:right w:val="single" w:color="000000" w:sz="4" w:space="0"/>
            </w:tcBorders>
            <w:shd w:val="clear" w:color="auto" w:fill="auto"/>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textAlignment w:val="center"/>
              <w:rPr>
                <w:rFonts w:hint="default" w:ascii="阿里巴巴普惠体" w:hAnsi="阿里巴巴普惠体" w:eastAsia="阿里巴巴普惠体" w:cs="阿里巴巴普惠体"/>
                <w:i w:val="0"/>
                <w:color w:val="000000"/>
                <w:sz w:val="18"/>
                <w:szCs w:val="18"/>
              </w:rPr>
            </w:pPr>
          </w:p>
        </w:tc>
      </w:tr>
    </w:tbl>
    <w:p>
      <w:pPr>
        <w:pStyle w:val="13"/>
        <w:keepNext w:val="0"/>
        <w:keepLines w:val="0"/>
        <w:widowControl w:val="0"/>
        <w:suppressLineNumbers w:val="0"/>
        <w:spacing w:before="0" w:beforeAutospacing="1" w:after="0" w:afterAutospacing="1"/>
        <w:ind w:left="0" w:leftChars="0" w:right="210" w:rightChars="100" w:firstLine="0" w:firstLineChars="0"/>
        <w:jc w:val="left"/>
        <w:rPr>
          <w:rFonts w:hint="default" w:ascii="阿里巴巴普惠体" w:hAnsi="阿里巴巴普惠体" w:eastAsia="阿里巴巴普惠体" w:cs="阿里巴巴普惠体"/>
          <w:color w:val="000000"/>
          <w:kern w:val="2"/>
          <w:sz w:val="21"/>
          <w:szCs w:val="21"/>
        </w:rPr>
      </w:pPr>
      <w:r>
        <w:rPr>
          <w:rFonts w:hint="default" w:ascii="阿里巴巴普惠体" w:hAnsi="阿里巴巴普惠体" w:eastAsia="阿里巴巴普惠体" w:cs="阿里巴巴普惠体"/>
          <w:color w:val="000000"/>
          <w:kern w:val="2"/>
          <w:sz w:val="21"/>
          <w:szCs w:val="21"/>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color w:val="000000"/>
          <w:sz w:val="21"/>
          <w:szCs w:val="21"/>
        </w:rPr>
      </w:pPr>
      <w:r>
        <w:rPr>
          <w:rFonts w:hint="default" w:ascii="阿里巴巴普惠体" w:hAnsi="阿里巴巴普惠体" w:eastAsia="阿里巴巴普惠体" w:cs="阿里巴巴普惠体"/>
          <w:color w:val="000000"/>
          <w:kern w:val="0"/>
          <w:sz w:val="21"/>
          <w:szCs w:val="21"/>
          <w:lang w:val="en-US" w:eastAsia="zh-CN" w:bidi="ar"/>
        </w:rPr>
        <w:br w:type="page"/>
      </w:r>
    </w:p>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color w:val="000000"/>
          <w:sz w:val="21"/>
          <w:szCs w:val="21"/>
        </w:rPr>
      </w:pPr>
      <w:r>
        <w:rPr>
          <w:rFonts w:hint="default" w:ascii="阿里巴巴普惠体 Light" w:hAnsi="阿里巴巴普惠体 Light" w:eastAsia="阿里巴巴普惠体 Light" w:cs="阿里巴巴普惠体 Light"/>
          <w:color w:val="000000"/>
          <w:kern w:val="0"/>
          <w:sz w:val="21"/>
          <w:szCs w:val="21"/>
          <w:lang w:val="en-US" w:eastAsia="zh-CN" w:bidi="ar"/>
        </w:rPr>
        <w:t xml:space="preserve">附件二 </w:t>
      </w:r>
      <w:r>
        <w:rPr>
          <w:rFonts w:hint="default" w:ascii="阿里巴巴普惠体" w:hAnsi="阿里巴巴普惠体" w:eastAsia="阿里巴巴普惠体" w:cs="阿里巴巴普惠体"/>
          <w:color w:val="000000"/>
          <w:kern w:val="0"/>
          <w:sz w:val="21"/>
          <w:szCs w:val="21"/>
          <w:lang w:val="en-US" w:eastAsia="zh-CN" w:bidi="ar"/>
        </w:rPr>
        <w:t>主要技术参数响应表</w:t>
      </w:r>
    </w:p>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color w:val="000000"/>
          <w:sz w:val="21"/>
          <w:szCs w:val="21"/>
        </w:rPr>
      </w:pPr>
      <w:r>
        <w:rPr>
          <w:rFonts w:hint="default" w:ascii="阿里巴巴普惠体" w:hAnsi="阿里巴巴普惠体" w:eastAsia="阿里巴巴普惠体" w:cs="阿里巴巴普惠体"/>
          <w:color w:val="000000"/>
          <w:kern w:val="0"/>
          <w:sz w:val="21"/>
          <w:szCs w:val="21"/>
          <w:lang w:val="en-US" w:eastAsia="zh-CN" w:bidi="ar"/>
        </w:rPr>
        <w:t xml:space="preserve"> </w:t>
      </w:r>
    </w:p>
    <w:tbl>
      <w:tblPr>
        <w:tblStyle w:val="16"/>
        <w:tblW w:w="831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79"/>
        <w:gridCol w:w="1601"/>
        <w:gridCol w:w="3011"/>
        <w:gridCol w:w="1256"/>
        <w:gridCol w:w="17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b w:val="0"/>
                <w:bCs/>
                <w:color w:val="000000"/>
                <w:sz w:val="18"/>
                <w:szCs w:val="18"/>
              </w:rPr>
            </w:pPr>
            <w:r>
              <w:rPr>
                <w:rFonts w:hint="default" w:ascii="阿里巴巴普惠体" w:hAnsi="阿里巴巴普惠体" w:eastAsia="阿里巴巴普惠体" w:cs="阿里巴巴普惠体"/>
                <w:b w:val="0"/>
                <w:bCs/>
                <w:color w:val="000000"/>
                <w:kern w:val="0"/>
                <w:sz w:val="18"/>
                <w:szCs w:val="18"/>
                <w:lang w:val="en-US" w:eastAsia="zh-CN" w:bidi="ar"/>
              </w:rPr>
              <w:t>序号</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b w:val="0"/>
                <w:bCs/>
                <w:color w:val="000000"/>
                <w:sz w:val="18"/>
                <w:szCs w:val="18"/>
              </w:rPr>
            </w:pPr>
            <w:r>
              <w:rPr>
                <w:rFonts w:hint="default" w:ascii="阿里巴巴普惠体" w:hAnsi="阿里巴巴普惠体" w:eastAsia="阿里巴巴普惠体" w:cs="阿里巴巴普惠体"/>
                <w:b w:val="0"/>
                <w:bCs/>
                <w:color w:val="000000"/>
                <w:kern w:val="0"/>
                <w:sz w:val="18"/>
                <w:szCs w:val="18"/>
                <w:lang w:val="en-US" w:eastAsia="zh-CN" w:bidi="ar"/>
              </w:rPr>
              <w:t>主要技术参数</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b w:val="0"/>
                <w:bCs/>
                <w:color w:val="000000"/>
                <w:sz w:val="18"/>
                <w:szCs w:val="18"/>
              </w:rPr>
            </w:pPr>
            <w:r>
              <w:rPr>
                <w:rFonts w:hint="default" w:ascii="阿里巴巴普惠体" w:hAnsi="阿里巴巴普惠体" w:eastAsia="阿里巴巴普惠体" w:cs="阿里巴巴普惠体"/>
                <w:b w:val="0"/>
                <w:bCs/>
                <w:color w:val="000000"/>
                <w:kern w:val="0"/>
                <w:sz w:val="18"/>
                <w:szCs w:val="18"/>
                <w:lang w:val="en-US" w:eastAsia="zh-CN" w:bidi="ar"/>
              </w:rPr>
              <w:t>要求</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b w:val="0"/>
                <w:bCs/>
                <w:color w:val="000000"/>
                <w:kern w:val="0"/>
                <w:sz w:val="18"/>
                <w:szCs w:val="18"/>
              </w:rPr>
            </w:pPr>
            <w:r>
              <w:rPr>
                <w:rFonts w:hint="default" w:ascii="阿里巴巴普惠体" w:hAnsi="阿里巴巴普惠体" w:eastAsia="阿里巴巴普惠体" w:cs="阿里巴巴普惠体"/>
                <w:b w:val="0"/>
                <w:bCs/>
                <w:color w:val="000000"/>
                <w:kern w:val="0"/>
                <w:sz w:val="18"/>
                <w:szCs w:val="18"/>
                <w:lang w:val="en-US" w:eastAsia="zh-CN" w:bidi="ar"/>
              </w:rPr>
              <w:t>是否响应</w:t>
            </w: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阿里巴巴普惠体" w:hAnsi="阿里巴巴普惠体" w:eastAsia="阿里巴巴普惠体" w:cs="阿里巴巴普惠体"/>
                <w:b w:val="0"/>
                <w:bCs/>
                <w:color w:val="000000"/>
                <w:sz w:val="18"/>
                <w:szCs w:val="18"/>
              </w:rPr>
            </w:pPr>
            <w:r>
              <w:rPr>
                <w:rFonts w:hint="eastAsia" w:ascii="阿里巴巴普惠体" w:hAnsi="阿里巴巴普惠体" w:eastAsia="阿里巴巴普惠体" w:cs="阿里巴巴普惠体"/>
                <w:b w:val="0"/>
                <w:bCs/>
                <w:color w:val="000000"/>
                <w:kern w:val="0"/>
                <w:sz w:val="18"/>
                <w:szCs w:val="18"/>
                <w:lang w:val="en-US" w:eastAsia="zh-CN" w:bidi="ar"/>
              </w:rPr>
              <w:t>投标人</w:t>
            </w:r>
            <w:r>
              <w:rPr>
                <w:rFonts w:hint="default" w:ascii="阿里巴巴普惠体" w:hAnsi="阿里巴巴普惠体" w:eastAsia="阿里巴巴普惠体" w:cs="阿里巴巴普惠体"/>
                <w:b w:val="0"/>
                <w:bCs/>
                <w:color w:val="000000"/>
                <w:kern w:val="0"/>
                <w:sz w:val="18"/>
                <w:szCs w:val="18"/>
                <w:lang w:val="en-US" w:eastAsia="zh-CN" w:bidi="ar"/>
              </w:rPr>
              <w:t>响应技术参数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阿里巴巴普惠体" w:hAnsi="阿里巴巴普惠体" w:eastAsia="宋体" w:cs="阿里巴巴普惠体"/>
                <w:b w:val="0"/>
                <w:bCs/>
                <w:color w:val="000000"/>
                <w:sz w:val="18"/>
                <w:szCs w:val="18"/>
              </w:rPr>
            </w:pPr>
            <w:r>
              <w:rPr>
                <w:rFonts w:hint="eastAsia" w:ascii="宋体" w:hAnsi="宋体" w:eastAsia="宋体" w:cs="宋体"/>
                <w:color w:val="000000"/>
                <w:kern w:val="0"/>
                <w:sz w:val="20"/>
                <w:szCs w:val="20"/>
                <w:lang w:val="en-US" w:eastAsia="zh-CN" w:bidi="ar"/>
              </w:rPr>
              <w:t>1</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default" w:ascii="阿里巴巴普惠体" w:hAnsi="阿里巴巴普惠体" w:eastAsia="阿里巴巴普惠体" w:cs="阿里巴巴普惠体"/>
                <w:b w:val="0"/>
                <w:bCs/>
                <w:color w:val="000000"/>
                <w:sz w:val="18"/>
                <w:szCs w:val="18"/>
              </w:rPr>
            </w:pPr>
            <w:r>
              <w:rPr>
                <w:rFonts w:hint="eastAsia" w:ascii="宋体" w:hAnsi="宋体" w:eastAsia="宋体" w:cs="宋体"/>
                <w:color w:val="000000"/>
                <w:kern w:val="0"/>
                <w:sz w:val="20"/>
                <w:szCs w:val="20"/>
                <w:lang w:val="en-US" w:eastAsia="zh-CN" w:bidi="ar"/>
              </w:rPr>
              <w:t>光伏装机量</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阿里巴巴普惠体" w:hAnsi="阿里巴巴普惠体" w:eastAsia="阿里巴巴普惠体" w:cs="阿里巴巴普惠体"/>
                <w:b w:val="0"/>
                <w:bCs/>
                <w:color w:val="000000"/>
                <w:sz w:val="18"/>
                <w:szCs w:val="18"/>
              </w:rPr>
            </w:pPr>
            <w:r>
              <w:rPr>
                <w:rFonts w:hint="eastAsia" w:ascii="宋体" w:hAnsi="宋体" w:eastAsia="宋体" w:cs="宋体"/>
                <w:color w:val="000000"/>
                <w:kern w:val="0"/>
                <w:sz w:val="20"/>
                <w:szCs w:val="20"/>
                <w:lang w:val="en-US" w:eastAsia="zh-CN" w:bidi="ar"/>
              </w:rPr>
              <w:t>光伏装机容量≥</w:t>
            </w:r>
            <w:r>
              <w:rPr>
                <w:rFonts w:hint="eastAsia" w:ascii="宋体" w:hAnsi="宋体" w:cs="宋体"/>
                <w:color w:val="000000"/>
                <w:kern w:val="0"/>
                <w:sz w:val="20"/>
                <w:szCs w:val="20"/>
                <w:lang w:val="en-US" w:eastAsia="zh-CN" w:bidi="ar"/>
              </w:rPr>
              <w:t>580</w:t>
            </w:r>
            <w:r>
              <w:rPr>
                <w:rFonts w:hint="eastAsia" w:ascii="宋体" w:hAnsi="宋体" w:eastAsia="宋体" w:cs="宋体"/>
                <w:color w:val="000000"/>
                <w:kern w:val="0"/>
                <w:sz w:val="20"/>
                <w:szCs w:val="20"/>
                <w:lang w:val="en-US" w:eastAsia="zh-CN" w:bidi="ar"/>
              </w:rPr>
              <w:t>KWP</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阿里巴巴普惠体" w:hAnsi="阿里巴巴普惠体" w:eastAsia="宋体" w:cs="阿里巴巴普惠体"/>
                <w:b w:val="0"/>
                <w:bCs/>
                <w:color w:val="000000"/>
                <w:sz w:val="18"/>
                <w:szCs w:val="18"/>
              </w:rPr>
            </w:pPr>
            <w:r>
              <w:rPr>
                <w:rFonts w:hint="eastAsia" w:ascii="宋体" w:hAnsi="宋体" w:eastAsia="宋体" w:cs="宋体"/>
                <w:color w:val="000000"/>
                <w:kern w:val="0"/>
                <w:sz w:val="20"/>
                <w:szCs w:val="20"/>
                <w:lang w:val="en-US" w:eastAsia="zh-CN" w:bidi="ar"/>
              </w:rPr>
              <w:t>2</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default" w:ascii="阿里巴巴普惠体" w:hAnsi="阿里巴巴普惠体" w:eastAsia="阿里巴巴普惠体" w:cs="阿里巴巴普惠体"/>
                <w:b w:val="0"/>
                <w:bCs/>
                <w:color w:val="000000"/>
                <w:sz w:val="18"/>
                <w:szCs w:val="18"/>
              </w:rPr>
            </w:pPr>
            <w:r>
              <w:rPr>
                <w:rFonts w:hint="eastAsia" w:ascii="宋体" w:hAnsi="宋体" w:eastAsia="宋体" w:cs="宋体"/>
                <w:color w:val="000000"/>
                <w:kern w:val="0"/>
                <w:sz w:val="20"/>
                <w:szCs w:val="20"/>
                <w:lang w:val="en-US" w:eastAsia="zh-CN" w:bidi="ar"/>
              </w:rPr>
              <w:t>发电量</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阿里巴巴普惠体" w:hAnsi="阿里巴巴普惠体" w:eastAsia="阿里巴巴普惠体" w:cs="阿里巴巴普惠体"/>
                <w:b w:val="0"/>
                <w:bCs/>
                <w:color w:val="000000"/>
                <w:sz w:val="18"/>
                <w:szCs w:val="18"/>
              </w:rPr>
            </w:pPr>
            <w:r>
              <w:rPr>
                <w:rFonts w:hint="eastAsia" w:ascii="宋体" w:hAnsi="宋体" w:eastAsia="宋体" w:cs="宋体"/>
                <w:color w:val="000000"/>
                <w:kern w:val="0"/>
                <w:sz w:val="20"/>
                <w:szCs w:val="20"/>
                <w:lang w:val="en-US" w:eastAsia="zh-CN" w:bidi="ar"/>
              </w:rPr>
              <w:t>年平均发电量≥55万KWH</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阿里巴巴普惠体" w:hAnsi="阿里巴巴普惠体" w:eastAsia="宋体" w:cs="阿里巴巴普惠体"/>
                <w:b w:val="0"/>
                <w:bCs/>
                <w:color w:val="000000"/>
                <w:sz w:val="18"/>
                <w:szCs w:val="18"/>
                <w:highlight w:val="none"/>
              </w:rPr>
            </w:pPr>
            <w:r>
              <w:rPr>
                <w:rFonts w:hint="eastAsia" w:ascii="宋体" w:hAnsi="宋体" w:eastAsia="宋体" w:cs="宋体"/>
                <w:color w:val="000000"/>
                <w:kern w:val="0"/>
                <w:sz w:val="20"/>
                <w:szCs w:val="20"/>
                <w:highlight w:val="none"/>
                <w:lang w:val="en-US" w:eastAsia="zh-CN" w:bidi="ar"/>
              </w:rPr>
              <w:t>3</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default" w:ascii="阿里巴巴普惠体" w:hAnsi="阿里巴巴普惠体" w:eastAsia="阿里巴巴普惠体" w:cs="阿里巴巴普惠体"/>
                <w:b w:val="0"/>
                <w:bCs/>
                <w:color w:val="000000"/>
                <w:sz w:val="18"/>
                <w:szCs w:val="18"/>
                <w:highlight w:val="none"/>
              </w:rPr>
            </w:pPr>
            <w:r>
              <w:rPr>
                <w:rFonts w:hint="eastAsia" w:ascii="宋体" w:hAnsi="宋体" w:eastAsia="宋体" w:cs="宋体"/>
                <w:color w:val="000000"/>
                <w:kern w:val="0"/>
                <w:sz w:val="20"/>
                <w:szCs w:val="20"/>
                <w:highlight w:val="none"/>
                <w:lang w:val="en-US" w:eastAsia="zh-CN" w:bidi="ar"/>
              </w:rPr>
              <w:t>组件效率</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阿里巴巴普惠体" w:hAnsi="阿里巴巴普惠体" w:eastAsia="阿里巴巴普惠体" w:cs="阿里巴巴普惠体"/>
                <w:b w:val="0"/>
                <w:bCs/>
                <w:color w:val="000000"/>
                <w:sz w:val="18"/>
                <w:szCs w:val="18"/>
                <w:highlight w:val="none"/>
              </w:rPr>
            </w:pPr>
            <w:r>
              <w:rPr>
                <w:rFonts w:hint="eastAsia" w:ascii="宋体" w:hAnsi="宋体" w:eastAsia="宋体" w:cs="宋体"/>
                <w:color w:val="000000"/>
                <w:kern w:val="0"/>
                <w:sz w:val="20"/>
                <w:szCs w:val="20"/>
                <w:highlight w:val="none"/>
                <w:lang w:val="en-US" w:eastAsia="zh-CN" w:bidi="ar"/>
              </w:rPr>
              <w:t>组件效率≥</w:t>
            </w:r>
            <w:r>
              <w:rPr>
                <w:rFonts w:hint="default" w:ascii="Times New Roman" w:hAnsi="Times New Roman" w:eastAsia="宋体" w:cs="Times New Roman"/>
                <w:color w:val="000000"/>
                <w:kern w:val="0"/>
                <w:sz w:val="20"/>
                <w:szCs w:val="20"/>
                <w:highlight w:val="none"/>
                <w:lang w:val="en-US" w:eastAsia="zh-CN" w:bidi="ar"/>
              </w:rPr>
              <w:t>21%</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vMerge w:val="restart"/>
            <w:tcBorders>
              <w:top w:val="nil"/>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阿里巴巴普惠体" w:hAnsi="阿里巴巴普惠体" w:eastAsia="宋体" w:cs="阿里巴巴普惠体"/>
                <w:b w:val="0"/>
                <w:bCs/>
                <w:color w:val="000000"/>
                <w:sz w:val="18"/>
                <w:szCs w:val="18"/>
                <w:highlight w:val="none"/>
              </w:rPr>
            </w:pPr>
            <w:r>
              <w:rPr>
                <w:rFonts w:hint="eastAsia" w:ascii="宋体" w:hAnsi="宋体" w:eastAsia="宋体" w:cs="宋体"/>
                <w:color w:val="000000"/>
                <w:kern w:val="0"/>
                <w:sz w:val="20"/>
                <w:szCs w:val="20"/>
                <w:highlight w:val="none"/>
                <w:lang w:val="en-US" w:eastAsia="zh-CN" w:bidi="ar"/>
              </w:rPr>
              <w:t>4</w:t>
            </w:r>
          </w:p>
        </w:tc>
        <w:tc>
          <w:tcPr>
            <w:tcW w:w="1601" w:type="dxa"/>
            <w:vMerge w:val="restart"/>
            <w:tcBorders>
              <w:top w:val="nil"/>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default" w:ascii="阿里巴巴普惠体" w:hAnsi="阿里巴巴普惠体" w:eastAsia="阿里巴巴普惠体" w:cs="阿里巴巴普惠体"/>
                <w:b w:val="0"/>
                <w:bCs/>
                <w:color w:val="000000"/>
                <w:sz w:val="18"/>
                <w:szCs w:val="18"/>
                <w:highlight w:val="none"/>
              </w:rPr>
            </w:pPr>
            <w:r>
              <w:rPr>
                <w:rFonts w:hint="eastAsia" w:ascii="宋体" w:hAnsi="宋体" w:eastAsia="宋体" w:cs="宋体"/>
                <w:color w:val="000000"/>
                <w:kern w:val="0"/>
                <w:sz w:val="20"/>
                <w:szCs w:val="20"/>
                <w:highlight w:val="none"/>
                <w:lang w:val="en-US" w:eastAsia="zh-CN" w:bidi="ar"/>
              </w:rPr>
              <w:t>衰减率</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宋体" w:hAnsi="宋体" w:eastAsia="宋体" w:cs="宋体"/>
                <w:color w:val="000000"/>
                <w:kern w:val="0"/>
                <w:sz w:val="20"/>
                <w:szCs w:val="20"/>
                <w:lang w:val="en-US" w:eastAsia="zh-CN" w:bidi="ar"/>
              </w:rPr>
            </w:pPr>
            <w:r>
              <w:rPr>
                <w:rFonts w:hint="default" w:ascii="宋体" w:hAnsi="宋体" w:eastAsia="宋体" w:cs="宋体"/>
                <w:color w:val="000000"/>
                <w:kern w:val="0"/>
                <w:sz w:val="20"/>
                <w:szCs w:val="20"/>
                <w:lang w:val="en-US" w:eastAsia="zh-CN" w:bidi="ar"/>
              </w:rPr>
              <w:t>投标方必须提供25年总衰减率不超过15.9%</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4" w:hRule="atLeast"/>
        </w:trPr>
        <w:tc>
          <w:tcPr>
            <w:tcW w:w="679" w:type="dxa"/>
            <w:vMerge w:val="continue"/>
            <w:tcBorders>
              <w:top w:val="nil"/>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rPr>
                <w:rFonts w:hint="default" w:ascii="Times New Roman" w:hAnsi="Times New Roman" w:cs="Times New Roman"/>
                <w:sz w:val="20"/>
                <w:szCs w:val="20"/>
                <w:highlight w:val="none"/>
              </w:rPr>
            </w:pPr>
          </w:p>
        </w:tc>
        <w:tc>
          <w:tcPr>
            <w:tcW w:w="1601" w:type="dxa"/>
            <w:vMerge w:val="continue"/>
            <w:tcBorders>
              <w:top w:val="nil"/>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rPr>
                <w:rFonts w:hint="default" w:ascii="Times New Roman" w:hAnsi="Times New Roman" w:cs="Times New Roman"/>
                <w:sz w:val="20"/>
                <w:szCs w:val="20"/>
                <w:highlight w:val="none"/>
              </w:rPr>
            </w:pP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首年功率衰减</w:t>
            </w:r>
            <w:r>
              <w:rPr>
                <w:rFonts w:hint="default" w:ascii="宋体" w:hAnsi="宋体" w:eastAsia="宋体" w:cs="宋体"/>
                <w:color w:val="000000"/>
                <w:kern w:val="0"/>
                <w:sz w:val="20"/>
                <w:szCs w:val="20"/>
                <w:lang w:val="en-US" w:eastAsia="zh-CN" w:bidi="ar"/>
              </w:rPr>
              <w:t>≤</w:t>
            </w:r>
            <w:r>
              <w:rPr>
                <w:rFonts w:hint="eastAsia" w:ascii="宋体" w:hAnsi="宋体" w:eastAsia="宋体" w:cs="宋体"/>
                <w:color w:val="000000"/>
                <w:kern w:val="0"/>
                <w:sz w:val="20"/>
                <w:szCs w:val="20"/>
                <w:lang w:val="en-US" w:eastAsia="zh-CN" w:bidi="ar"/>
              </w:rPr>
              <w:t>1.5</w:t>
            </w:r>
            <w:r>
              <w:rPr>
                <w:rFonts w:hint="default" w:ascii="宋体" w:hAnsi="宋体" w:eastAsia="宋体" w:cs="宋体"/>
                <w:color w:val="000000"/>
                <w:kern w:val="0"/>
                <w:sz w:val="20"/>
                <w:szCs w:val="20"/>
                <w:lang w:val="en-US" w:eastAsia="zh-CN" w:bidi="ar"/>
              </w:rPr>
              <w:t>%</w:t>
            </w:r>
            <w:r>
              <w:rPr>
                <w:rFonts w:hint="eastAsia" w:ascii="宋体" w:hAnsi="宋体" w:eastAsia="宋体" w:cs="宋体"/>
                <w:color w:val="000000"/>
                <w:kern w:val="0"/>
                <w:sz w:val="20"/>
                <w:szCs w:val="20"/>
                <w:lang w:val="en-US" w:eastAsia="zh-CN" w:bidi="ar"/>
              </w:rPr>
              <w:t>，</w:t>
            </w:r>
            <w:r>
              <w:rPr>
                <w:rFonts w:hint="default" w:ascii="宋体" w:hAnsi="宋体" w:eastAsia="宋体" w:cs="宋体"/>
                <w:color w:val="000000"/>
                <w:kern w:val="0"/>
                <w:sz w:val="20"/>
                <w:szCs w:val="20"/>
                <w:lang w:val="en-US" w:eastAsia="zh-CN" w:bidi="ar"/>
              </w:rPr>
              <w:t>第二年开始每年小于0.</w:t>
            </w:r>
            <w:r>
              <w:rPr>
                <w:rFonts w:hint="eastAsia" w:ascii="宋体" w:hAnsi="宋体" w:eastAsia="宋体" w:cs="宋体"/>
                <w:color w:val="000000"/>
                <w:kern w:val="0"/>
                <w:sz w:val="20"/>
                <w:szCs w:val="20"/>
                <w:lang w:val="en-US" w:eastAsia="zh-CN" w:bidi="ar"/>
              </w:rPr>
              <w:t>6</w:t>
            </w:r>
            <w:r>
              <w:rPr>
                <w:rFonts w:hint="default" w:ascii="宋体" w:hAnsi="宋体" w:eastAsia="宋体" w:cs="宋体"/>
                <w:color w:val="000000"/>
                <w:kern w:val="0"/>
                <w:sz w:val="20"/>
                <w:szCs w:val="20"/>
                <w:lang w:val="en-US" w:eastAsia="zh-CN" w:bidi="ar"/>
              </w:rPr>
              <w:t>%，第25年衰减率小于</w:t>
            </w:r>
            <w:r>
              <w:rPr>
                <w:rFonts w:hint="eastAsia" w:ascii="宋体" w:hAnsi="宋体" w:cs="宋体"/>
                <w:color w:val="000000"/>
                <w:kern w:val="0"/>
                <w:sz w:val="20"/>
                <w:szCs w:val="20"/>
                <w:lang w:val="en-US" w:eastAsia="zh-CN" w:bidi="ar"/>
              </w:rPr>
              <w:t>15.9</w:t>
            </w:r>
            <w:r>
              <w:rPr>
                <w:rFonts w:hint="default" w:ascii="宋体" w:hAnsi="宋体" w:eastAsia="宋体" w:cs="宋体"/>
                <w:color w:val="000000"/>
                <w:kern w:val="0"/>
                <w:sz w:val="20"/>
                <w:szCs w:val="20"/>
                <w:lang w:val="en-US" w:eastAsia="zh-CN" w:bidi="ar"/>
              </w:rPr>
              <w:t>%</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jc w:val="center"/>
              <w:rPr>
                <w:rFonts w:hint="eastAsia" w:ascii="阿里巴巴普惠体" w:hAnsi="阿里巴巴普惠体" w:eastAsia="宋体" w:cs="阿里巴巴普惠体"/>
                <w:b w:val="0"/>
                <w:bCs/>
                <w:color w:val="000000"/>
                <w:kern w:val="0"/>
                <w:sz w:val="18"/>
                <w:szCs w:val="18"/>
                <w:highlight w:val="none"/>
              </w:rPr>
            </w:pPr>
            <w:r>
              <w:rPr>
                <w:rFonts w:hint="eastAsia" w:cs="Times New Roman"/>
                <w:sz w:val="20"/>
                <w:szCs w:val="20"/>
                <w:highlight w:val="none"/>
                <w:lang w:val="en-US" w:eastAsia="zh-CN"/>
              </w:rPr>
              <w:t>5</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default" w:ascii="阿里巴巴普惠体" w:hAnsi="阿里巴巴普惠体" w:eastAsia="阿里巴巴普惠体" w:cs="阿里巴巴普惠体"/>
                <w:b w:val="0"/>
                <w:bCs/>
                <w:color w:val="000000"/>
                <w:kern w:val="0"/>
                <w:sz w:val="18"/>
                <w:szCs w:val="18"/>
                <w:highlight w:val="none"/>
              </w:rPr>
            </w:pPr>
            <w:r>
              <w:rPr>
                <w:rFonts w:hint="eastAsia" w:ascii="宋体" w:hAnsi="宋体" w:eastAsia="宋体" w:cs="宋体"/>
                <w:color w:val="000000"/>
                <w:kern w:val="0"/>
                <w:sz w:val="20"/>
                <w:szCs w:val="20"/>
                <w:lang w:val="en-US" w:eastAsia="zh-CN" w:bidi="ar"/>
              </w:rPr>
              <w:t>防雷与接地</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阿里巴巴普惠体" w:hAnsi="阿里巴巴普惠体" w:eastAsia="阿里巴巴普惠体" w:cs="阿里巴巴普惠体"/>
                <w:b w:val="0"/>
                <w:bCs/>
                <w:color w:val="000000"/>
                <w:kern w:val="0"/>
                <w:sz w:val="18"/>
                <w:szCs w:val="18"/>
                <w:highlight w:val="none"/>
              </w:rPr>
            </w:pPr>
            <w:r>
              <w:rPr>
                <w:rFonts w:hint="eastAsia" w:ascii="宋体" w:hAnsi="宋体" w:eastAsia="宋体" w:cs="宋体"/>
                <w:color w:val="000000"/>
                <w:kern w:val="0"/>
                <w:sz w:val="20"/>
                <w:szCs w:val="20"/>
                <w:lang w:val="en-US" w:eastAsia="zh-CN" w:bidi="ar"/>
              </w:rPr>
              <w:t>光伏系统防雷与接地等涉及建构筑物、系统防雷、防浪涌、用电安全等应符合的制作应符合国家相关规范及行业相关标准要求（有新标准以新标准为准）。</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jc w:val="center"/>
              <w:rPr>
                <w:rFonts w:hint="eastAsia" w:ascii="宋体" w:hAnsi="宋体" w:cs="宋体"/>
                <w:color w:val="000000"/>
                <w:kern w:val="0"/>
                <w:sz w:val="20"/>
                <w:szCs w:val="20"/>
                <w:highlight w:val="none"/>
                <w:lang w:val="en-US" w:eastAsia="zh-CN" w:bidi="ar"/>
              </w:rPr>
            </w:pPr>
            <w:r>
              <w:rPr>
                <w:rFonts w:hint="eastAsia" w:cs="Times New Roman"/>
                <w:sz w:val="20"/>
                <w:szCs w:val="20"/>
                <w:highlight w:val="none"/>
                <w:lang w:val="en-US" w:eastAsia="zh-CN"/>
              </w:rPr>
              <w:t>6</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0"/>
                <w:szCs w:val="20"/>
                <w:highlight w:val="none"/>
                <w:lang w:val="en-US" w:eastAsia="zh-CN" w:bidi="ar"/>
              </w:rPr>
            </w:pPr>
            <w:r>
              <w:rPr>
                <w:rFonts w:hint="eastAsia" w:ascii="宋体" w:hAnsi="宋体" w:eastAsia="宋体" w:cs="宋体"/>
                <w:color w:val="000000"/>
                <w:kern w:val="0"/>
                <w:sz w:val="20"/>
                <w:szCs w:val="20"/>
                <w:lang w:val="en-US" w:eastAsia="zh-CN" w:bidi="ar"/>
              </w:rPr>
              <w:t>并网与电气接入</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color w:val="000000"/>
                <w:kern w:val="0"/>
                <w:sz w:val="20"/>
                <w:szCs w:val="20"/>
                <w:lang w:val="en-US" w:eastAsia="zh-CN" w:bidi="ar"/>
              </w:rPr>
              <w:t>光伏系统并网与电气接入必须符合国家及业主所属区域供电网的规范，同时考虑已安装光伏状况，</w:t>
            </w:r>
            <w:r>
              <w:rPr>
                <w:rFonts w:hint="default" w:ascii="宋体" w:hAnsi="宋体" w:eastAsia="宋体" w:cs="宋体"/>
                <w:color w:val="000000"/>
                <w:kern w:val="0"/>
                <w:sz w:val="20"/>
                <w:szCs w:val="20"/>
                <w:lang w:val="en-US" w:eastAsia="zh-CN" w:bidi="ar"/>
              </w:rPr>
              <w:t>最终的接入方案</w:t>
            </w:r>
            <w:r>
              <w:rPr>
                <w:rFonts w:hint="eastAsia" w:ascii="宋体" w:hAnsi="宋体" w:eastAsia="宋体" w:cs="宋体"/>
                <w:color w:val="000000"/>
                <w:kern w:val="0"/>
                <w:sz w:val="20"/>
                <w:szCs w:val="20"/>
                <w:lang w:val="en-US" w:eastAsia="zh-CN" w:bidi="ar"/>
              </w:rPr>
              <w:t>由具备资质的电力设计院出具，</w:t>
            </w:r>
            <w:r>
              <w:rPr>
                <w:rFonts w:hint="default" w:ascii="宋体" w:hAnsi="宋体" w:eastAsia="宋体" w:cs="宋体"/>
                <w:color w:val="000000"/>
                <w:kern w:val="0"/>
                <w:sz w:val="20"/>
                <w:szCs w:val="20"/>
                <w:lang w:val="en-US" w:eastAsia="zh-CN" w:bidi="ar"/>
              </w:rPr>
              <w:t>以当地</w:t>
            </w:r>
            <w:r>
              <w:rPr>
                <w:rFonts w:hint="eastAsia" w:ascii="宋体" w:hAnsi="宋体" w:eastAsia="宋体" w:cs="宋体"/>
                <w:color w:val="000000"/>
                <w:kern w:val="0"/>
                <w:sz w:val="20"/>
                <w:szCs w:val="20"/>
                <w:lang w:val="en-US" w:eastAsia="zh-CN" w:bidi="ar"/>
              </w:rPr>
              <w:t>电网</w:t>
            </w:r>
            <w:r>
              <w:rPr>
                <w:rFonts w:hint="default" w:ascii="宋体" w:hAnsi="宋体" w:eastAsia="宋体" w:cs="宋体"/>
                <w:color w:val="000000"/>
                <w:kern w:val="0"/>
                <w:sz w:val="20"/>
                <w:szCs w:val="20"/>
                <w:lang w:val="en-US" w:eastAsia="zh-CN" w:bidi="ar"/>
              </w:rPr>
              <w:t>公司</w:t>
            </w:r>
            <w:r>
              <w:rPr>
                <w:rFonts w:hint="eastAsia" w:ascii="宋体" w:hAnsi="宋体" w:eastAsia="宋体" w:cs="宋体"/>
                <w:color w:val="000000"/>
                <w:kern w:val="0"/>
                <w:sz w:val="20"/>
                <w:szCs w:val="20"/>
                <w:lang w:val="en-US" w:eastAsia="zh-CN" w:bidi="ar"/>
              </w:rPr>
              <w:t>同意</w:t>
            </w:r>
            <w:r>
              <w:rPr>
                <w:rFonts w:hint="default" w:ascii="宋体" w:hAnsi="宋体" w:eastAsia="宋体" w:cs="宋体"/>
                <w:color w:val="000000"/>
                <w:kern w:val="0"/>
                <w:sz w:val="20"/>
                <w:szCs w:val="20"/>
                <w:lang w:val="en-US" w:eastAsia="zh-CN" w:bidi="ar"/>
              </w:rPr>
              <w:t>为准。</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8"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cs="宋体"/>
                <w:color w:val="000000"/>
                <w:kern w:val="0"/>
                <w:sz w:val="20"/>
                <w:szCs w:val="20"/>
                <w:highlight w:val="none"/>
                <w:lang w:val="en-US" w:eastAsia="zh-CN" w:bidi="ar"/>
              </w:rPr>
            </w:pPr>
            <w:r>
              <w:rPr>
                <w:rFonts w:hint="eastAsia" w:ascii="阿里巴巴普惠体" w:hAnsi="阿里巴巴普惠体" w:cs="阿里巴巴普惠体"/>
                <w:b w:val="0"/>
                <w:bCs/>
                <w:color w:val="000000"/>
                <w:kern w:val="0"/>
                <w:sz w:val="18"/>
                <w:szCs w:val="18"/>
                <w:highlight w:val="none"/>
                <w:lang w:val="en-US" w:eastAsia="zh-CN"/>
              </w:rPr>
              <w:t>7</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宋体"/>
                <w:color w:val="000000"/>
                <w:kern w:val="0"/>
                <w:sz w:val="20"/>
                <w:szCs w:val="20"/>
                <w:highlight w:val="none"/>
                <w:lang w:val="en-US" w:eastAsia="zh-CN" w:bidi="ar"/>
              </w:rPr>
            </w:pPr>
            <w:r>
              <w:rPr>
                <w:rFonts w:hint="eastAsia" w:ascii="宋体" w:hAnsi="宋体" w:eastAsia="宋体" w:cs="宋体"/>
                <w:color w:val="000000"/>
                <w:kern w:val="0"/>
                <w:sz w:val="20"/>
                <w:szCs w:val="20"/>
                <w:lang w:val="en-US" w:eastAsia="zh-CN" w:bidi="ar"/>
              </w:rPr>
              <w:t>监控平台</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eastAsia" w:ascii="宋体" w:hAnsi="宋体" w:eastAsia="宋体" w:cs="宋体"/>
                <w:kern w:val="0"/>
                <w:sz w:val="20"/>
                <w:szCs w:val="20"/>
                <w:highlight w:val="none"/>
                <w:lang w:val="en-US" w:eastAsia="zh-CN" w:bidi="ar"/>
              </w:rPr>
            </w:pPr>
            <w:r>
              <w:rPr>
                <w:rFonts w:hint="eastAsia" w:ascii="宋体" w:hAnsi="宋体" w:eastAsia="宋体" w:cs="宋体"/>
                <w:color w:val="000000"/>
                <w:kern w:val="0"/>
                <w:sz w:val="20"/>
                <w:szCs w:val="20"/>
                <w:lang w:val="en-US" w:eastAsia="zh-CN" w:bidi="ar"/>
              </w:rPr>
              <w:t>投标方需拥有光伏远程集中监控平台，中标后如业主有需要，允许业主或业主委托方接入。接入平台符合技术规范要求。</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15" w:hRule="atLeast"/>
        </w:trPr>
        <w:tc>
          <w:tcPr>
            <w:tcW w:w="679" w:type="dxa"/>
            <w:tcBorders>
              <w:top w:val="single" w:color="000000" w:sz="4" w:space="0"/>
              <w:left w:val="single" w:color="000000" w:sz="4" w:space="0"/>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eastAsia" w:ascii="阿里巴巴普惠体" w:hAnsi="阿里巴巴普惠体" w:eastAsia="宋体" w:cs="阿里巴巴普惠体"/>
                <w:b w:val="0"/>
                <w:bCs/>
                <w:color w:val="000000"/>
                <w:kern w:val="0"/>
                <w:sz w:val="18"/>
                <w:szCs w:val="18"/>
                <w:highlight w:val="none"/>
              </w:rPr>
            </w:pPr>
            <w:r>
              <w:rPr>
                <w:rFonts w:hint="eastAsia" w:ascii="宋体" w:hAnsi="宋体" w:cs="宋体"/>
                <w:color w:val="000000"/>
                <w:kern w:val="0"/>
                <w:sz w:val="20"/>
                <w:szCs w:val="20"/>
                <w:highlight w:val="none"/>
                <w:lang w:val="en-US" w:eastAsia="zh-CN" w:bidi="ar"/>
              </w:rPr>
              <w:t>8</w:t>
            </w:r>
          </w:p>
        </w:tc>
        <w:tc>
          <w:tcPr>
            <w:tcW w:w="160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center"/>
              <w:rPr>
                <w:rFonts w:hint="default" w:ascii="阿里巴巴普惠体" w:hAnsi="阿里巴巴普惠体" w:eastAsia="阿里巴巴普惠体" w:cs="阿里巴巴普惠体"/>
                <w:b w:val="0"/>
                <w:bCs/>
                <w:color w:val="000000"/>
                <w:kern w:val="0"/>
                <w:sz w:val="18"/>
                <w:szCs w:val="18"/>
                <w:highlight w:val="none"/>
              </w:rPr>
            </w:pPr>
            <w:r>
              <w:rPr>
                <w:rFonts w:hint="eastAsia" w:ascii="宋体" w:hAnsi="宋体" w:eastAsia="宋体" w:cs="宋体"/>
                <w:color w:val="000000"/>
                <w:kern w:val="0"/>
                <w:sz w:val="20"/>
                <w:szCs w:val="20"/>
                <w:highlight w:val="none"/>
                <w:lang w:val="en-US" w:eastAsia="zh-CN" w:bidi="ar"/>
              </w:rPr>
              <w:t>运营维护</w:t>
            </w:r>
          </w:p>
        </w:tc>
        <w:tc>
          <w:tcPr>
            <w:tcW w:w="3011"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leftChars="0" w:right="0" w:rightChars="0" w:firstLine="0" w:firstLineChars="0"/>
              <w:jc w:val="left"/>
              <w:rPr>
                <w:rFonts w:hint="default" w:ascii="阿里巴巴普惠体" w:hAnsi="阿里巴巴普惠体" w:eastAsia="阿里巴巴普惠体" w:cs="阿里巴巴普惠体"/>
                <w:b w:val="0"/>
                <w:bCs/>
                <w:color w:val="000000"/>
                <w:kern w:val="0"/>
                <w:sz w:val="15"/>
                <w:szCs w:val="15"/>
                <w:highlight w:val="none"/>
                <w:lang w:val="en-US"/>
              </w:rPr>
            </w:pPr>
            <w:r>
              <w:rPr>
                <w:rFonts w:hint="eastAsia" w:ascii="宋体" w:hAnsi="宋体" w:eastAsia="宋体" w:cs="宋体"/>
                <w:kern w:val="0"/>
                <w:sz w:val="20"/>
                <w:szCs w:val="20"/>
                <w:highlight w:val="none"/>
                <w:lang w:val="en-US" w:eastAsia="zh-CN" w:bidi="ar"/>
              </w:rPr>
              <w:t>中标方需派遣具有运维资质的操作和管理人员运维和操作</w:t>
            </w:r>
          </w:p>
        </w:tc>
        <w:tc>
          <w:tcPr>
            <w:tcW w:w="1256"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c>
          <w:tcPr>
            <w:tcW w:w="1770" w:type="dxa"/>
            <w:tcBorders>
              <w:top w:val="single" w:color="000000" w:sz="4" w:space="0"/>
              <w:left w:val="nil"/>
              <w:bottom w:val="single" w:color="000000" w:sz="4" w:space="0"/>
              <w:right w:val="single" w:color="000000" w:sz="4" w:space="0"/>
            </w:tcBorders>
            <w:shd w:val="clear" w:color="auto" w:fill="FFFFFF"/>
            <w:tcMar>
              <w:top w:w="10" w:type="dxa"/>
              <w:left w:w="10" w:type="dxa"/>
              <w:right w:w="10" w:type="dxa"/>
            </w:tcMar>
            <w:vAlign w:val="center"/>
          </w:tcPr>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b w:val="0"/>
                <w:bCs/>
                <w:color w:val="000000"/>
                <w:sz w:val="18"/>
                <w:szCs w:val="18"/>
                <w:highlight w:val="none"/>
              </w:rPr>
            </w:pPr>
          </w:p>
        </w:tc>
      </w:tr>
    </w:tbl>
    <w:p>
      <w:pPr>
        <w:keepNext w:val="0"/>
        <w:keepLines w:val="0"/>
        <w:widowControl/>
        <w:suppressLineNumbers w:val="0"/>
        <w:spacing w:before="0" w:beforeAutospacing="0" w:after="0" w:afterAutospacing="0"/>
        <w:ind w:left="0" w:right="0"/>
        <w:jc w:val="left"/>
        <w:rPr>
          <w:rFonts w:hint="default" w:ascii="阿里巴巴普惠体" w:hAnsi="阿里巴巴普惠体" w:eastAsia="阿里巴巴普惠体" w:cs="阿里巴巴普惠体"/>
          <w:color w:val="000000"/>
          <w:sz w:val="21"/>
          <w:szCs w:val="21"/>
          <w:highlight w:val="none"/>
        </w:rPr>
      </w:pPr>
      <w:r>
        <w:rPr>
          <w:rFonts w:hint="default" w:ascii="阿里巴巴普惠体" w:hAnsi="阿里巴巴普惠体" w:eastAsia="阿里巴巴普惠体" w:cs="阿里巴巴普惠体"/>
          <w:color w:val="000000"/>
          <w:kern w:val="0"/>
          <w:sz w:val="21"/>
          <w:szCs w:val="21"/>
          <w:highlight w:val="none"/>
          <w:lang w:val="en-US" w:eastAsia="zh-CN" w:bidi="ar"/>
        </w:rPr>
        <w:t>如不全部</w:t>
      </w:r>
      <w:r>
        <w:rPr>
          <w:rFonts w:hint="eastAsia" w:ascii="阿里巴巴普惠体" w:hAnsi="阿里巴巴普惠体" w:eastAsia="阿里巴巴普惠体" w:cs="阿里巴巴普惠体"/>
          <w:color w:val="000000"/>
          <w:kern w:val="0"/>
          <w:sz w:val="21"/>
          <w:szCs w:val="21"/>
          <w:highlight w:val="none"/>
          <w:lang w:val="en-US" w:eastAsia="zh-CN" w:bidi="ar"/>
        </w:rPr>
        <w:t>满足</w:t>
      </w:r>
      <w:r>
        <w:rPr>
          <w:rFonts w:hint="default" w:ascii="阿里巴巴普惠体" w:hAnsi="阿里巴巴普惠体" w:eastAsia="阿里巴巴普惠体" w:cs="阿里巴巴普惠体"/>
          <w:color w:val="000000"/>
          <w:kern w:val="0"/>
          <w:sz w:val="21"/>
          <w:szCs w:val="21"/>
          <w:highlight w:val="none"/>
          <w:lang w:val="en-US" w:eastAsia="zh-CN" w:bidi="ar"/>
        </w:rPr>
        <w:t>则判定为技术标不合格</w:t>
      </w:r>
    </w:p>
    <w:p>
      <w:pPr>
        <w:keepNext w:val="0"/>
        <w:keepLines w:val="0"/>
        <w:widowControl/>
        <w:suppressLineNumbers w:val="0"/>
        <w:spacing w:before="0" w:beforeAutospacing="0" w:after="0" w:afterAutospacing="0"/>
        <w:ind w:left="0" w:right="0"/>
        <w:jc w:val="left"/>
        <w:rPr>
          <w:rFonts w:hint="default" w:ascii="阿里巴巴普惠体 Light" w:hAnsi="阿里巴巴普惠体 Light" w:eastAsia="阿里巴巴普惠体 Light" w:cs="阿里巴巴普惠体 Light"/>
          <w:color w:val="000000"/>
          <w:sz w:val="21"/>
          <w:szCs w:val="21"/>
        </w:rPr>
      </w:pPr>
      <w:r>
        <w:rPr>
          <w:rFonts w:hint="default" w:ascii="阿里巴巴普惠体 Light" w:hAnsi="阿里巴巴普惠体 Light" w:eastAsia="阿里巴巴普惠体 Light" w:cs="阿里巴巴普惠体 Light"/>
          <w:color w:val="000000"/>
          <w:kern w:val="0"/>
          <w:sz w:val="21"/>
          <w:szCs w:val="21"/>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阿里巴巴普惠体 Light" w:hAnsi="阿里巴巴普惠体 Light" w:eastAsia="阿里巴巴普惠体 Light" w:cs="阿里巴巴普惠体 Light"/>
          <w:color w:val="000000"/>
          <w:sz w:val="21"/>
          <w:szCs w:val="21"/>
        </w:rPr>
      </w:pPr>
      <w:bookmarkStart w:id="6" w:name="_GoBack"/>
      <w:bookmarkEnd w:id="6"/>
      <w:r>
        <w:rPr>
          <w:rFonts w:hint="default" w:ascii="阿里巴巴普惠体 Light" w:hAnsi="阿里巴巴普惠体 Light" w:eastAsia="阿里巴巴普惠体 Light" w:cs="阿里巴巴普惠体 Light"/>
          <w:color w:val="000000"/>
          <w:kern w:val="0"/>
          <w:sz w:val="21"/>
          <w:szCs w:val="21"/>
          <w:lang w:val="en-US" w:eastAsia="zh-CN" w:bidi="ar"/>
        </w:rPr>
        <w:br w:type="page"/>
      </w:r>
    </w:p>
    <w:bookmarkEnd w:id="3"/>
    <w:bookmarkEnd w:id="4"/>
    <w:p>
      <w:pPr>
        <w:numPr>
          <w:ilvl w:val="0"/>
          <w:numId w:val="0"/>
        </w:numPr>
        <w:ind w:left="420" w:leftChars="0"/>
        <w:rPr>
          <w:rFonts w:hint="eastAsia" w:ascii="仿宋" w:hAnsi="仿宋" w:eastAsia="仿宋" w:cs="仿宋"/>
          <w:b/>
          <w:bCs/>
          <w:sz w:val="32"/>
          <w:szCs w:val="32"/>
          <w:lang w:eastAsia="zh-CN"/>
        </w:rPr>
      </w:pPr>
      <w:r>
        <w:rPr>
          <w:rFonts w:hint="eastAsia" w:ascii="仿宋" w:hAnsi="仿宋" w:eastAsia="仿宋" w:cs="仿宋"/>
          <w:b/>
          <w:bCs/>
          <w:sz w:val="32"/>
          <w:szCs w:val="32"/>
          <w:highlight w:val="none"/>
          <w:lang w:val="en-US" w:eastAsia="zh-CN"/>
        </w:rPr>
        <w:t>5.</w:t>
      </w:r>
      <w:bookmarkStart w:id="5" w:name="_Toc32383"/>
      <w:r>
        <w:rPr>
          <w:rFonts w:hint="eastAsia" w:ascii="仿宋" w:hAnsi="仿宋" w:eastAsia="仿宋" w:cs="仿宋"/>
          <w:b/>
          <w:bCs/>
          <w:sz w:val="32"/>
          <w:szCs w:val="32"/>
          <w:highlight w:val="none"/>
          <w:lang w:val="en-US" w:eastAsia="zh-CN"/>
        </w:rPr>
        <w:t>现场相关</w:t>
      </w:r>
      <w:r>
        <w:rPr>
          <w:rFonts w:hint="eastAsia" w:ascii="仿宋" w:hAnsi="仿宋" w:eastAsia="仿宋" w:cs="仿宋"/>
          <w:b/>
          <w:bCs/>
          <w:sz w:val="32"/>
          <w:szCs w:val="32"/>
        </w:rPr>
        <w:t>图纸</w:t>
      </w:r>
      <w:bookmarkEnd w:id="5"/>
      <w:r>
        <w:rPr>
          <w:rFonts w:hint="eastAsia" w:ascii="仿宋" w:hAnsi="仿宋" w:eastAsia="仿宋" w:cs="仿宋"/>
          <w:b/>
          <w:bCs/>
          <w:sz w:val="32"/>
          <w:szCs w:val="32"/>
          <w:lang w:eastAsia="zh-CN"/>
        </w:rPr>
        <w:t>、图片</w:t>
      </w:r>
    </w:p>
    <w:p>
      <w:pPr>
        <w:pStyle w:val="2"/>
        <w:jc w:val="left"/>
        <w:rPr>
          <w:rFonts w:ascii="宋体" w:hAnsi="宋体" w:eastAsia="宋体" w:cs="宋体"/>
          <w:sz w:val="24"/>
          <w:szCs w:val="24"/>
        </w:rPr>
      </w:pPr>
      <w:r>
        <w:rPr>
          <w:rFonts w:hint="eastAsia" w:ascii="宋体" w:hAnsi="宋体" w:cs="宋体"/>
          <w:sz w:val="24"/>
          <w:szCs w:val="24"/>
          <w:lang w:val="en-US" w:eastAsia="zh-CN"/>
        </w:rPr>
        <w:t>B库高跨屋面现状图</w:t>
      </w:r>
      <w:r>
        <w:rPr>
          <w:rFonts w:ascii="宋体" w:hAnsi="宋体" w:eastAsia="宋体" w:cs="宋体"/>
          <w:sz w:val="24"/>
          <w:szCs w:val="24"/>
        </w:rPr>
        <w:drawing>
          <wp:inline distT="0" distB="0" distL="114300" distR="114300">
            <wp:extent cx="5220335" cy="2959735"/>
            <wp:effectExtent l="0" t="0" r="18415" b="1206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220335" cy="2959735"/>
                    </a:xfrm>
                    <a:prstGeom prst="rect">
                      <a:avLst/>
                    </a:prstGeom>
                    <a:noFill/>
                    <a:ln w="9525">
                      <a:noFill/>
                    </a:ln>
                  </pic:spPr>
                </pic:pic>
              </a:graphicData>
            </a:graphic>
          </wp:inline>
        </w:drawing>
      </w:r>
    </w:p>
    <w:p>
      <w:pPr>
        <w:pStyle w:val="2"/>
        <w:jc w:val="left"/>
        <w:rPr>
          <w:rFonts w:ascii="宋体" w:hAnsi="宋体" w:eastAsia="宋体" w:cs="宋体"/>
          <w:sz w:val="24"/>
          <w:szCs w:val="24"/>
        </w:rPr>
      </w:pPr>
    </w:p>
    <w:p>
      <w:pPr>
        <w:pStyle w:val="2"/>
        <w:jc w:val="left"/>
        <w:rPr>
          <w:rFonts w:hint="eastAsia" w:ascii="宋体" w:hAnsi="宋体" w:eastAsia="宋体" w:cs="宋体"/>
          <w:sz w:val="24"/>
          <w:szCs w:val="24"/>
          <w:lang w:val="en-US" w:eastAsia="zh-CN"/>
        </w:rPr>
      </w:pPr>
    </w:p>
    <w:p>
      <w:pPr>
        <w:pStyle w:val="2"/>
        <w:ind w:left="0" w:leftChars="0" w:firstLine="0" w:firstLineChars="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B库低跨屋面现状图</w:t>
      </w:r>
    </w:p>
    <w:p>
      <w:pPr>
        <w:pStyle w:val="2"/>
        <w:ind w:left="0" w:leftChars="0" w:firstLine="0" w:firstLineChars="0"/>
        <w:rPr>
          <w:rFonts w:hint="eastAsia" w:ascii="宋体" w:hAnsi="宋体" w:eastAsia="宋体" w:cs="宋体"/>
          <w:kern w:val="2"/>
          <w:sz w:val="24"/>
          <w:szCs w:val="24"/>
          <w:lang w:val="en-US" w:eastAsia="zh-CN" w:bidi="ar-SA"/>
        </w:rPr>
      </w:pPr>
      <w:r>
        <w:rPr>
          <w:rFonts w:ascii="宋体" w:hAnsi="宋体" w:eastAsia="宋体" w:cs="宋体"/>
          <w:sz w:val="24"/>
          <w:szCs w:val="24"/>
        </w:rPr>
        <w:drawing>
          <wp:inline distT="0" distB="0" distL="114300" distR="114300">
            <wp:extent cx="4305300" cy="3228975"/>
            <wp:effectExtent l="0" t="0" r="0" b="952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5"/>
                    <a:stretch>
                      <a:fillRect/>
                    </a:stretch>
                  </pic:blipFill>
                  <pic:spPr>
                    <a:xfrm>
                      <a:off x="0" y="0"/>
                      <a:ext cx="4305300" cy="3228975"/>
                    </a:xfrm>
                    <a:prstGeom prst="rect">
                      <a:avLst/>
                    </a:prstGeom>
                    <a:noFill/>
                    <a:ln w="9525">
                      <a:noFill/>
                    </a:ln>
                  </pic:spPr>
                </pic:pic>
              </a:graphicData>
            </a:graphic>
          </wp:inline>
        </w:drawing>
      </w:r>
    </w:p>
    <w:p>
      <w:pPr>
        <w:pStyle w:val="2"/>
        <w:ind w:left="0" w:leftChars="0" w:firstLine="0" w:firstLineChars="0"/>
        <w:rPr>
          <w:rFonts w:hint="eastAsia" w:ascii="宋体" w:hAnsi="宋体" w:eastAsia="宋体" w:cs="宋体"/>
          <w:kern w:val="2"/>
          <w:sz w:val="24"/>
          <w:szCs w:val="24"/>
          <w:lang w:val="en-US" w:eastAsia="zh-CN" w:bidi="ar-SA"/>
        </w:rPr>
      </w:pPr>
    </w:p>
    <w:p>
      <w:pPr>
        <w:pStyle w:val="2"/>
        <w:ind w:left="0" w:leftChars="0" w:firstLine="0" w:firstLineChars="0"/>
        <w:rPr>
          <w:rFonts w:hint="eastAsia" w:ascii="宋体" w:hAnsi="宋体" w:eastAsia="宋体" w:cs="宋体"/>
          <w:kern w:val="2"/>
          <w:sz w:val="24"/>
          <w:szCs w:val="24"/>
          <w:lang w:val="en-US" w:eastAsia="zh-CN" w:bidi="ar-SA"/>
        </w:rPr>
      </w:pPr>
    </w:p>
    <w:p>
      <w:pPr>
        <w:pStyle w:val="2"/>
        <w:rPr>
          <w:rFonts w:hint="eastAsia" w:ascii="宋体" w:hAnsi="宋体" w:cs="宋体"/>
          <w:kern w:val="2"/>
          <w:sz w:val="24"/>
          <w:szCs w:val="24"/>
          <w:lang w:val="en-US" w:eastAsia="zh-CN" w:bidi="ar-SA"/>
        </w:rPr>
      </w:pPr>
    </w:p>
    <w:p>
      <w:pPr>
        <w:pStyle w:val="2"/>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A库屋面现状图</w:t>
      </w:r>
    </w:p>
    <w:p>
      <w:pPr>
        <w:pStyle w:val="2"/>
        <w:ind w:left="0" w:leftChars="0" w:firstLine="0" w:firstLineChars="0"/>
        <w:rPr>
          <w:rFonts w:hint="eastAsia" w:ascii="宋体" w:hAnsi="宋体" w:eastAsia="宋体" w:cs="宋体"/>
          <w:kern w:val="2"/>
          <w:sz w:val="24"/>
          <w:szCs w:val="24"/>
          <w:lang w:val="en-US" w:eastAsia="zh-CN" w:bidi="ar-SA"/>
        </w:rPr>
      </w:pPr>
    </w:p>
    <w:p>
      <w:pPr>
        <w:pStyle w:val="2"/>
        <w:ind w:left="0" w:leftChars="0" w:firstLine="0" w:firstLineChars="0"/>
        <w:rPr>
          <w:rFonts w:hint="eastAsia" w:ascii="宋体" w:hAnsi="宋体" w:eastAsia="宋体" w:cs="宋体"/>
          <w:kern w:val="2"/>
          <w:sz w:val="24"/>
          <w:szCs w:val="24"/>
          <w:lang w:val="en-US" w:eastAsia="zh-CN" w:bidi="ar-SA"/>
        </w:rPr>
      </w:pPr>
      <w:r>
        <w:rPr>
          <w:rFonts w:ascii="宋体" w:hAnsi="宋体" w:eastAsia="宋体" w:cs="宋体"/>
          <w:sz w:val="24"/>
          <w:szCs w:val="24"/>
        </w:rPr>
        <w:drawing>
          <wp:anchor distT="0" distB="0" distL="114300" distR="114300" simplePos="0" relativeHeight="251659264" behindDoc="0" locked="0" layoutInCell="1" allowOverlap="1">
            <wp:simplePos x="0" y="0"/>
            <wp:positionH relativeFrom="column">
              <wp:posOffset>-66675</wp:posOffset>
            </wp:positionH>
            <wp:positionV relativeFrom="paragraph">
              <wp:posOffset>140970</wp:posOffset>
            </wp:positionV>
            <wp:extent cx="6220460" cy="1893570"/>
            <wp:effectExtent l="0" t="0" r="8890" b="1143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6220460" cy="1893570"/>
                    </a:xfrm>
                    <a:prstGeom prst="rect">
                      <a:avLst/>
                    </a:prstGeom>
                    <a:noFill/>
                    <a:ln w="9525">
                      <a:noFill/>
                    </a:ln>
                  </pic:spPr>
                </pic:pic>
              </a:graphicData>
            </a:graphic>
          </wp:anchor>
        </w:drawing>
      </w:r>
    </w:p>
    <w:p>
      <w:pPr>
        <w:pStyle w:val="2"/>
        <w:ind w:left="0" w:leftChars="0" w:firstLine="0" w:firstLineChars="0"/>
        <w:rPr>
          <w:rFonts w:hint="eastAsia" w:ascii="宋体" w:hAnsi="宋体" w:eastAsia="宋体" w:cs="宋体"/>
          <w:kern w:val="2"/>
          <w:sz w:val="24"/>
          <w:szCs w:val="24"/>
          <w:lang w:val="en-US" w:eastAsia="zh-CN" w:bidi="ar-SA"/>
        </w:rPr>
      </w:pPr>
    </w:p>
    <w:p>
      <w:pPr>
        <w:pStyle w:val="2"/>
        <w:ind w:left="0" w:leftChars="0" w:firstLine="0" w:firstLineChars="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A库天面结构图</w:t>
      </w:r>
    </w:p>
    <w:p>
      <w:pPr>
        <w:pStyle w:val="2"/>
        <w:ind w:left="0" w:leftChars="0" w:firstLine="0" w:firstLineChars="0"/>
        <w:rPr>
          <w:rFonts w:hint="eastAsia" w:ascii="宋体" w:hAnsi="宋体" w:eastAsia="宋体" w:cs="宋体"/>
          <w:kern w:val="2"/>
          <w:sz w:val="24"/>
          <w:szCs w:val="24"/>
          <w:lang w:val="en-US" w:eastAsia="zh-CN" w:bidi="ar-SA"/>
        </w:rPr>
      </w:pPr>
    </w:p>
    <w:p>
      <w:pPr>
        <w:pStyle w:val="2"/>
        <w:ind w:left="0" w:leftChars="0" w:firstLine="0" w:firstLineChars="0"/>
        <w:rPr>
          <w:rFonts w:hint="eastAsia" w:ascii="宋体" w:hAnsi="宋体" w:eastAsia="宋体" w:cs="宋体"/>
          <w:kern w:val="2"/>
          <w:sz w:val="24"/>
          <w:szCs w:val="24"/>
          <w:lang w:val="en-US" w:eastAsia="zh-CN" w:bidi="ar-SA"/>
        </w:rPr>
      </w:pPr>
      <w:r>
        <w:rPr>
          <w:rFonts w:ascii="宋体" w:hAnsi="宋体" w:eastAsia="宋体" w:cs="宋体"/>
          <w:sz w:val="24"/>
          <w:szCs w:val="24"/>
        </w:rPr>
        <w:drawing>
          <wp:inline distT="0" distB="0" distL="114300" distR="114300">
            <wp:extent cx="5062855" cy="3797300"/>
            <wp:effectExtent l="0" t="0" r="4445" b="12700"/>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7"/>
                    <a:stretch>
                      <a:fillRect/>
                    </a:stretch>
                  </pic:blipFill>
                  <pic:spPr>
                    <a:xfrm>
                      <a:off x="0" y="0"/>
                      <a:ext cx="5062855" cy="3797300"/>
                    </a:xfrm>
                    <a:prstGeom prst="rect">
                      <a:avLst/>
                    </a:prstGeom>
                    <a:noFill/>
                    <a:ln w="9525">
                      <a:noFill/>
                    </a:ln>
                  </pic:spPr>
                </pic:pic>
              </a:graphicData>
            </a:graphic>
          </wp:inline>
        </w:drawing>
      </w:r>
    </w:p>
    <w:p>
      <w:pPr>
        <w:pStyle w:val="2"/>
        <w:ind w:left="0" w:leftChars="0" w:firstLine="0" w:firstLineChars="0"/>
        <w:rPr>
          <w:rFonts w:hint="eastAsia" w:ascii="宋体" w:hAnsi="宋体" w:eastAsia="宋体" w:cs="宋体"/>
          <w:kern w:val="2"/>
          <w:sz w:val="24"/>
          <w:szCs w:val="24"/>
          <w:lang w:val="en-US" w:eastAsia="zh-CN" w:bidi="ar-SA"/>
        </w:rPr>
      </w:pPr>
    </w:p>
    <w:p>
      <w:pPr>
        <w:pStyle w:val="2"/>
        <w:ind w:left="0" w:leftChars="0" w:firstLine="0" w:firstLineChars="0"/>
        <w:rPr>
          <w:rFonts w:hint="eastAsia" w:ascii="宋体" w:hAnsi="宋体" w:eastAsia="宋体" w:cs="宋体"/>
          <w:b/>
          <w:bCs/>
          <w:kern w:val="2"/>
          <w:sz w:val="24"/>
          <w:szCs w:val="24"/>
          <w:lang w:val="en-US" w:eastAsia="zh-CN" w:bidi="ar-SA"/>
        </w:rPr>
      </w:pPr>
    </w:p>
    <w:p>
      <w:pPr>
        <w:pStyle w:val="2"/>
        <w:ind w:left="0" w:leftChars="0" w:firstLine="0" w:firstLineChars="0"/>
        <w:rPr>
          <w:rFonts w:hint="eastAsia" w:ascii="宋体" w:hAnsi="宋体" w:eastAsia="宋体" w:cs="宋体"/>
          <w:b/>
          <w:bCs/>
          <w:kern w:val="2"/>
          <w:sz w:val="24"/>
          <w:szCs w:val="24"/>
          <w:lang w:val="en-US" w:eastAsia="zh-CN" w:bidi="ar-SA"/>
        </w:rPr>
      </w:pPr>
    </w:p>
    <w:p>
      <w:pPr>
        <w:pStyle w:val="2"/>
        <w:numPr>
          <w:ilvl w:val="0"/>
          <w:numId w:val="0"/>
        </w:numPr>
        <w:ind w:left="0" w:leftChars="0"/>
        <w:rPr>
          <w:rFonts w:hint="eastAsia" w:ascii="仿宋" w:hAnsi="仿宋" w:eastAsia="仿宋" w:cs="仿宋"/>
          <w:b/>
          <w:bCs/>
          <w:sz w:val="32"/>
          <w:szCs w:val="32"/>
          <w:lang w:val="en-US" w:eastAsia="zh-CN"/>
        </w:rPr>
      </w:pPr>
      <w:r>
        <w:rPr>
          <w:rFonts w:hint="eastAsia" w:ascii="宋体" w:hAnsi="宋体" w:eastAsia="宋体" w:cs="宋体"/>
          <w:b/>
          <w:bCs/>
          <w:kern w:val="2"/>
          <w:sz w:val="24"/>
          <w:szCs w:val="24"/>
          <w:lang w:val="en-US" w:eastAsia="zh-CN" w:bidi="ar-SA"/>
        </w:rPr>
        <w:t>注明：图纸仅供参考。具体以现状实际为准，可以现场勘查。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阿里巴巴普惠体">
    <w:altName w:val="宋体"/>
    <w:panose1 w:val="00020600040101010101"/>
    <w:charset w:val="86"/>
    <w:family w:val="auto"/>
    <w:pitch w:val="default"/>
    <w:sig w:usb0="00000000" w:usb1="00000000" w:usb2="0000001E" w:usb3="00000000" w:csb0="0004009F" w:csb1="00000000"/>
  </w:font>
  <w:font w:name="阿里巴巴普惠体 Light">
    <w:altName w:val="宋体"/>
    <w:panose1 w:val="00020600040101010101"/>
    <w:charset w:val="86"/>
    <w:family w:val="auto"/>
    <w:pitch w:val="default"/>
    <w:sig w:usb0="00000000" w:usb1="00000000" w:usb2="0000001E"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4D2AD8"/>
    <w:multiLevelType w:val="multilevel"/>
    <w:tmpl w:val="134D2AD8"/>
    <w:lvl w:ilvl="0" w:tentative="0">
      <w:start w:val="1"/>
      <w:numFmt w:val="decimal"/>
      <w:lvlText w:val="%1."/>
      <w:lvlJc w:val="left"/>
      <w:pPr>
        <w:tabs>
          <w:tab w:val="left" w:pos="851"/>
        </w:tabs>
        <w:ind w:left="851" w:hanging="851"/>
      </w:pPr>
      <w:rPr>
        <w:rFonts w:hint="eastAsia" w:eastAsia="宋体"/>
        <w:b/>
        <w:i w:val="0"/>
        <w:sz w:val="24"/>
      </w:rPr>
    </w:lvl>
    <w:lvl w:ilvl="1" w:tentative="0">
      <w:start w:val="1"/>
      <w:numFmt w:val="decimal"/>
      <w:pStyle w:val="5"/>
      <w:lvlText w:val="%1.%2"/>
      <w:lvlJc w:val="left"/>
      <w:pPr>
        <w:tabs>
          <w:tab w:val="left" w:pos="1844"/>
        </w:tabs>
        <w:ind w:left="1844" w:hanging="851"/>
      </w:pPr>
      <w:rPr>
        <w:rFonts w:hint="eastAsia" w:eastAsia="宋体"/>
        <w:b w:val="0"/>
        <w:i w:val="0"/>
        <w:color w:val="auto"/>
        <w:sz w:val="21"/>
        <w:szCs w:val="21"/>
      </w:rPr>
    </w:lvl>
    <w:lvl w:ilvl="2" w:tentative="0">
      <w:start w:val="1"/>
      <w:numFmt w:val="decimal"/>
      <w:lvlText w:val="（%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5BA23E45"/>
    <w:multiLevelType w:val="singleLevel"/>
    <w:tmpl w:val="5BA23E45"/>
    <w:lvl w:ilvl="0" w:tentative="0">
      <w:start w:val="1"/>
      <w:numFmt w:val="decimal"/>
      <w:suff w:val="nothing"/>
      <w:lvlText w:val="%1．"/>
      <w:lvlJc w:val="left"/>
      <w:pPr>
        <w:ind w:left="20" w:firstLine="4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764C"/>
    <w:rsid w:val="00172A27"/>
    <w:rsid w:val="00284CA6"/>
    <w:rsid w:val="002A6CA8"/>
    <w:rsid w:val="002D7C0D"/>
    <w:rsid w:val="002E22D0"/>
    <w:rsid w:val="00351056"/>
    <w:rsid w:val="003C7D31"/>
    <w:rsid w:val="00654345"/>
    <w:rsid w:val="00685BA8"/>
    <w:rsid w:val="0075678A"/>
    <w:rsid w:val="009D16C9"/>
    <w:rsid w:val="00A64B43"/>
    <w:rsid w:val="00A7176E"/>
    <w:rsid w:val="00AD0ACA"/>
    <w:rsid w:val="00BD6173"/>
    <w:rsid w:val="00BE6658"/>
    <w:rsid w:val="00CC153A"/>
    <w:rsid w:val="00CD50CD"/>
    <w:rsid w:val="00DB6686"/>
    <w:rsid w:val="00E62E19"/>
    <w:rsid w:val="00F121D7"/>
    <w:rsid w:val="027E2F15"/>
    <w:rsid w:val="038869C5"/>
    <w:rsid w:val="03947FEF"/>
    <w:rsid w:val="0461519E"/>
    <w:rsid w:val="05470C4E"/>
    <w:rsid w:val="07CD6A4F"/>
    <w:rsid w:val="07D04F20"/>
    <w:rsid w:val="0C7F0A11"/>
    <w:rsid w:val="0CAE0B7D"/>
    <w:rsid w:val="0D2F2FF2"/>
    <w:rsid w:val="0F873682"/>
    <w:rsid w:val="104A50E1"/>
    <w:rsid w:val="104C02A7"/>
    <w:rsid w:val="104D478E"/>
    <w:rsid w:val="12A42455"/>
    <w:rsid w:val="13001BCA"/>
    <w:rsid w:val="163E0A81"/>
    <w:rsid w:val="17A23FF8"/>
    <w:rsid w:val="17CB27CD"/>
    <w:rsid w:val="1A89414E"/>
    <w:rsid w:val="1AAD76BC"/>
    <w:rsid w:val="1C494F8A"/>
    <w:rsid w:val="1C6C52AF"/>
    <w:rsid w:val="1CBD2B35"/>
    <w:rsid w:val="1D455F8C"/>
    <w:rsid w:val="1D6D5DBF"/>
    <w:rsid w:val="1E0F62BC"/>
    <w:rsid w:val="23004FD8"/>
    <w:rsid w:val="23BB14D0"/>
    <w:rsid w:val="24475FC0"/>
    <w:rsid w:val="24843748"/>
    <w:rsid w:val="26F61E96"/>
    <w:rsid w:val="26F91799"/>
    <w:rsid w:val="2BB61D3E"/>
    <w:rsid w:val="2C710A9C"/>
    <w:rsid w:val="2D59319D"/>
    <w:rsid w:val="2DA92478"/>
    <w:rsid w:val="2DCD702A"/>
    <w:rsid w:val="311E2FF5"/>
    <w:rsid w:val="322A5884"/>
    <w:rsid w:val="323E062A"/>
    <w:rsid w:val="33E06E67"/>
    <w:rsid w:val="35856DD3"/>
    <w:rsid w:val="368402E2"/>
    <w:rsid w:val="37A511DC"/>
    <w:rsid w:val="3AF07FE0"/>
    <w:rsid w:val="3BAD59DE"/>
    <w:rsid w:val="3BCB22CE"/>
    <w:rsid w:val="3DAD6A1C"/>
    <w:rsid w:val="416A7C0C"/>
    <w:rsid w:val="419D5D0B"/>
    <w:rsid w:val="43C63D18"/>
    <w:rsid w:val="46487957"/>
    <w:rsid w:val="49A46880"/>
    <w:rsid w:val="4AB00D09"/>
    <w:rsid w:val="4C6F190F"/>
    <w:rsid w:val="4CE04B57"/>
    <w:rsid w:val="4CFE65FB"/>
    <w:rsid w:val="4D397620"/>
    <w:rsid w:val="4E445616"/>
    <w:rsid w:val="51166591"/>
    <w:rsid w:val="51212A30"/>
    <w:rsid w:val="51B4176D"/>
    <w:rsid w:val="53C15E80"/>
    <w:rsid w:val="5834102B"/>
    <w:rsid w:val="58630859"/>
    <w:rsid w:val="58BF15FA"/>
    <w:rsid w:val="5AF261D5"/>
    <w:rsid w:val="5B100003"/>
    <w:rsid w:val="5CDD6575"/>
    <w:rsid w:val="5D364212"/>
    <w:rsid w:val="5D490BAB"/>
    <w:rsid w:val="5DC63307"/>
    <w:rsid w:val="61AB4613"/>
    <w:rsid w:val="620C5494"/>
    <w:rsid w:val="64E8268E"/>
    <w:rsid w:val="64FE0E62"/>
    <w:rsid w:val="65B15C47"/>
    <w:rsid w:val="68253FE9"/>
    <w:rsid w:val="68C51C82"/>
    <w:rsid w:val="697267DF"/>
    <w:rsid w:val="69DC3995"/>
    <w:rsid w:val="6B2404C6"/>
    <w:rsid w:val="6BCD497B"/>
    <w:rsid w:val="6C14097F"/>
    <w:rsid w:val="6D7C0A06"/>
    <w:rsid w:val="6F554A1D"/>
    <w:rsid w:val="707F33C9"/>
    <w:rsid w:val="71763FBA"/>
    <w:rsid w:val="719B34F1"/>
    <w:rsid w:val="719D0A09"/>
    <w:rsid w:val="73C63964"/>
    <w:rsid w:val="757D6CB4"/>
    <w:rsid w:val="76393A07"/>
    <w:rsid w:val="7CA57E68"/>
    <w:rsid w:val="7CD25AD1"/>
    <w:rsid w:val="7E673EBA"/>
    <w:rsid w:val="7F5B3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99" w:semiHidden="0" w:name="annotation text"/>
    <w:lsdException w:qFormat="1"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9"/>
    <w:pPr>
      <w:widowControl w:val="0"/>
      <w:numPr>
        <w:ilvl w:val="1"/>
        <w:numId w:val="1"/>
      </w:numPr>
      <w:tabs>
        <w:tab w:val="left" w:pos="851"/>
      </w:tabs>
      <w:spacing w:line="360" w:lineRule="auto"/>
      <w:jc w:val="both"/>
      <w:outlineLvl w:val="2"/>
    </w:pPr>
    <w:rPr>
      <w:rFonts w:ascii="宋体"/>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6">
    <w:name w:val="annotation text"/>
    <w:basedOn w:val="1"/>
    <w:link w:val="25"/>
    <w:unhideWhenUsed/>
    <w:qFormat/>
    <w:uiPriority w:val="99"/>
    <w:pPr>
      <w:jc w:val="left"/>
    </w:pPr>
  </w:style>
  <w:style w:type="paragraph" w:styleId="7">
    <w:name w:val="Body Text"/>
    <w:basedOn w:val="1"/>
    <w:next w:val="8"/>
    <w:unhideWhenUsed/>
    <w:qFormat/>
    <w:uiPriority w:val="99"/>
    <w:pPr>
      <w:spacing w:after="120"/>
    </w:pPr>
  </w:style>
  <w:style w:type="paragraph" w:styleId="8">
    <w:name w:val="Title"/>
    <w:basedOn w:val="1"/>
    <w:next w:val="1"/>
    <w:qFormat/>
    <w:uiPriority w:val="0"/>
    <w:pPr>
      <w:widowControl/>
      <w:spacing w:line="660" w:lineRule="exact"/>
      <w:jc w:val="center"/>
      <w:outlineLvl w:val="0"/>
    </w:pPr>
    <w:rPr>
      <w:rFonts w:ascii="宋体" w:hAnsi="宋体" w:cs="Arial"/>
      <w:b/>
      <w:sz w:val="44"/>
      <w:szCs w:val="32"/>
    </w:rPr>
  </w:style>
  <w:style w:type="paragraph" w:styleId="9">
    <w:name w:val="Plain Text"/>
    <w:basedOn w:val="1"/>
    <w:qFormat/>
    <w:uiPriority w:val="0"/>
    <w:rPr>
      <w:rFonts w:ascii="宋体" w:hAnsi="Courier New"/>
    </w:rPr>
  </w:style>
  <w:style w:type="paragraph" w:styleId="10">
    <w:name w:val="Balloon Text"/>
    <w:basedOn w:val="1"/>
    <w:link w:val="22"/>
    <w:unhideWhenUsed/>
    <w:qFormat/>
    <w:uiPriority w:val="0"/>
    <w:rPr>
      <w:sz w:val="18"/>
      <w:szCs w:val="18"/>
    </w:rPr>
  </w:style>
  <w:style w:type="paragraph" w:styleId="11">
    <w:name w:val="footer"/>
    <w:basedOn w:val="1"/>
    <w:link w:val="24"/>
    <w:unhideWhenUsed/>
    <w:qFormat/>
    <w:uiPriority w:val="0"/>
    <w:pPr>
      <w:tabs>
        <w:tab w:val="center" w:pos="4153"/>
        <w:tab w:val="right" w:pos="8306"/>
      </w:tabs>
      <w:snapToGrid w:val="0"/>
      <w:jc w:val="left"/>
    </w:pPr>
    <w:rPr>
      <w:sz w:val="18"/>
      <w:szCs w:val="18"/>
    </w:rPr>
  </w:style>
  <w:style w:type="paragraph" w:styleId="12">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rPr>
      <w:sz w:val="24"/>
    </w:rPr>
  </w:style>
  <w:style w:type="paragraph" w:styleId="14">
    <w:name w:val="annotation subject"/>
    <w:basedOn w:val="6"/>
    <w:next w:val="6"/>
    <w:link w:val="26"/>
    <w:semiHidden/>
    <w:unhideWhenUsed/>
    <w:qFormat/>
    <w:uiPriority w:val="0"/>
    <w:rPr>
      <w:b/>
      <w:bCs/>
    </w:rPr>
  </w:style>
  <w:style w:type="paragraph" w:styleId="15">
    <w:name w:val="Body Text First Indent"/>
    <w:basedOn w:val="7"/>
    <w:next w:val="1"/>
    <w:qFormat/>
    <w:uiPriority w:val="0"/>
    <w:pPr>
      <w:spacing w:after="60" w:line="360" w:lineRule="auto"/>
      <w:ind w:firstLine="200" w:firstLineChars="200"/>
    </w:pPr>
    <w:rPr>
      <w:rFonts w:ascii="Arial" w:hAnsi="Arial"/>
      <w:szCs w:val="21"/>
    </w:rPr>
  </w:style>
  <w:style w:type="character" w:styleId="18">
    <w:name w:val="annotation reference"/>
    <w:basedOn w:val="17"/>
    <w:semiHidden/>
    <w:unhideWhenUsed/>
    <w:qFormat/>
    <w:uiPriority w:val="0"/>
    <w:rPr>
      <w:sz w:val="21"/>
      <w:szCs w:val="21"/>
    </w:rPr>
  </w:style>
  <w:style w:type="paragraph" w:customStyle="1" w:styleId="19">
    <w:name w:val="无间隔1"/>
    <w:qFormat/>
    <w:uiPriority w:val="1"/>
    <w:pPr>
      <w:widowControl w:val="0"/>
      <w:ind w:left="100" w:leftChars="100" w:right="100" w:rightChars="100"/>
    </w:pPr>
    <w:rPr>
      <w:rFonts w:ascii="Calibri" w:hAnsi="Calibri" w:eastAsia="微软雅黑" w:cs="宋体"/>
      <w:kern w:val="2"/>
      <w:sz w:val="21"/>
      <w:szCs w:val="22"/>
      <w:lang w:val="en-US" w:eastAsia="zh-CN" w:bidi="ar-SA"/>
    </w:rPr>
  </w:style>
  <w:style w:type="paragraph" w:customStyle="1" w:styleId="20">
    <w:name w:val="_Style 1"/>
    <w:basedOn w:val="1"/>
    <w:qFormat/>
    <w:uiPriority w:val="34"/>
    <w:pPr>
      <w:ind w:firstLine="420" w:firstLineChars="200"/>
    </w:pPr>
    <w:rPr>
      <w:sz w:val="28"/>
    </w:rPr>
  </w:style>
  <w:style w:type="paragraph" w:customStyle="1" w:styleId="21">
    <w:name w:val="_Style 2"/>
    <w:basedOn w:val="1"/>
    <w:qFormat/>
    <w:uiPriority w:val="34"/>
    <w:pPr>
      <w:ind w:firstLine="420" w:firstLineChars="200"/>
    </w:pPr>
    <w:rPr>
      <w:sz w:val="28"/>
    </w:rPr>
  </w:style>
  <w:style w:type="character" w:customStyle="1" w:styleId="22">
    <w:name w:val="批注框文本 字符"/>
    <w:basedOn w:val="17"/>
    <w:link w:val="10"/>
    <w:semiHidden/>
    <w:qFormat/>
    <w:uiPriority w:val="0"/>
    <w:rPr>
      <w:kern w:val="2"/>
      <w:sz w:val="18"/>
      <w:szCs w:val="18"/>
    </w:rPr>
  </w:style>
  <w:style w:type="character" w:customStyle="1" w:styleId="23">
    <w:name w:val="页眉 字符"/>
    <w:basedOn w:val="17"/>
    <w:link w:val="12"/>
    <w:qFormat/>
    <w:uiPriority w:val="0"/>
    <w:rPr>
      <w:kern w:val="2"/>
      <w:sz w:val="18"/>
      <w:szCs w:val="18"/>
    </w:rPr>
  </w:style>
  <w:style w:type="character" w:customStyle="1" w:styleId="24">
    <w:name w:val="页脚 字符"/>
    <w:basedOn w:val="17"/>
    <w:link w:val="11"/>
    <w:qFormat/>
    <w:uiPriority w:val="0"/>
    <w:rPr>
      <w:kern w:val="2"/>
      <w:sz w:val="18"/>
      <w:szCs w:val="18"/>
    </w:rPr>
  </w:style>
  <w:style w:type="character" w:customStyle="1" w:styleId="25">
    <w:name w:val="批注文字 字符"/>
    <w:basedOn w:val="17"/>
    <w:link w:val="6"/>
    <w:qFormat/>
    <w:uiPriority w:val="99"/>
    <w:rPr>
      <w:kern w:val="2"/>
      <w:sz w:val="21"/>
    </w:rPr>
  </w:style>
  <w:style w:type="character" w:customStyle="1" w:styleId="26">
    <w:name w:val="批注主题 字符"/>
    <w:basedOn w:val="25"/>
    <w:link w:val="14"/>
    <w:semiHidden/>
    <w:qFormat/>
    <w:uiPriority w:val="0"/>
    <w:rPr>
      <w:b/>
      <w:bCs/>
      <w:kern w:val="2"/>
      <w:sz w:val="21"/>
    </w:rPr>
  </w:style>
  <w:style w:type="character" w:customStyle="1" w:styleId="27">
    <w:name w:val="font11"/>
    <w:basedOn w:val="17"/>
    <w:qFormat/>
    <w:uiPriority w:val="0"/>
    <w:rPr>
      <w:rFonts w:hint="default" w:ascii="Arial" w:hAnsi="Arial" w:cs="Arial"/>
      <w:color w:val="000000"/>
      <w:sz w:val="28"/>
      <w:szCs w:val="28"/>
      <w:u w:val="none"/>
    </w:rPr>
  </w:style>
  <w:style w:type="character" w:customStyle="1" w:styleId="28">
    <w:name w:val="font01"/>
    <w:basedOn w:val="17"/>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809</Words>
  <Characters>4616</Characters>
  <Lines>38</Lines>
  <Paragraphs>10</Paragraphs>
  <TotalTime>0</TotalTime>
  <ScaleCrop>false</ScaleCrop>
  <LinksUpToDate>false</LinksUpToDate>
  <CharactersWithSpaces>5415</CharactersWithSpaces>
  <Application>WPS Office_11.8.2.11542_F1E327BC-269C-435d-A152-05C5408002CA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2018-10-08T06:32:00Z</dcterms:created>
  <dc:creator>陈启雄</dc:creator>
  <cp:lastModifiedBy>wencaixin</cp:lastModifiedBy>
  <dcterms:modified xsi:type="dcterms:W3CDTF">2024-09-04T02:24:33Z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05C86F3085E84E5F8C9C7B277724828D</vt:lpwstr>
  </property>
</Properties>
</file>