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spacing w:line="360" w:lineRule="auto"/>
        <w:textAlignment w:val="auto"/>
        <w:rPr>
          <w:rFonts w:ascii="宋体" w:hAnsi="宋体" w:cs="宋体"/>
          <w:color w:val="auto"/>
        </w:rPr>
      </w:pPr>
      <w:r>
        <w:rPr>
          <w:rFonts w:hint="eastAsia" w:ascii="宋体" w:hAnsi="宋体" w:cs="宋体"/>
          <w:color w:val="auto"/>
        </w:rPr>
        <w:drawing>
          <wp:anchor distT="0" distB="0" distL="0" distR="0" simplePos="0" relativeHeight="251659264" behindDoc="0" locked="0" layoutInCell="1" allowOverlap="1">
            <wp:simplePos x="0" y="0"/>
            <wp:positionH relativeFrom="column">
              <wp:posOffset>-709930</wp:posOffset>
            </wp:positionH>
            <wp:positionV relativeFrom="paragraph">
              <wp:posOffset>-924560</wp:posOffset>
            </wp:positionV>
            <wp:extent cx="7636510" cy="2854960"/>
            <wp:effectExtent l="0" t="0" r="2540" b="2540"/>
            <wp:wrapNone/>
            <wp:docPr id="1026" name="图片 1" descr="模板-3"/>
            <wp:cNvGraphicFramePr/>
            <a:graphic xmlns:a="http://schemas.openxmlformats.org/drawingml/2006/main">
              <a:graphicData uri="http://schemas.openxmlformats.org/drawingml/2006/picture">
                <pic:pic xmlns:pic="http://schemas.openxmlformats.org/drawingml/2006/picture">
                  <pic:nvPicPr>
                    <pic:cNvPr id="1026" name="图片 1" descr="模板-3"/>
                    <pic:cNvPicPr/>
                  </pic:nvPicPr>
                  <pic:blipFill>
                    <a:blip r:embed="rId4" cstate="print"/>
                    <a:srcRect/>
                    <a:stretch>
                      <a:fillRect/>
                    </a:stretch>
                  </pic:blipFill>
                  <pic:spPr>
                    <a:xfrm>
                      <a:off x="0" y="0"/>
                      <a:ext cx="7636510" cy="2854960"/>
                    </a:xfrm>
                    <a:prstGeom prst="rect">
                      <a:avLst/>
                    </a:prstGeom>
                    <a:ln>
                      <a:noFill/>
                    </a:ln>
                  </pic:spPr>
                </pic:pic>
              </a:graphicData>
            </a:graphic>
          </wp:anchor>
        </w:drawing>
      </w:r>
    </w:p>
    <w:p>
      <w:pPr>
        <w:keepNext w:val="0"/>
        <w:keepLines w:val="0"/>
        <w:pageBreakBefore w:val="0"/>
        <w:widowControl/>
        <w:kinsoku/>
        <w:wordWrap/>
        <w:overflowPunct/>
        <w:topLinePunct w:val="0"/>
        <w:autoSpaceDE/>
        <w:autoSpaceDN/>
        <w:bidi w:val="0"/>
        <w:spacing w:line="360" w:lineRule="auto"/>
        <w:textAlignment w:val="auto"/>
        <w:rPr>
          <w:rFonts w:ascii="宋体" w:hAnsi="宋体" w:cs="宋体"/>
          <w:color w:val="auto"/>
        </w:rPr>
      </w:pPr>
    </w:p>
    <w:p>
      <w:pPr>
        <w:keepNext w:val="0"/>
        <w:keepLines w:val="0"/>
        <w:pageBreakBefore w:val="0"/>
        <w:widowControl/>
        <w:kinsoku/>
        <w:wordWrap/>
        <w:overflowPunct/>
        <w:topLinePunct w:val="0"/>
        <w:autoSpaceDE/>
        <w:autoSpaceDN/>
        <w:bidi w:val="0"/>
        <w:spacing w:line="360" w:lineRule="auto"/>
        <w:textAlignment w:val="auto"/>
        <w:rPr>
          <w:rFonts w:ascii="宋体" w:hAnsi="宋体" w:cs="宋体"/>
          <w:color w:val="auto"/>
        </w:rPr>
      </w:pPr>
    </w:p>
    <w:p>
      <w:pPr>
        <w:keepNext w:val="0"/>
        <w:keepLines w:val="0"/>
        <w:pageBreakBefore w:val="0"/>
        <w:widowControl/>
        <w:kinsoku/>
        <w:wordWrap/>
        <w:overflowPunct/>
        <w:topLinePunct w:val="0"/>
        <w:autoSpaceDE/>
        <w:autoSpaceDN/>
        <w:bidi w:val="0"/>
        <w:spacing w:line="360" w:lineRule="auto"/>
        <w:textAlignment w:val="auto"/>
        <w:rPr>
          <w:rFonts w:ascii="宋体" w:hAnsi="宋体" w:cs="宋体"/>
          <w:color w:val="auto"/>
        </w:rPr>
      </w:pPr>
    </w:p>
    <w:p>
      <w:pPr>
        <w:keepNext w:val="0"/>
        <w:keepLines w:val="0"/>
        <w:pageBreakBefore w:val="0"/>
        <w:widowControl/>
        <w:kinsoku/>
        <w:wordWrap/>
        <w:overflowPunct/>
        <w:topLinePunct w:val="0"/>
        <w:autoSpaceDE/>
        <w:autoSpaceDN/>
        <w:bidi w:val="0"/>
        <w:spacing w:line="360" w:lineRule="auto"/>
        <w:textAlignment w:val="auto"/>
        <w:rPr>
          <w:rFonts w:ascii="宋体" w:hAnsi="宋体" w:cs="宋体"/>
          <w:color w:val="auto"/>
        </w:rPr>
      </w:pPr>
    </w:p>
    <w:p>
      <w:pPr>
        <w:keepNext w:val="0"/>
        <w:keepLines w:val="0"/>
        <w:pageBreakBefore w:val="0"/>
        <w:widowControl/>
        <w:kinsoku/>
        <w:wordWrap/>
        <w:overflowPunct/>
        <w:topLinePunct w:val="0"/>
        <w:autoSpaceDE/>
        <w:autoSpaceDN/>
        <w:bidi w:val="0"/>
        <w:spacing w:line="360" w:lineRule="auto"/>
        <w:textAlignment w:val="auto"/>
        <w:rPr>
          <w:rFonts w:ascii="宋体" w:hAnsi="宋体" w:cs="宋体"/>
          <w:color w:val="auto"/>
        </w:rPr>
      </w:pPr>
    </w:p>
    <w:p>
      <w:pPr>
        <w:keepNext w:val="0"/>
        <w:keepLines w:val="0"/>
        <w:pageBreakBefore w:val="0"/>
        <w:widowControl/>
        <w:kinsoku/>
        <w:wordWrap/>
        <w:overflowPunct/>
        <w:topLinePunct w:val="0"/>
        <w:autoSpaceDE/>
        <w:autoSpaceDN/>
        <w:bidi w:val="0"/>
        <w:spacing w:line="360" w:lineRule="auto"/>
        <w:textAlignment w:val="auto"/>
        <w:rPr>
          <w:rFonts w:ascii="宋体" w:hAnsi="宋体" w:cs="宋体"/>
          <w:color w:val="auto"/>
        </w:rPr>
      </w:pPr>
    </w:p>
    <w:p>
      <w:pPr>
        <w:pStyle w:val="37"/>
        <w:rPr>
          <w:rFonts w:hint="eastAsia" w:ascii="宋体" w:hAnsi="宋体" w:cs="宋体"/>
          <w:b/>
          <w:color w:val="auto"/>
          <w:sz w:val="52"/>
          <w:szCs w:val="52"/>
          <w:lang w:val="en-US" w:eastAsia="zh-CN"/>
        </w:rPr>
      </w:pPr>
      <w:r>
        <w:rPr>
          <w:rFonts w:hint="eastAsia" w:ascii="宋体" w:hAnsi="宋体" w:cs="宋体"/>
          <w:b/>
          <w:color w:val="auto"/>
          <w:sz w:val="52"/>
          <w:szCs w:val="52"/>
        </w:rPr>
        <w:t>云南储能</w:t>
      </w:r>
      <w:r>
        <w:rPr>
          <w:rFonts w:hint="eastAsia" w:ascii="宋体" w:hAnsi="宋体" w:cs="宋体"/>
          <w:b/>
          <w:color w:val="auto"/>
          <w:sz w:val="52"/>
          <w:szCs w:val="52"/>
          <w:lang w:eastAsia="zh-CN"/>
        </w:rPr>
        <w:t>有限公司</w:t>
      </w:r>
      <w:r>
        <w:rPr>
          <w:rFonts w:hint="eastAsia" w:ascii="宋体" w:hAnsi="宋体" w:cs="宋体"/>
          <w:b/>
          <w:color w:val="auto"/>
          <w:sz w:val="52"/>
          <w:szCs w:val="52"/>
        </w:rPr>
        <w:t>2024年</w:t>
      </w:r>
      <w:r>
        <w:rPr>
          <w:rFonts w:hint="eastAsia" w:ascii="宋体" w:hAnsi="宋体" w:cs="宋体"/>
          <w:b/>
          <w:color w:val="auto"/>
          <w:sz w:val="52"/>
          <w:szCs w:val="52"/>
          <w:lang w:val="en-US" w:eastAsia="zh-CN"/>
        </w:rPr>
        <w:t>所属电站</w:t>
      </w:r>
    </w:p>
    <w:p>
      <w:pPr>
        <w:pStyle w:val="37"/>
        <w:framePr w:wrap="around"/>
        <w:rPr>
          <w:rFonts w:hint="eastAsia" w:ascii="宋体" w:hAnsi="宋体" w:cs="宋体"/>
          <w:b/>
          <w:color w:val="auto"/>
          <w:sz w:val="52"/>
          <w:szCs w:val="52"/>
        </w:rPr>
      </w:pPr>
      <w:r>
        <w:rPr>
          <w:rFonts w:hint="eastAsia" w:ascii="宋体" w:hAnsi="宋体" w:cs="宋体"/>
          <w:b/>
          <w:color w:val="auto"/>
          <w:sz w:val="52"/>
          <w:szCs w:val="52"/>
        </w:rPr>
        <w:t>五防系统维保技术规范书</w:t>
      </w:r>
    </w:p>
    <w:p>
      <w:pPr>
        <w:pStyle w:val="5"/>
        <w:jc w:val="both"/>
      </w:pPr>
    </w:p>
    <w:p>
      <w:pPr>
        <w:keepNext w:val="0"/>
        <w:keepLines w:val="0"/>
        <w:pageBreakBefore w:val="0"/>
        <w:widowControl/>
        <w:kinsoku/>
        <w:wordWrap/>
        <w:overflowPunct/>
        <w:topLinePunct w:val="0"/>
        <w:autoSpaceDE/>
        <w:autoSpaceDN/>
        <w:bidi w:val="0"/>
        <w:spacing w:line="360" w:lineRule="auto"/>
        <w:jc w:val="center"/>
        <w:textAlignment w:val="auto"/>
        <w:rPr>
          <w:rFonts w:ascii="宋体" w:hAnsi="宋体" w:cs="宋体"/>
          <w:color w:val="auto"/>
          <w:sz w:val="32"/>
          <w:szCs w:val="32"/>
        </w:rPr>
      </w:pPr>
    </w:p>
    <w:p>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b/>
          <w:bCs/>
          <w:color w:val="auto"/>
          <w:sz w:val="32"/>
          <w:szCs w:val="32"/>
          <w:lang w:eastAsia="zh-CN"/>
        </w:rPr>
      </w:pPr>
      <w:r>
        <w:rPr>
          <w:rFonts w:hint="eastAsia" w:ascii="宋体" w:hAnsi="宋体" w:cs="宋体"/>
          <w:b/>
          <w:bCs/>
          <w:color w:val="auto"/>
          <w:sz w:val="32"/>
          <w:szCs w:val="32"/>
          <w:lang w:eastAsia="zh-CN"/>
        </w:rPr>
        <w:t>云南储能有限公司</w:t>
      </w:r>
    </w:p>
    <w:p>
      <w:pPr>
        <w:keepNext w:val="0"/>
        <w:keepLines w:val="0"/>
        <w:pageBreakBefore w:val="0"/>
        <w:widowControl/>
        <w:kinsoku/>
        <w:wordWrap/>
        <w:overflowPunct/>
        <w:topLinePunct w:val="0"/>
        <w:autoSpaceDE/>
        <w:autoSpaceDN/>
        <w:bidi w:val="0"/>
        <w:spacing w:line="360" w:lineRule="auto"/>
        <w:jc w:val="center"/>
        <w:textAlignment w:val="auto"/>
        <w:rPr>
          <w:rFonts w:ascii="宋体" w:hAnsi="宋体" w:cs="宋体"/>
          <w:b/>
          <w:color w:val="auto"/>
          <w:sz w:val="36"/>
          <w:szCs w:val="36"/>
        </w:rPr>
      </w:pPr>
      <w:r>
        <w:rPr>
          <w:rFonts w:hint="eastAsia" w:ascii="宋体" w:hAnsi="宋体" w:cs="宋体"/>
          <w:b/>
          <w:color w:val="auto"/>
          <w:sz w:val="36"/>
          <w:szCs w:val="36"/>
        </w:rPr>
        <w:t>2024年0</w:t>
      </w:r>
      <w:r>
        <w:rPr>
          <w:rFonts w:hint="eastAsia" w:ascii="宋体" w:hAnsi="宋体" w:cs="宋体"/>
          <w:b/>
          <w:color w:val="auto"/>
          <w:sz w:val="36"/>
          <w:szCs w:val="36"/>
          <w:lang w:val="en-US" w:eastAsia="zh-CN"/>
        </w:rPr>
        <w:t>8</w:t>
      </w:r>
      <w:r>
        <w:rPr>
          <w:rFonts w:hint="eastAsia" w:ascii="宋体" w:hAnsi="宋体" w:cs="宋体"/>
          <w:b/>
          <w:color w:val="auto"/>
          <w:sz w:val="36"/>
          <w:szCs w:val="36"/>
        </w:rPr>
        <w:t>月</w:t>
      </w:r>
    </w:p>
    <w:p>
      <w:pPr>
        <w:pStyle w:val="4"/>
        <w:keepNext w:val="0"/>
        <w:keepLines w:val="0"/>
        <w:pageBreakBefore w:val="0"/>
        <w:widowControl/>
        <w:numPr>
          <w:ilvl w:val="0"/>
          <w:numId w:val="0"/>
        </w:numPr>
        <w:tabs>
          <w:tab w:val="left" w:pos="142"/>
        </w:tabs>
        <w:kinsoku/>
        <w:wordWrap/>
        <w:overflowPunct/>
        <w:topLinePunct w:val="0"/>
        <w:autoSpaceDE/>
        <w:autoSpaceDN/>
        <w:bidi w:val="0"/>
        <w:adjustRightInd w:val="0"/>
        <w:snapToGrid w:val="0"/>
        <w:spacing w:beforeAutospacing="0" w:afterAutospacing="0"/>
        <w:ind w:leftChars="0"/>
        <w:contextualSpacing/>
        <w:jc w:val="center"/>
        <w:textAlignment w:val="auto"/>
        <w:outlineLvl w:val="0"/>
        <w:rPr>
          <w:rFonts w:hint="eastAsia" w:ascii="宋体" w:hAnsi="宋体" w:cs="宋体"/>
          <w:b/>
          <w:color w:val="auto"/>
          <w:sz w:val="36"/>
          <w:szCs w:val="36"/>
          <w:lang w:val="en-US" w:eastAsia="zh-CN"/>
        </w:rPr>
      </w:pPr>
      <w:r>
        <w:rPr>
          <w:rFonts w:hint="eastAsia" w:ascii="宋体" w:hAnsi="宋体" w:cs="宋体"/>
          <w:b/>
          <w:color w:val="auto"/>
          <w:sz w:val="36"/>
          <w:szCs w:val="36"/>
        </w:rPr>
        <w:br w:type="page"/>
      </w:r>
      <w:r>
        <w:rPr>
          <w:rFonts w:hint="eastAsia" w:ascii="宋体" w:hAnsi="宋体" w:cs="宋体"/>
          <w:b/>
          <w:color w:val="auto"/>
          <w:sz w:val="36"/>
          <w:szCs w:val="36"/>
        </w:rPr>
        <w:t>云南储能</w:t>
      </w:r>
      <w:r>
        <w:rPr>
          <w:rFonts w:hint="eastAsia" w:ascii="宋体" w:hAnsi="宋体" w:cs="宋体"/>
          <w:b/>
          <w:color w:val="auto"/>
          <w:sz w:val="36"/>
          <w:szCs w:val="36"/>
          <w:lang w:eastAsia="zh-CN"/>
        </w:rPr>
        <w:t>有限公司</w:t>
      </w:r>
      <w:r>
        <w:rPr>
          <w:rFonts w:hint="eastAsia" w:ascii="宋体" w:hAnsi="宋体" w:cs="宋体"/>
          <w:b/>
          <w:color w:val="auto"/>
          <w:sz w:val="36"/>
          <w:szCs w:val="36"/>
        </w:rPr>
        <w:t>2024年</w:t>
      </w:r>
      <w:r>
        <w:rPr>
          <w:rFonts w:hint="eastAsia" w:ascii="宋体" w:hAnsi="宋体" w:cs="宋体"/>
          <w:b/>
          <w:color w:val="auto"/>
          <w:sz w:val="36"/>
          <w:szCs w:val="36"/>
          <w:lang w:val="en-US" w:eastAsia="zh-CN"/>
        </w:rPr>
        <w:t>所属电站五防系统维保</w:t>
      </w:r>
    </w:p>
    <w:p>
      <w:pPr>
        <w:pStyle w:val="4"/>
        <w:keepNext w:val="0"/>
        <w:keepLines w:val="0"/>
        <w:pageBreakBefore w:val="0"/>
        <w:widowControl/>
        <w:numPr>
          <w:ilvl w:val="0"/>
          <w:numId w:val="0"/>
        </w:numPr>
        <w:tabs>
          <w:tab w:val="left" w:pos="142"/>
        </w:tabs>
        <w:kinsoku/>
        <w:wordWrap/>
        <w:overflowPunct/>
        <w:topLinePunct w:val="0"/>
        <w:autoSpaceDE/>
        <w:autoSpaceDN/>
        <w:bidi w:val="0"/>
        <w:adjustRightInd w:val="0"/>
        <w:snapToGrid w:val="0"/>
        <w:spacing w:beforeAutospacing="0" w:afterAutospacing="0"/>
        <w:ind w:leftChars="0"/>
        <w:contextualSpacing/>
        <w:jc w:val="center"/>
        <w:textAlignment w:val="auto"/>
        <w:outlineLvl w:val="0"/>
        <w:rPr>
          <w:rFonts w:ascii="宋体" w:hAnsi="宋体" w:cs="宋体"/>
          <w:b/>
          <w:color w:val="auto"/>
          <w:sz w:val="30"/>
          <w:szCs w:val="30"/>
        </w:rPr>
      </w:pPr>
      <w:r>
        <w:rPr>
          <w:rFonts w:hint="eastAsia" w:ascii="宋体" w:hAnsi="宋体" w:cs="宋体"/>
          <w:b/>
          <w:color w:val="auto"/>
          <w:sz w:val="30"/>
          <w:szCs w:val="30"/>
        </w:rPr>
        <w:t>总</w:t>
      </w:r>
      <w:r>
        <w:rPr>
          <w:rFonts w:hint="eastAsia" w:ascii="宋体" w:hAnsi="宋体" w:cs="宋体"/>
          <w:b/>
          <w:color w:val="auto"/>
          <w:sz w:val="30"/>
          <w:szCs w:val="30"/>
          <w:lang w:val="en-US" w:eastAsia="zh-CN"/>
        </w:rPr>
        <w:t xml:space="preserve">  </w:t>
      </w:r>
      <w:r>
        <w:rPr>
          <w:rFonts w:hint="eastAsia" w:ascii="宋体" w:hAnsi="宋体" w:cs="宋体"/>
          <w:b/>
          <w:color w:val="auto"/>
          <w:sz w:val="30"/>
          <w:szCs w:val="30"/>
        </w:rPr>
        <w:t>则</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ascii="宋体" w:hAnsi="宋体" w:cs="宋体"/>
          <w:color w:val="auto"/>
        </w:rPr>
        <w:t>本设备技术规范书适用于云南储能2024年</w:t>
      </w:r>
      <w:r>
        <w:rPr>
          <w:rFonts w:hint="eastAsia" w:ascii="宋体" w:hAnsi="宋体" w:cs="宋体"/>
          <w:color w:val="auto"/>
          <w:lang w:val="en-US" w:eastAsia="zh-CN"/>
        </w:rPr>
        <w:t>所属电站</w:t>
      </w:r>
      <w:r>
        <w:rPr>
          <w:rFonts w:hint="eastAsia"/>
        </w:rPr>
        <w:t>五防系统维保项目</w:t>
      </w:r>
      <w:r>
        <w:rPr>
          <w:rFonts w:hint="eastAsia" w:ascii="宋体" w:hAnsi="宋体" w:cs="宋体"/>
          <w:color w:val="auto"/>
        </w:rPr>
        <w:t>的技术要求。</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rPr>
        <w:t>本技术协议文件提出的是最低限度的技术要求。凡本技术协议文件中未规定，但在相关设备的行业标准、国家标准或IEC标准中有规定的规范条文，受委托方应按相应标准的条文进行设备设计、制造、试验和安装。</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ascii="宋体" w:hAnsi="宋体" w:cs="宋体"/>
          <w:color w:val="auto"/>
        </w:rPr>
        <w:t>如果乙方没有以书面形式对本规范书的条文提出异议，则意味着乙方提供的技术服务完全符合</w:t>
      </w:r>
      <w:r>
        <w:rPr>
          <w:rFonts w:hint="eastAsia"/>
        </w:rPr>
        <w:t>五防系统维保服务完全符合本技术协议文件的要求。如有异议，应在报价书中以“对技术协议文件的存在异议和同技术协议文件的差异”为标题的专门章节中加以补充说明。</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ascii="宋体" w:hAnsi="宋体" w:cs="宋体"/>
          <w:color w:val="auto"/>
        </w:rPr>
        <w:t>本技术规范书所使用的标准如遇与乙方所执行的标准不一致时，按较高标准执行。</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ascii="宋体" w:hAnsi="宋体" w:cs="宋体"/>
          <w:color w:val="auto"/>
        </w:rPr>
        <w:t>本技术规范书经甲、乙双方确认后作为订合同的技术附件，与合同正文具有同等的法律效力。</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rPr>
        <w:t>本技术协议文件未尽事宜，由委托方与受委托方双方协商确定。</w:t>
      </w:r>
      <w:r>
        <w:rPr>
          <w:rFonts w:hint="eastAsia" w:ascii="宋体" w:hAnsi="宋体" w:cs="宋体"/>
          <w:kern w:val="0"/>
          <w:szCs w:val="21"/>
          <w:shd w:val="clear" w:color="auto" w:fill="FFFFFF"/>
          <w:lang w:bidi="ar"/>
        </w:rPr>
        <w:t>受委托方人员在中标后</w:t>
      </w:r>
      <w:r>
        <w:rPr>
          <w:rFonts w:hint="eastAsia" w:ascii="宋体" w:hAnsi="宋体" w:cs="宋体"/>
          <w:kern w:val="0"/>
          <w:szCs w:val="21"/>
          <w:shd w:val="clear" w:color="auto" w:fill="FFFFFF"/>
          <w:lang w:val="en-US" w:eastAsia="zh-CN" w:bidi="ar"/>
        </w:rPr>
        <w:t>15天</w:t>
      </w:r>
      <w:r>
        <w:rPr>
          <w:rFonts w:hint="eastAsia" w:ascii="宋体" w:hAnsi="宋体" w:cs="宋体"/>
          <w:kern w:val="0"/>
          <w:szCs w:val="21"/>
          <w:shd w:val="clear" w:color="auto" w:fill="FFFFFF"/>
          <w:lang w:bidi="ar"/>
        </w:rPr>
        <w:t>内应熟悉中标</w:t>
      </w:r>
      <w:r>
        <w:rPr>
          <w:rFonts w:hint="eastAsia" w:ascii="宋体" w:hAnsi="宋体" w:cs="宋体"/>
          <w:kern w:val="0"/>
          <w:szCs w:val="21"/>
          <w:shd w:val="clear" w:color="auto" w:fill="FFFFFF"/>
          <w:lang w:eastAsia="zh-CN" w:bidi="ar"/>
        </w:rPr>
        <w:t>电站</w:t>
      </w:r>
      <w:r>
        <w:rPr>
          <w:rFonts w:hint="eastAsia" w:ascii="宋体" w:hAnsi="宋体" w:cs="宋体"/>
          <w:kern w:val="0"/>
          <w:szCs w:val="21"/>
          <w:shd w:val="clear" w:color="auto" w:fill="FFFFFF"/>
          <w:lang w:bidi="ar"/>
        </w:rPr>
        <w:t>各厂家五防系统设备性能及操作说明，针对</w:t>
      </w:r>
      <w:r>
        <w:rPr>
          <w:rFonts w:hint="eastAsia"/>
          <w:szCs w:val="21"/>
        </w:rPr>
        <w:t>不同厂家五防设备存在缺陷和故障，应具备对缺陷和故障原因查找及处理能力。</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rPr>
        <w:t>受委托方在应标技术协议文件中应如实反映应标产品与本技术协议文件的技术差异。如果受委托方没有提出技术差异，而在执行合同的过程中，委托方发现受委托方提供的服务与其应标技术协议文件的条文、内容、标准等方面的技术要求有差异，委托方有权利要求对差异部分进行整改。</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ascii="Times New Roman" w:hAnsi="Times New Roman"/>
        </w:rPr>
        <w:t>投标方应在投标技术部分按本技术规范书的要求如实详细的填写专用部分投标方填写部分，并在投标商务部分按此标准配置进行报价，如发现二者有矛盾之处，将按有利于招标人条款执行。</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rPr>
        <w:t>投标方应充分理解本技术规范书并按本技术规范书的具体条款、格式要求填写投标的技术文件，如发现投标的技术文件条款、格式不符合本技术规范书的要求，则认为投标不严肃，在评标时将有不同程度的扣分。</w:t>
      </w:r>
    </w:p>
    <w:p>
      <w:pPr>
        <w:pStyle w:val="4"/>
        <w:keepNext w:val="0"/>
        <w:keepLines w:val="0"/>
        <w:pageBreakBefore w:val="0"/>
        <w:widowControl/>
        <w:numPr>
          <w:ilvl w:val="0"/>
          <w:numId w:val="2"/>
        </w:numPr>
        <w:tabs>
          <w:tab w:val="left" w:pos="0"/>
        </w:tabs>
        <w:kinsoku/>
        <w:wordWrap/>
        <w:overflowPunct/>
        <w:topLinePunct w:val="0"/>
        <w:autoSpaceDE/>
        <w:autoSpaceDN/>
        <w:bidi w:val="0"/>
        <w:adjustRightInd w:val="0"/>
        <w:snapToGrid w:val="0"/>
        <w:spacing w:beforeAutospacing="0" w:afterAutospacing="0"/>
        <w:ind w:firstLineChars="0"/>
        <w:jc w:val="left"/>
        <w:textAlignment w:val="auto"/>
        <w:rPr>
          <w:rFonts w:ascii="宋体" w:hAnsi="宋体" w:cs="宋体"/>
          <w:color w:val="auto"/>
        </w:rPr>
      </w:pPr>
      <w:r>
        <w:rPr>
          <w:rFonts w:hint="eastAsia" w:ascii="宋体" w:hAnsi="宋体" w:cs="宋体"/>
          <w:color w:val="auto"/>
        </w:rPr>
        <w:t>设备技术规范书未尽事宜，由买卖双方协商确定。</w:t>
      </w:r>
    </w:p>
    <w:p>
      <w:pPr>
        <w:pStyle w:val="4"/>
        <w:keepNext w:val="0"/>
        <w:keepLines w:val="0"/>
        <w:pageBreakBefore w:val="0"/>
        <w:widowControl/>
        <w:numPr>
          <w:ilvl w:val="0"/>
          <w:numId w:val="3"/>
        </w:numPr>
        <w:tabs>
          <w:tab w:val="clear" w:pos="720"/>
        </w:tabs>
        <w:kinsoku/>
        <w:wordWrap/>
        <w:overflowPunct/>
        <w:topLinePunct w:val="0"/>
        <w:autoSpaceDE/>
        <w:autoSpaceDN/>
        <w:bidi w:val="0"/>
        <w:spacing w:before="156" w:beforeLines="50" w:beforeAutospacing="0" w:afterAutospacing="0"/>
        <w:ind w:left="0" w:firstLine="0" w:firstLineChars="0"/>
        <w:contextualSpacing/>
        <w:textAlignment w:val="auto"/>
        <w:outlineLvl w:val="0"/>
        <w:rPr>
          <w:rFonts w:ascii="宋体" w:hAnsi="宋体" w:cs="宋体"/>
          <w:b/>
          <w:color w:val="auto"/>
        </w:rPr>
      </w:pPr>
      <w:r>
        <w:rPr>
          <w:rFonts w:hint="eastAsia" w:ascii="宋体" w:hAnsi="宋体" w:cs="宋体"/>
          <w:b/>
          <w:color w:val="auto"/>
        </w:rPr>
        <w:t>项目概况</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云南储能2024年所属电站微机防误闭锁装置专业维护技术服务，电站基本情况如下：</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sz w:val="24"/>
          <w:szCs w:val="24"/>
        </w:rPr>
      </w:pPr>
      <w:r>
        <w:rPr>
          <w:rFonts w:hint="eastAsia" w:ascii="宋体" w:hAnsi="宋体" w:cs="宋体"/>
          <w:color w:val="auto"/>
          <w:sz w:val="24"/>
          <w:szCs w:val="24"/>
        </w:rPr>
        <w:t>1 南汀河电站</w:t>
      </w:r>
    </w:p>
    <w:p>
      <w:pPr>
        <w:pStyle w:val="7"/>
        <w:adjustRightInd w:val="0"/>
        <w:snapToGrid w:val="0"/>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南汀河电站</w:t>
      </w:r>
      <w:r>
        <w:rPr>
          <w:rFonts w:hint="eastAsia" w:hAnsi="宋体" w:cs="Times New Roman"/>
          <w:color w:val="auto"/>
          <w:sz w:val="24"/>
          <w:szCs w:val="24"/>
        </w:rPr>
        <w:t>位于马关县南捞乡南汀河村，是盘龙河流域干流发电厂梯级规划开发的第七级发电厂</w:t>
      </w:r>
      <w:r>
        <w:rPr>
          <w:rFonts w:hint="eastAsia" w:hAnsi="宋体" w:cs="Times New Roman"/>
          <w:color w:val="auto"/>
          <w:sz w:val="24"/>
          <w:szCs w:val="24"/>
          <w:lang w:eastAsia="zh-CN"/>
        </w:rPr>
        <w:t>，</w:t>
      </w:r>
      <w:r>
        <w:rPr>
          <w:rFonts w:hint="eastAsia" w:hAnsi="宋体" w:cs="Times New Roman"/>
          <w:color w:val="auto"/>
          <w:sz w:val="24"/>
          <w:szCs w:val="24"/>
        </w:rPr>
        <w:t>距文山城区约95km。安装2台17000kW的立轴混流式水轮发电机组，装机容量34000kW，升压站装设2台10.5/110kV升压容量为20000kVA的主变压器，升压站为单母线分段接线。二级五出，五条送电线路分别为：南兴、南都是供电线，老猫T线以及南落线另一回备用。</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sz w:val="24"/>
          <w:szCs w:val="24"/>
        </w:rPr>
      </w:pPr>
      <w:r>
        <w:rPr>
          <w:rFonts w:hint="eastAsia" w:ascii="宋体" w:hAnsi="宋体" w:cs="宋体"/>
          <w:color w:val="auto"/>
          <w:sz w:val="24"/>
          <w:szCs w:val="24"/>
        </w:rPr>
        <w:t>2 落水洞电站</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sz w:val="24"/>
          <w:szCs w:val="24"/>
        </w:rPr>
      </w:pPr>
      <w:r>
        <w:rPr>
          <w:rFonts w:hint="eastAsia" w:hAnsi="宋体" w:cs="Times New Roman"/>
          <w:color w:val="auto"/>
          <w:sz w:val="24"/>
          <w:szCs w:val="24"/>
        </w:rPr>
        <w:t>落水洞电站位于云南省文山州西畴县新马街乡境内。距州府所在地文山县城70余公里。电站的装机容量为2×10000kW，发变组接线，机端电压6.3kV，两台容量为12500kVA的升压变，升压至110kV接入电网，630kVA近区变一台。110kV单母线，两回110kV线路分别为110kV落花线、110kV南落线</w:t>
      </w:r>
      <w:r>
        <w:rPr>
          <w:rFonts w:hint="eastAsia" w:ascii="宋体" w:hAnsi="宋体" w:cs="宋体"/>
          <w:color w:val="auto"/>
          <w:sz w:val="24"/>
          <w:szCs w:val="24"/>
        </w:rPr>
        <w:t>。</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sz w:val="24"/>
          <w:szCs w:val="24"/>
        </w:rPr>
      </w:pPr>
      <w:r>
        <w:rPr>
          <w:rFonts w:hint="eastAsia" w:ascii="宋体" w:hAnsi="宋体" w:cs="宋体"/>
          <w:color w:val="auto"/>
          <w:sz w:val="24"/>
          <w:szCs w:val="24"/>
        </w:rPr>
        <w:t>3 小河沟电站</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 w:val="24"/>
          <w:szCs w:val="24"/>
          <w:lang w:eastAsia="zh-CN"/>
        </w:rPr>
      </w:pPr>
      <w:r>
        <w:rPr>
          <w:rFonts w:hint="eastAsia" w:hAnsi="宋体" w:cs="Times New Roman"/>
          <w:color w:val="auto"/>
          <w:sz w:val="24"/>
          <w:szCs w:val="24"/>
        </w:rPr>
        <w:t>小河沟发电厂位于文山州西畴县莲花塘乡南面约 6千米处，海拔高度 950 米</w:t>
      </w:r>
      <w:r>
        <w:rPr>
          <w:rFonts w:hint="eastAsia" w:ascii="宋体" w:hAnsi="宋体" w:cs="宋体"/>
          <w:color w:val="auto"/>
          <w:sz w:val="24"/>
          <w:szCs w:val="24"/>
        </w:rPr>
        <w:t>。</w:t>
      </w:r>
      <w:r>
        <w:rPr>
          <w:rFonts w:hint="eastAsia" w:hAnsi="宋体" w:cs="Times New Roman"/>
          <w:color w:val="auto"/>
          <w:sz w:val="24"/>
          <w:szCs w:val="24"/>
        </w:rPr>
        <w:t>装机容量21000k</w:t>
      </w:r>
      <w:r>
        <w:rPr>
          <w:rFonts w:hAnsi="宋体" w:cs="Times New Roman"/>
          <w:color w:val="auto"/>
          <w:sz w:val="24"/>
          <w:szCs w:val="24"/>
        </w:rPr>
        <w:t>W</w:t>
      </w:r>
      <w:r>
        <w:rPr>
          <w:rFonts w:hint="eastAsia" w:hAnsi="宋体" w:cs="Times New Roman"/>
          <w:color w:val="auto"/>
          <w:sz w:val="24"/>
          <w:szCs w:val="24"/>
        </w:rPr>
        <w:t>（3×7000k</w:t>
      </w:r>
      <w:r>
        <w:rPr>
          <w:rFonts w:hAnsi="宋体" w:cs="Times New Roman"/>
          <w:color w:val="auto"/>
          <w:sz w:val="24"/>
          <w:szCs w:val="24"/>
        </w:rPr>
        <w:t>W</w:t>
      </w:r>
      <w:r>
        <w:rPr>
          <w:rFonts w:hint="eastAsia" w:hAnsi="宋体" w:cs="Times New Roman"/>
          <w:color w:val="auto"/>
          <w:sz w:val="24"/>
          <w:szCs w:val="24"/>
        </w:rPr>
        <w:t>），发变组接线，机端电压6.3kV，经3台升压变升压至35kV、110kV接入电网，其0号升压变为两卷变升压至110kV,1、2号升压变为3卷变高压110kV、中压35kV，110kV、35kV均是单母线，110kV出线3回，35kV出线3回其中1回备用，3台升压变容量均为10000kVA</w:t>
      </w:r>
      <w:r>
        <w:rPr>
          <w:rFonts w:hint="eastAsia" w:hAnsi="宋体" w:cs="Times New Roman"/>
          <w:color w:val="auto"/>
          <w:sz w:val="24"/>
          <w:szCs w:val="24"/>
          <w:lang w:eastAsia="zh-CN"/>
        </w:rPr>
        <w:t>。</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sz w:val="24"/>
          <w:szCs w:val="24"/>
        </w:rPr>
      </w:pPr>
      <w:r>
        <w:rPr>
          <w:rFonts w:hint="eastAsia" w:ascii="宋体" w:hAnsi="宋体" w:cs="宋体"/>
          <w:color w:val="auto"/>
          <w:sz w:val="24"/>
          <w:szCs w:val="24"/>
        </w:rPr>
        <w:t>4 格雷二级电站</w:t>
      </w:r>
    </w:p>
    <w:p>
      <w:pPr>
        <w:pStyle w:val="7"/>
        <w:adjustRightInd w:val="0"/>
        <w:snapToGrid w:val="0"/>
        <w:spacing w:line="360" w:lineRule="auto"/>
        <w:ind w:firstLine="480" w:firstLineChars="200"/>
        <w:rPr>
          <w:rFonts w:hint="eastAsia" w:ascii="宋体" w:hAnsi="宋体" w:cs="宋体"/>
          <w:color w:val="auto"/>
          <w:sz w:val="24"/>
          <w:szCs w:val="24"/>
        </w:rPr>
      </w:pPr>
      <w:r>
        <w:rPr>
          <w:rFonts w:hint="eastAsia" w:hAnsi="宋体" w:cs="Times New Roman"/>
          <w:color w:val="auto"/>
          <w:sz w:val="24"/>
          <w:szCs w:val="24"/>
        </w:rPr>
        <w:t>格雷二级水电站：格雷二级水电站位于丘北县中寨村，距丘北县城区约65km，距文山城区156km。装机容量16000k</w:t>
      </w:r>
      <w:r>
        <w:rPr>
          <w:rFonts w:hAnsi="宋体" w:cs="Times New Roman"/>
          <w:color w:val="auto"/>
          <w:sz w:val="24"/>
          <w:szCs w:val="24"/>
        </w:rPr>
        <w:t>W</w:t>
      </w:r>
      <w:r>
        <w:rPr>
          <w:rFonts w:hint="eastAsia" w:hAnsi="宋体" w:cs="Times New Roman"/>
          <w:color w:val="auto"/>
          <w:sz w:val="24"/>
          <w:szCs w:val="24"/>
        </w:rPr>
        <w:t>（2×8000k</w:t>
      </w:r>
      <w:r>
        <w:rPr>
          <w:rFonts w:hAnsi="宋体" w:cs="Times New Roman"/>
          <w:color w:val="auto"/>
          <w:sz w:val="24"/>
          <w:szCs w:val="24"/>
        </w:rPr>
        <w:t>W</w:t>
      </w:r>
      <w:r>
        <w:rPr>
          <w:rFonts w:hint="eastAsia" w:hAnsi="宋体" w:cs="Times New Roman"/>
          <w:color w:val="auto"/>
          <w:sz w:val="24"/>
          <w:szCs w:val="24"/>
        </w:rPr>
        <w:t>），设计年发电利用小时数为4900小时，电站经两台6.3/</w:t>
      </w:r>
      <w:r>
        <w:rPr>
          <w:rFonts w:hAnsi="宋体" w:cs="Times New Roman"/>
          <w:color w:val="auto"/>
          <w:sz w:val="24"/>
          <w:szCs w:val="24"/>
        </w:rPr>
        <w:t>110</w:t>
      </w:r>
      <w:r>
        <w:rPr>
          <w:rFonts w:hint="eastAsia" w:hAnsi="宋体" w:cs="Times New Roman"/>
          <w:color w:val="auto"/>
          <w:sz w:val="24"/>
          <w:szCs w:val="24"/>
        </w:rPr>
        <w:t>k</w:t>
      </w:r>
      <w:r>
        <w:rPr>
          <w:rFonts w:hAnsi="宋体" w:cs="Times New Roman"/>
          <w:color w:val="auto"/>
          <w:sz w:val="24"/>
          <w:szCs w:val="24"/>
        </w:rPr>
        <w:t>V</w:t>
      </w:r>
      <w:r>
        <w:rPr>
          <w:rFonts w:hint="eastAsia" w:hAnsi="宋体" w:cs="Times New Roman"/>
          <w:color w:val="auto"/>
          <w:sz w:val="24"/>
          <w:szCs w:val="24"/>
        </w:rPr>
        <w:t>容量10000k</w:t>
      </w:r>
      <w:r>
        <w:rPr>
          <w:rFonts w:hAnsi="宋体" w:cs="Times New Roman"/>
          <w:color w:val="auto"/>
          <w:sz w:val="24"/>
          <w:szCs w:val="24"/>
        </w:rPr>
        <w:t>V</w:t>
      </w:r>
      <w:r>
        <w:rPr>
          <w:rFonts w:hint="eastAsia" w:hAnsi="宋体" w:cs="Times New Roman"/>
          <w:color w:val="auto"/>
          <w:sz w:val="24"/>
          <w:szCs w:val="24"/>
        </w:rPr>
        <w:t>A的升压变升压至110k</w:t>
      </w:r>
      <w:r>
        <w:rPr>
          <w:rFonts w:hAnsi="宋体" w:cs="Times New Roman"/>
          <w:color w:val="auto"/>
          <w:sz w:val="24"/>
          <w:szCs w:val="24"/>
        </w:rPr>
        <w:t>V</w:t>
      </w:r>
      <w:r>
        <w:rPr>
          <w:rFonts w:hint="eastAsia" w:hAnsi="宋体" w:cs="Times New Roman"/>
          <w:color w:val="auto"/>
          <w:sz w:val="24"/>
          <w:szCs w:val="24"/>
        </w:rPr>
        <w:t>，1机1变发变组接线，110kV母线为单母接线，三回110k</w:t>
      </w:r>
      <w:r>
        <w:rPr>
          <w:rFonts w:hAnsi="宋体" w:cs="Times New Roman"/>
          <w:color w:val="auto"/>
          <w:sz w:val="24"/>
          <w:szCs w:val="24"/>
        </w:rPr>
        <w:t>V</w:t>
      </w:r>
      <w:r>
        <w:rPr>
          <w:rFonts w:hint="eastAsia" w:hAnsi="宋体" w:cs="Times New Roman"/>
          <w:color w:val="auto"/>
          <w:sz w:val="24"/>
          <w:szCs w:val="24"/>
        </w:rPr>
        <w:t>出线接入电网，分别为110kV格乐线（主用）、110kV格小线（备用）、110kV格石线（备用）。</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sz w:val="24"/>
          <w:szCs w:val="24"/>
        </w:rPr>
      </w:pPr>
      <w:r>
        <w:rPr>
          <w:rFonts w:hint="eastAsia" w:ascii="宋体" w:hAnsi="宋体" w:cs="宋体"/>
          <w:color w:val="auto"/>
          <w:sz w:val="24"/>
          <w:szCs w:val="24"/>
        </w:rPr>
        <w:t>5 格雷一级电站</w:t>
      </w:r>
    </w:p>
    <w:p>
      <w:pPr>
        <w:pStyle w:val="7"/>
        <w:adjustRightInd w:val="0"/>
        <w:snapToGrid w:val="0"/>
        <w:spacing w:line="360" w:lineRule="auto"/>
        <w:ind w:firstLine="480" w:firstLineChars="200"/>
        <w:rPr>
          <w:rFonts w:hAnsi="宋体" w:cs="Times New Roman"/>
          <w:color w:val="auto"/>
          <w:sz w:val="24"/>
          <w:szCs w:val="24"/>
        </w:rPr>
      </w:pPr>
      <w:r>
        <w:rPr>
          <w:rFonts w:hint="eastAsia" w:hAnsi="宋体" w:cs="Times New Roman"/>
          <w:color w:val="auto"/>
          <w:sz w:val="24"/>
          <w:szCs w:val="24"/>
        </w:rPr>
        <w:t>格雷一级发电厂位于丘北县平寨乡，中寨村，距丘北县城区46km。装机容量7500k</w:t>
      </w:r>
      <w:r>
        <w:rPr>
          <w:rFonts w:hAnsi="宋体" w:cs="Times New Roman"/>
          <w:color w:val="auto"/>
          <w:sz w:val="24"/>
          <w:szCs w:val="24"/>
        </w:rPr>
        <w:t>W</w:t>
      </w:r>
      <w:r>
        <w:rPr>
          <w:rFonts w:hint="eastAsia" w:hAnsi="宋体" w:cs="Times New Roman"/>
          <w:color w:val="auto"/>
          <w:sz w:val="24"/>
          <w:szCs w:val="24"/>
        </w:rPr>
        <w:t>（3×2500k</w:t>
      </w:r>
      <w:r>
        <w:rPr>
          <w:rFonts w:hAnsi="宋体" w:cs="Times New Roman"/>
          <w:color w:val="auto"/>
          <w:sz w:val="24"/>
          <w:szCs w:val="24"/>
        </w:rPr>
        <w:t>W</w:t>
      </w:r>
      <w:r>
        <w:rPr>
          <w:rFonts w:hint="eastAsia" w:hAnsi="宋体" w:cs="Times New Roman"/>
          <w:color w:val="auto"/>
          <w:sz w:val="24"/>
          <w:szCs w:val="24"/>
        </w:rPr>
        <w:t>），年发电利用小时数为4267小时，发电厂经两台6.3/35k</w:t>
      </w:r>
      <w:r>
        <w:rPr>
          <w:rFonts w:hAnsi="宋体" w:cs="Times New Roman"/>
          <w:color w:val="auto"/>
          <w:sz w:val="24"/>
          <w:szCs w:val="24"/>
        </w:rPr>
        <w:t>V</w:t>
      </w:r>
      <w:r>
        <w:rPr>
          <w:rFonts w:hint="eastAsia" w:hAnsi="宋体" w:cs="Times New Roman"/>
          <w:color w:val="auto"/>
          <w:sz w:val="24"/>
          <w:szCs w:val="24"/>
        </w:rPr>
        <w:t>主变升压至35k</w:t>
      </w:r>
      <w:r>
        <w:rPr>
          <w:rFonts w:hAnsi="宋体" w:cs="Times New Roman"/>
          <w:color w:val="auto"/>
          <w:sz w:val="24"/>
          <w:szCs w:val="24"/>
        </w:rPr>
        <w:t>V</w:t>
      </w:r>
      <w:r>
        <w:rPr>
          <w:rFonts w:hint="eastAsia" w:hAnsi="宋体" w:cs="Times New Roman"/>
          <w:color w:val="auto"/>
          <w:sz w:val="24"/>
          <w:szCs w:val="24"/>
        </w:rPr>
        <w:t>母线，单母线接线两进两出，#1主变6300k</w:t>
      </w:r>
      <w:r>
        <w:rPr>
          <w:rFonts w:hAnsi="宋体" w:cs="Times New Roman"/>
          <w:color w:val="auto"/>
          <w:sz w:val="24"/>
          <w:szCs w:val="24"/>
        </w:rPr>
        <w:t>V</w:t>
      </w:r>
      <w:r>
        <w:rPr>
          <w:rFonts w:hint="eastAsia" w:hAnsi="宋体" w:cs="Times New Roman"/>
          <w:color w:val="auto"/>
          <w:sz w:val="24"/>
          <w:szCs w:val="24"/>
        </w:rPr>
        <w:t>A接1#、#2机，#2主变3150k</w:t>
      </w:r>
      <w:r>
        <w:rPr>
          <w:rFonts w:hAnsi="宋体" w:cs="Times New Roman"/>
          <w:color w:val="auto"/>
          <w:sz w:val="24"/>
          <w:szCs w:val="24"/>
        </w:rPr>
        <w:t>V</w:t>
      </w:r>
      <w:r>
        <w:rPr>
          <w:rFonts w:hint="eastAsia" w:hAnsi="宋体" w:cs="Times New Roman"/>
          <w:color w:val="auto"/>
          <w:sz w:val="24"/>
          <w:szCs w:val="24"/>
        </w:rPr>
        <w:t>A接#3机，35k</w:t>
      </w:r>
      <w:r>
        <w:rPr>
          <w:rFonts w:hAnsi="宋体" w:cs="Times New Roman"/>
          <w:color w:val="auto"/>
          <w:sz w:val="24"/>
          <w:szCs w:val="24"/>
        </w:rPr>
        <w:t>V</w:t>
      </w:r>
      <w:r>
        <w:rPr>
          <w:rFonts w:hint="eastAsia" w:hAnsi="宋体" w:cs="Times New Roman"/>
          <w:color w:val="auto"/>
          <w:sz w:val="24"/>
          <w:szCs w:val="24"/>
        </w:rPr>
        <w:t>一回送35kV乐利变并入云南电网，另一回送至35k</w:t>
      </w:r>
      <w:r>
        <w:rPr>
          <w:rFonts w:hAnsi="宋体" w:cs="Times New Roman"/>
          <w:color w:val="auto"/>
          <w:sz w:val="24"/>
          <w:szCs w:val="24"/>
        </w:rPr>
        <w:t>V</w:t>
      </w:r>
      <w:r>
        <w:rPr>
          <w:rFonts w:hint="eastAsia" w:hAnsi="宋体" w:cs="Times New Roman"/>
          <w:color w:val="auto"/>
          <w:sz w:val="24"/>
          <w:szCs w:val="24"/>
        </w:rPr>
        <w:t>清水江变。另有6.3/10k</w:t>
      </w:r>
      <w:r>
        <w:rPr>
          <w:rFonts w:hAnsi="宋体" w:cs="Times New Roman"/>
          <w:color w:val="auto"/>
          <w:sz w:val="24"/>
          <w:szCs w:val="24"/>
        </w:rPr>
        <w:t>V</w:t>
      </w:r>
      <w:r>
        <w:rPr>
          <w:rFonts w:hint="eastAsia" w:hAnsi="宋体" w:cs="Times New Roman"/>
          <w:color w:val="auto"/>
          <w:sz w:val="24"/>
          <w:szCs w:val="24"/>
        </w:rPr>
        <w:t>，630k</w:t>
      </w:r>
      <w:r>
        <w:rPr>
          <w:rFonts w:hAnsi="宋体" w:cs="Times New Roman"/>
          <w:color w:val="auto"/>
          <w:sz w:val="24"/>
          <w:szCs w:val="24"/>
        </w:rPr>
        <w:t>V</w:t>
      </w:r>
      <w:r>
        <w:rPr>
          <w:rFonts w:hint="eastAsia" w:hAnsi="宋体" w:cs="Times New Roman"/>
          <w:color w:val="auto"/>
          <w:sz w:val="24"/>
          <w:szCs w:val="24"/>
        </w:rPr>
        <w:t>A的近区变压器2台，主要供大坝、的米、布凹、格雷和布红等村寨用电。</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sz w:val="24"/>
          <w:szCs w:val="24"/>
        </w:rPr>
      </w:pPr>
      <w:r>
        <w:rPr>
          <w:rFonts w:hint="eastAsia" w:ascii="宋体" w:hAnsi="宋体" w:cs="宋体"/>
          <w:color w:val="auto"/>
          <w:sz w:val="24"/>
          <w:szCs w:val="24"/>
        </w:rPr>
        <w:t>6 官寨电站</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sz w:val="24"/>
          <w:szCs w:val="24"/>
        </w:rPr>
      </w:pPr>
      <w:r>
        <w:rPr>
          <w:rFonts w:hint="eastAsia" w:hAnsi="宋体" w:cs="Times New Roman"/>
          <w:color w:val="auto"/>
          <w:sz w:val="24"/>
          <w:szCs w:val="24"/>
        </w:rPr>
        <w:t>官寨发电厂位于丘北县城西北官寨河左岸，距离县城</w:t>
      </w:r>
      <w:r>
        <w:rPr>
          <w:rFonts w:hAnsi="宋体" w:cs="Times New Roman"/>
          <w:color w:val="auto"/>
          <w:sz w:val="24"/>
          <w:szCs w:val="24"/>
        </w:rPr>
        <w:t>51</w:t>
      </w:r>
      <w:r>
        <w:rPr>
          <w:rFonts w:hint="eastAsia" w:hAnsi="宋体" w:cs="Times New Roman"/>
          <w:color w:val="auto"/>
          <w:sz w:val="24"/>
          <w:szCs w:val="24"/>
        </w:rPr>
        <w:t>公里</w:t>
      </w:r>
      <w:r>
        <w:rPr>
          <w:rFonts w:hint="eastAsia" w:ascii="宋体" w:hAnsi="宋体" w:cs="宋体"/>
          <w:color w:val="auto"/>
          <w:sz w:val="24"/>
          <w:szCs w:val="24"/>
        </w:rPr>
        <w:t>。</w:t>
      </w:r>
      <w:r>
        <w:rPr>
          <w:rFonts w:hint="eastAsia" w:hAnsi="宋体" w:cs="Times New Roman"/>
          <w:color w:val="auto"/>
          <w:sz w:val="24"/>
          <w:szCs w:val="24"/>
        </w:rPr>
        <w:t>官寨</w:t>
      </w:r>
      <w:r>
        <w:rPr>
          <w:rFonts w:hint="eastAsia" w:hAnsi="宋体" w:cs="Times New Roman"/>
          <w:color w:val="auto"/>
          <w:sz w:val="24"/>
          <w:szCs w:val="24"/>
          <w:lang w:val="en-US" w:eastAsia="zh-CN"/>
        </w:rPr>
        <w:t>电站</w:t>
      </w:r>
      <w:r>
        <w:rPr>
          <w:rFonts w:hint="eastAsia" w:hAnsi="宋体" w:cs="Times New Roman"/>
          <w:color w:val="auto"/>
          <w:sz w:val="24"/>
          <w:szCs w:val="24"/>
        </w:rPr>
        <w:t>厂站合一，厂站合一采用扩大单元接线方式，升压站35</w:t>
      </w:r>
      <w:r>
        <w:rPr>
          <w:rFonts w:hAnsi="宋体" w:cs="Times New Roman"/>
          <w:color w:val="auto"/>
          <w:sz w:val="24"/>
          <w:szCs w:val="24"/>
        </w:rPr>
        <w:t>k</w:t>
      </w:r>
      <w:r>
        <w:rPr>
          <w:rFonts w:hint="eastAsia" w:hAnsi="宋体" w:cs="Times New Roman"/>
          <w:color w:val="auto"/>
          <w:sz w:val="24"/>
          <w:szCs w:val="24"/>
        </w:rPr>
        <w:t>V为单母线接线，10</w:t>
      </w:r>
      <w:r>
        <w:rPr>
          <w:rFonts w:hAnsi="宋体" w:cs="Times New Roman"/>
          <w:color w:val="auto"/>
          <w:sz w:val="24"/>
          <w:szCs w:val="24"/>
        </w:rPr>
        <w:t>k</w:t>
      </w:r>
      <w:r>
        <w:rPr>
          <w:rFonts w:hint="eastAsia" w:hAnsi="宋体" w:cs="Times New Roman"/>
          <w:color w:val="auto"/>
          <w:sz w:val="24"/>
          <w:szCs w:val="24"/>
        </w:rPr>
        <w:t>V为单母线分段接线，</w:t>
      </w:r>
      <w:r>
        <w:rPr>
          <w:rFonts w:hAnsi="宋体" w:cs="Times New Roman"/>
          <w:color w:val="auto"/>
          <w:sz w:val="24"/>
          <w:szCs w:val="24"/>
        </w:rPr>
        <w:t>#1</w:t>
      </w:r>
      <w:r>
        <w:rPr>
          <w:rFonts w:hint="eastAsia" w:hAnsi="宋体" w:cs="Times New Roman"/>
          <w:color w:val="auto"/>
          <w:sz w:val="24"/>
          <w:szCs w:val="24"/>
        </w:rPr>
        <w:t>号主变容量8000</w:t>
      </w:r>
      <w:r>
        <w:rPr>
          <w:rFonts w:hAnsi="宋体" w:cs="Times New Roman"/>
          <w:color w:val="auto"/>
          <w:sz w:val="24"/>
          <w:szCs w:val="24"/>
        </w:rPr>
        <w:t xml:space="preserve">kVA, </w:t>
      </w:r>
      <w:r>
        <w:rPr>
          <w:rFonts w:hint="eastAsia" w:hAnsi="宋体" w:cs="Times New Roman"/>
          <w:color w:val="auto"/>
          <w:sz w:val="24"/>
          <w:szCs w:val="24"/>
        </w:rPr>
        <w:t>2#主变25</w:t>
      </w:r>
      <w:r>
        <w:rPr>
          <w:rFonts w:hAnsi="宋体" w:cs="Times New Roman"/>
          <w:color w:val="auto"/>
          <w:sz w:val="24"/>
          <w:szCs w:val="24"/>
        </w:rPr>
        <w:t>00kVA, 35kV</w:t>
      </w:r>
      <w:r>
        <w:rPr>
          <w:rFonts w:hint="eastAsia" w:hAnsi="宋体" w:cs="Times New Roman"/>
          <w:color w:val="auto"/>
          <w:sz w:val="24"/>
          <w:szCs w:val="24"/>
        </w:rPr>
        <w:t>线路三条，即35kV官寨发电厂至马鞍山变电站； 35kV官寨发电厂至戈寒变电站； 35kV官寨发电厂至小秧补电站。10</w:t>
      </w:r>
      <w:r>
        <w:rPr>
          <w:rFonts w:hAnsi="宋体" w:cs="Times New Roman"/>
          <w:color w:val="auto"/>
          <w:sz w:val="24"/>
          <w:szCs w:val="24"/>
        </w:rPr>
        <w:t>k</w:t>
      </w:r>
      <w:r>
        <w:rPr>
          <w:rFonts w:hint="eastAsia" w:hAnsi="宋体" w:cs="Times New Roman"/>
          <w:color w:val="auto"/>
          <w:sz w:val="24"/>
          <w:szCs w:val="24"/>
        </w:rPr>
        <w:t>V线路五条，即10kV官寨线路；10kV水头线路；10kV秧补线路；10kV禹王线路；10kV飞土线路。</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sz w:val="24"/>
          <w:szCs w:val="24"/>
        </w:rPr>
      </w:pPr>
      <w:r>
        <w:rPr>
          <w:rFonts w:hint="eastAsia" w:ascii="宋体" w:hAnsi="宋体" w:cs="宋体"/>
          <w:color w:val="auto"/>
          <w:sz w:val="24"/>
          <w:szCs w:val="24"/>
        </w:rPr>
        <w:t>7 木垢电站</w:t>
      </w:r>
    </w:p>
    <w:p>
      <w:pPr>
        <w:keepNext w:val="0"/>
        <w:keepLines w:val="0"/>
        <w:pageBreakBefore w:val="0"/>
        <w:widowControl/>
        <w:tabs>
          <w:tab w:val="left" w:pos="630"/>
        </w:tabs>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 w:val="24"/>
          <w:szCs w:val="24"/>
          <w:lang w:eastAsia="zh-CN"/>
        </w:rPr>
      </w:pPr>
      <w:r>
        <w:rPr>
          <w:rFonts w:hint="eastAsia" w:hAnsi="宋体" w:cs="Times New Roman"/>
          <w:color w:val="auto"/>
          <w:sz w:val="24"/>
          <w:szCs w:val="24"/>
        </w:rPr>
        <w:t>木垢发电厂距富宁县城距离约 55 公里，属云南省文山州富宁县花甲乡木垢村</w:t>
      </w:r>
      <w:r>
        <w:rPr>
          <w:rFonts w:hint="eastAsia" w:ascii="宋体" w:hAnsi="宋体" w:cs="宋体"/>
          <w:color w:val="auto"/>
          <w:sz w:val="24"/>
          <w:szCs w:val="24"/>
        </w:rPr>
        <w:t>。</w:t>
      </w:r>
      <w:r>
        <w:rPr>
          <w:rFonts w:hint="eastAsia" w:hAnsi="宋体" w:cs="Times New Roman"/>
          <w:color w:val="auto"/>
          <w:sz w:val="24"/>
          <w:szCs w:val="24"/>
        </w:rPr>
        <w:t>装机4800kW（2×2400kW），发变组接线，主变容量 2×3150kVA，35kV单母线，两回35kV出线，35k</w:t>
      </w:r>
      <w:r>
        <w:rPr>
          <w:rFonts w:hAnsi="宋体" w:cs="Times New Roman"/>
          <w:color w:val="auto"/>
          <w:sz w:val="24"/>
          <w:szCs w:val="24"/>
        </w:rPr>
        <w:t>V</w:t>
      </w:r>
      <w:r>
        <w:rPr>
          <w:rFonts w:hint="eastAsia" w:hAnsi="宋体" w:cs="Times New Roman"/>
          <w:color w:val="auto"/>
          <w:sz w:val="24"/>
          <w:szCs w:val="24"/>
        </w:rPr>
        <w:t>木富线至富宁城区变，35kV木木花阿线至花甲变、阿用变</w:t>
      </w:r>
      <w:r>
        <w:rPr>
          <w:rFonts w:hint="eastAsia" w:hAnsi="宋体" w:cs="Times New Roman"/>
          <w:color w:val="auto"/>
          <w:sz w:val="24"/>
          <w:szCs w:val="24"/>
          <w:lang w:eastAsia="zh-CN"/>
        </w:rPr>
        <w:t>。</w:t>
      </w:r>
    </w:p>
    <w:p>
      <w:pPr>
        <w:pStyle w:val="4"/>
        <w:keepNext w:val="0"/>
        <w:keepLines w:val="0"/>
        <w:pageBreakBefore w:val="0"/>
        <w:widowControl/>
        <w:numPr>
          <w:ilvl w:val="0"/>
          <w:numId w:val="3"/>
        </w:numPr>
        <w:tabs>
          <w:tab w:val="clear" w:pos="720"/>
        </w:tabs>
        <w:kinsoku/>
        <w:wordWrap/>
        <w:overflowPunct/>
        <w:topLinePunct w:val="0"/>
        <w:autoSpaceDE/>
        <w:autoSpaceDN/>
        <w:bidi w:val="0"/>
        <w:spacing w:before="156" w:beforeLines="50" w:beforeAutospacing="0" w:afterAutospacing="0"/>
        <w:ind w:left="0" w:firstLine="0" w:firstLineChars="0"/>
        <w:contextualSpacing/>
        <w:textAlignment w:val="auto"/>
        <w:outlineLvl w:val="0"/>
        <w:rPr>
          <w:rFonts w:ascii="宋体" w:hAnsi="宋体" w:cs="宋体"/>
          <w:b/>
          <w:color w:val="auto"/>
        </w:rPr>
      </w:pPr>
      <w:r>
        <w:rPr>
          <w:rFonts w:hint="eastAsia" w:ascii="宋体" w:hAnsi="宋体" w:cs="宋体"/>
          <w:b/>
          <w:color w:val="auto"/>
        </w:rPr>
        <w:t>技术依据</w:t>
      </w:r>
    </w:p>
    <w:p>
      <w:pPr>
        <w:pStyle w:val="4"/>
        <w:keepNext w:val="0"/>
        <w:keepLines w:val="0"/>
        <w:pageBreakBefore w:val="0"/>
        <w:widowControl/>
        <w:tabs>
          <w:tab w:val="left" w:pos="142"/>
        </w:tabs>
        <w:kinsoku/>
        <w:wordWrap/>
        <w:overflowPunct/>
        <w:topLinePunct w:val="0"/>
        <w:autoSpaceDE/>
        <w:autoSpaceDN/>
        <w:bidi w:val="0"/>
        <w:spacing w:before="156" w:beforeLines="50" w:beforeAutospacing="0" w:afterAutospacing="0"/>
        <w:ind w:firstLine="480"/>
        <w:contextualSpacing/>
        <w:textAlignment w:val="auto"/>
        <w:outlineLvl w:val="0"/>
        <w:rPr>
          <w:rFonts w:hint="eastAsia" w:ascii="宋体" w:hAnsi="宋体" w:cs="宋体"/>
          <w:color w:val="auto"/>
        </w:rPr>
      </w:pPr>
      <w:r>
        <w:rPr>
          <w:rFonts w:hint="eastAsia" w:ascii="宋体" w:hAnsi="宋体" w:cs="宋体"/>
          <w:color w:val="auto"/>
        </w:rPr>
        <w:t>本项目根据继电保护规程及有关规定，符合相关标准、规范或法规最新版本的要求，满足下列文件要求（但不局限于此）：</w:t>
      </w:r>
    </w:p>
    <w:p>
      <w:pPr>
        <w:widowControl/>
        <w:spacing w:line="360" w:lineRule="auto"/>
        <w:ind w:firstLine="480" w:firstLineChars="200"/>
        <w:jc w:val="left"/>
        <w:rPr>
          <w:rFonts w:hint="eastAsia" w:ascii="宋体" w:hAnsi="宋体" w:eastAsia="宋体" w:cs="宋体"/>
          <w:color w:val="auto"/>
          <w:kern w:val="2"/>
          <w:sz w:val="24"/>
          <w:szCs w:val="24"/>
          <w:lang w:val="en-US" w:eastAsia="zh-CN" w:bidi="ar-SA"/>
        </w:rPr>
      </w:pPr>
      <w:bookmarkStart w:id="0" w:name="_Toc269934897"/>
      <w:bookmarkStart w:id="1" w:name="_Toc306972158"/>
      <w:bookmarkStart w:id="2" w:name="_Toc469233318"/>
      <w:r>
        <w:rPr>
          <w:rFonts w:hint="eastAsia" w:ascii="宋体" w:hAnsi="宋体" w:eastAsia="宋体" w:cs="宋体"/>
          <w:color w:val="auto"/>
          <w:kern w:val="2"/>
          <w:sz w:val="24"/>
          <w:szCs w:val="24"/>
          <w:lang w:val="en-US" w:eastAsia="zh-CN" w:bidi="ar-SA"/>
        </w:rPr>
        <w:t>《微机型防止电气误操作装置通用技术条件》</w:t>
      </w:r>
    </w:p>
    <w:p>
      <w:pPr>
        <w:widowControl/>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《继电保护设备信息接口配套标准》</w:t>
      </w:r>
    </w:p>
    <w:p>
      <w:pPr>
        <w:widowControl/>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《发电厂、变电所二次接线设计技术规程》</w:t>
      </w:r>
    </w:p>
    <w:p>
      <w:pPr>
        <w:widowControl/>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《电力系统继电保护及安全自动装置反事故措施要点》</w:t>
      </w:r>
    </w:p>
    <w:p>
      <w:pPr>
        <w:widowControl/>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《南方电网公司变电站防止电气误操作闭锁装置技术规范》</w:t>
      </w:r>
    </w:p>
    <w:p>
      <w:pPr>
        <w:widowControl/>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《云南储能有限公司防误闭锁管理业务指导书》</w:t>
      </w:r>
    </w:p>
    <w:bookmarkEnd w:id="0"/>
    <w:bookmarkEnd w:id="1"/>
    <w:bookmarkEnd w:id="2"/>
    <w:p>
      <w:pPr>
        <w:pStyle w:val="4"/>
        <w:keepNext w:val="0"/>
        <w:keepLines w:val="0"/>
        <w:pageBreakBefore w:val="0"/>
        <w:widowControl/>
        <w:tabs>
          <w:tab w:val="left" w:pos="142"/>
        </w:tabs>
        <w:kinsoku/>
        <w:wordWrap/>
        <w:overflowPunct/>
        <w:topLinePunct w:val="0"/>
        <w:autoSpaceDE/>
        <w:autoSpaceDN/>
        <w:bidi w:val="0"/>
        <w:spacing w:before="156" w:beforeLines="50" w:beforeAutospacing="0" w:afterAutospacing="0"/>
        <w:ind w:firstLine="480"/>
        <w:contextualSpacing/>
        <w:textAlignment w:val="auto"/>
        <w:outlineLvl w:val="0"/>
        <w:rPr>
          <w:rFonts w:hint="eastAsia" w:ascii="宋体" w:hAnsi="宋体" w:eastAsia="宋体" w:cs="宋体"/>
          <w:color w:val="auto"/>
          <w:kern w:val="2"/>
          <w:sz w:val="24"/>
          <w:szCs w:val="24"/>
          <w:lang w:val="en-US" w:eastAsia="zh-CN" w:bidi="ar-SA"/>
        </w:rPr>
      </w:pPr>
    </w:p>
    <w:p>
      <w:pPr>
        <w:pStyle w:val="4"/>
        <w:keepNext w:val="0"/>
        <w:keepLines w:val="0"/>
        <w:pageBreakBefore w:val="0"/>
        <w:widowControl/>
        <w:numPr>
          <w:ilvl w:val="0"/>
          <w:numId w:val="3"/>
        </w:numPr>
        <w:tabs>
          <w:tab w:val="clear" w:pos="720"/>
        </w:tabs>
        <w:kinsoku/>
        <w:wordWrap/>
        <w:overflowPunct/>
        <w:topLinePunct w:val="0"/>
        <w:autoSpaceDE/>
        <w:autoSpaceDN/>
        <w:bidi w:val="0"/>
        <w:spacing w:before="156" w:beforeLines="50" w:beforeAutospacing="0" w:afterAutospacing="0"/>
        <w:ind w:left="0" w:firstLine="0" w:firstLineChars="0"/>
        <w:contextualSpacing/>
        <w:textAlignment w:val="auto"/>
        <w:outlineLvl w:val="0"/>
        <w:rPr>
          <w:rFonts w:ascii="宋体" w:hAnsi="宋体" w:cs="宋体"/>
          <w:b/>
          <w:color w:val="auto"/>
        </w:rPr>
      </w:pPr>
      <w:r>
        <w:rPr>
          <w:rFonts w:hint="eastAsia" w:ascii="宋体" w:hAnsi="宋体" w:cs="宋体"/>
          <w:b/>
          <w:color w:val="auto"/>
        </w:rPr>
        <w:t>工作范围</w:t>
      </w:r>
    </w:p>
    <w:p>
      <w:pPr>
        <w:pStyle w:val="4"/>
        <w:keepNext w:val="0"/>
        <w:keepLines w:val="0"/>
        <w:pageBreakBefore w:val="0"/>
        <w:widowControl/>
        <w:tabs>
          <w:tab w:val="left" w:pos="142"/>
        </w:tabs>
        <w:kinsoku/>
        <w:wordWrap/>
        <w:overflowPunct/>
        <w:topLinePunct w:val="0"/>
        <w:autoSpaceDE/>
        <w:autoSpaceDN/>
        <w:bidi w:val="0"/>
        <w:spacing w:before="156" w:beforeLines="50" w:beforeAutospacing="0" w:afterAutospacing="0"/>
        <w:ind w:firstLine="482"/>
        <w:contextualSpacing/>
        <w:textAlignment w:val="auto"/>
        <w:outlineLvl w:val="0"/>
        <w:rPr>
          <w:rFonts w:ascii="宋体" w:hAnsi="宋体" w:cs="宋体"/>
          <w:b/>
          <w:bCs/>
          <w:color w:val="auto"/>
        </w:rPr>
      </w:pPr>
      <w:r>
        <w:rPr>
          <w:rFonts w:hint="eastAsia" w:ascii="宋体" w:hAnsi="宋体" w:cs="宋体"/>
          <w:b/>
          <w:bCs/>
          <w:color w:val="auto"/>
          <w:lang w:val="en-US" w:eastAsia="zh-CN"/>
        </w:rPr>
        <w:t>3</w:t>
      </w:r>
      <w:r>
        <w:rPr>
          <w:rFonts w:ascii="宋体" w:hAnsi="宋体" w:cs="宋体"/>
          <w:b/>
          <w:bCs/>
          <w:color w:val="auto"/>
        </w:rPr>
        <w:t>.1</w:t>
      </w:r>
      <w:r>
        <w:rPr>
          <w:rFonts w:hint="eastAsia" w:ascii="宋体" w:hAnsi="宋体" w:cs="宋体"/>
          <w:b/>
          <w:bCs/>
          <w:color w:val="auto"/>
        </w:rPr>
        <w:t xml:space="preserve"> </w:t>
      </w:r>
      <w:r>
        <w:rPr>
          <w:rFonts w:ascii="宋体" w:hAnsi="宋体" w:cs="宋体"/>
          <w:b/>
          <w:bCs/>
          <w:color w:val="auto"/>
        </w:rPr>
        <w:t>参数收集</w:t>
      </w:r>
    </w:p>
    <w:p>
      <w:pPr>
        <w:pStyle w:val="4"/>
        <w:keepNext w:val="0"/>
        <w:keepLines w:val="0"/>
        <w:pageBreakBefore w:val="0"/>
        <w:widowControl/>
        <w:tabs>
          <w:tab w:val="left" w:pos="142"/>
        </w:tabs>
        <w:kinsoku/>
        <w:wordWrap/>
        <w:overflowPunct/>
        <w:topLinePunct w:val="0"/>
        <w:autoSpaceDE/>
        <w:autoSpaceDN/>
        <w:bidi w:val="0"/>
        <w:spacing w:before="156" w:beforeLines="50" w:beforeAutospacing="0" w:afterAutospacing="0"/>
        <w:ind w:firstLine="480"/>
        <w:contextualSpacing/>
        <w:textAlignment w:val="auto"/>
        <w:outlineLvl w:val="0"/>
        <w:rPr>
          <w:rFonts w:hint="default" w:ascii="宋体" w:hAnsi="宋体" w:eastAsia="宋体" w:cs="宋体"/>
          <w:color w:val="auto"/>
          <w:lang w:val="en-US" w:eastAsia="zh-CN"/>
        </w:rPr>
      </w:pPr>
      <w:r>
        <w:rPr>
          <w:rFonts w:hint="eastAsia" w:ascii="宋体" w:hAnsi="宋体" w:cs="宋体"/>
          <w:color w:val="auto"/>
          <w:sz w:val="24"/>
          <w:szCs w:val="24"/>
        </w:rPr>
        <w:t>收集</w:t>
      </w:r>
      <w:r>
        <w:rPr>
          <w:rFonts w:hint="eastAsia" w:ascii="宋体" w:hAnsi="宋体" w:cs="宋体"/>
          <w:color w:val="auto"/>
          <w:sz w:val="24"/>
          <w:szCs w:val="24"/>
          <w:lang w:val="en-US" w:eastAsia="zh-CN"/>
        </w:rPr>
        <w:t>南汀河、落水洞、小河沟、格雷一级、格雷二级、官寨、木垢、电站的</w:t>
      </w:r>
      <w:r>
        <w:rPr>
          <w:rFonts w:hint="eastAsia" w:ascii="宋体" w:hAnsi="宋体" w:cs="宋体"/>
          <w:color w:val="auto"/>
          <w:sz w:val="24"/>
          <w:szCs w:val="24"/>
          <w:lang w:eastAsia="zh-CN"/>
        </w:rPr>
        <w:t>五防</w:t>
      </w:r>
      <w:r>
        <w:rPr>
          <w:rFonts w:hint="eastAsia" w:ascii="宋体" w:hAnsi="宋体" w:cs="宋体"/>
          <w:color w:val="auto"/>
          <w:sz w:val="24"/>
          <w:szCs w:val="24"/>
        </w:rPr>
        <w:t>系统参数和设备</w:t>
      </w:r>
      <w:r>
        <w:rPr>
          <w:rFonts w:hint="eastAsia" w:ascii="宋体" w:hAnsi="宋体" w:cs="宋体"/>
          <w:color w:val="auto"/>
          <w:sz w:val="24"/>
          <w:szCs w:val="24"/>
          <w:lang w:eastAsia="zh-CN"/>
        </w:rPr>
        <w:t>型号厂家</w:t>
      </w:r>
      <w:r>
        <w:rPr>
          <w:rFonts w:hint="eastAsia" w:ascii="宋体" w:hAnsi="宋体" w:cs="宋体"/>
          <w:color w:val="auto"/>
          <w:sz w:val="24"/>
          <w:szCs w:val="24"/>
          <w:lang w:val="en-US" w:eastAsia="zh-CN"/>
        </w:rPr>
        <w:t>。</w:t>
      </w:r>
    </w:p>
    <w:p>
      <w:pPr>
        <w:pStyle w:val="4"/>
        <w:keepNext w:val="0"/>
        <w:keepLines w:val="0"/>
        <w:pageBreakBefore w:val="0"/>
        <w:widowControl/>
        <w:tabs>
          <w:tab w:val="left" w:pos="142"/>
        </w:tabs>
        <w:kinsoku/>
        <w:wordWrap/>
        <w:overflowPunct/>
        <w:topLinePunct w:val="0"/>
        <w:autoSpaceDE/>
        <w:autoSpaceDN/>
        <w:bidi w:val="0"/>
        <w:spacing w:before="156" w:beforeLines="50" w:beforeAutospacing="0" w:afterAutospacing="0"/>
        <w:ind w:firstLine="482"/>
        <w:contextualSpacing/>
        <w:textAlignment w:val="auto"/>
        <w:outlineLvl w:val="0"/>
        <w:rPr>
          <w:rFonts w:hint="default" w:ascii="宋体" w:hAnsi="宋体" w:eastAsia="宋体" w:cs="宋体"/>
          <w:b/>
          <w:bCs/>
          <w:color w:val="auto"/>
          <w:lang w:val="en-US" w:eastAsia="zh-CN"/>
        </w:rPr>
      </w:pPr>
      <w:r>
        <w:rPr>
          <w:rFonts w:hint="eastAsia" w:ascii="宋体" w:hAnsi="宋体" w:cs="宋体"/>
          <w:b/>
          <w:bCs/>
          <w:color w:val="auto"/>
          <w:lang w:val="en-US" w:eastAsia="zh-CN"/>
        </w:rPr>
        <w:t>3</w:t>
      </w:r>
      <w:r>
        <w:rPr>
          <w:rFonts w:ascii="宋体" w:hAnsi="宋体" w:cs="宋体"/>
          <w:b/>
          <w:bCs/>
          <w:color w:val="auto"/>
        </w:rPr>
        <w:t>.2</w:t>
      </w:r>
      <w:r>
        <w:rPr>
          <w:rFonts w:hint="eastAsia" w:ascii="宋体" w:hAnsi="宋体" w:cs="宋体"/>
          <w:b/>
          <w:bCs/>
          <w:color w:val="auto"/>
        </w:rPr>
        <w:t xml:space="preserve"> </w:t>
      </w:r>
      <w:r>
        <w:rPr>
          <w:rFonts w:hint="eastAsia" w:ascii="宋体" w:hAnsi="宋体" w:cs="宋体"/>
          <w:b/>
          <w:bCs/>
          <w:color w:val="auto"/>
          <w:lang w:val="en-US" w:eastAsia="zh-CN"/>
        </w:rPr>
        <w:t>技术服务的内容及要求</w:t>
      </w:r>
    </w:p>
    <w:p>
      <w:pPr>
        <w:pStyle w:val="4"/>
        <w:keepNext w:val="0"/>
        <w:keepLines w:val="0"/>
        <w:pageBreakBefore w:val="0"/>
        <w:widowControl/>
        <w:tabs>
          <w:tab w:val="left" w:pos="142"/>
        </w:tabs>
        <w:kinsoku/>
        <w:wordWrap/>
        <w:overflowPunct/>
        <w:topLinePunct w:val="0"/>
        <w:autoSpaceDE/>
        <w:autoSpaceDN/>
        <w:bidi w:val="0"/>
        <w:spacing w:before="156" w:beforeLines="50" w:beforeAutospacing="0" w:afterAutospacing="0"/>
        <w:ind w:firstLine="480"/>
        <w:contextualSpacing/>
        <w:textAlignment w:val="auto"/>
        <w:outlineLvl w:val="0"/>
        <w:rPr>
          <w:rFonts w:ascii="宋体" w:hAnsi="宋体" w:cs="宋体"/>
          <w:color w:val="auto"/>
        </w:rPr>
      </w:pPr>
      <w:r>
        <w:rPr>
          <w:rFonts w:ascii="宋体" w:hAnsi="宋体" w:cs="宋体"/>
          <w:color w:val="auto"/>
        </w:rPr>
        <w:t>（a）</w:t>
      </w:r>
      <w:r>
        <w:rPr>
          <w:rFonts w:hint="eastAsia" w:ascii="宋体" w:hAnsi="宋体" w:cs="宋体"/>
          <w:color w:val="auto"/>
          <w:sz w:val="24"/>
          <w:szCs w:val="24"/>
          <w:lang w:val="en-US" w:eastAsia="zh-CN"/>
        </w:rPr>
        <w:t>南汀河、落水洞、小河沟、格雷一级、格雷二级、官寨、木垢电站的</w:t>
      </w:r>
      <w:r>
        <w:rPr>
          <w:rFonts w:hint="eastAsia" w:ascii="宋体" w:hAnsi="宋体" w:cs="宋体"/>
          <w:color w:val="auto"/>
          <w:sz w:val="24"/>
          <w:szCs w:val="24"/>
          <w:lang w:eastAsia="zh-CN"/>
        </w:rPr>
        <w:t>五防系统维保，</w:t>
      </w:r>
      <w:r>
        <w:rPr>
          <w:rFonts w:hint="eastAsia" w:ascii="宋体" w:hAnsi="宋体" w:cs="宋体"/>
          <w:color w:val="auto"/>
          <w:sz w:val="24"/>
          <w:szCs w:val="24"/>
          <w:lang w:val="en-US" w:eastAsia="zh-CN"/>
        </w:rPr>
        <w:t>详见维保清单</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另附</w:t>
      </w:r>
      <w:r>
        <w:rPr>
          <w:rFonts w:hint="eastAsia" w:ascii="宋体" w:hAnsi="宋体" w:cs="宋体"/>
          <w:color w:val="auto"/>
          <w:sz w:val="24"/>
          <w:szCs w:val="24"/>
          <w:lang w:eastAsia="zh-CN"/>
        </w:rPr>
        <w:t>）</w:t>
      </w:r>
      <w:r>
        <w:rPr>
          <w:rFonts w:ascii="宋体" w:hAnsi="宋体" w:cs="宋体"/>
          <w:color w:val="auto"/>
        </w:rPr>
        <w:t>；</w:t>
      </w:r>
    </w:p>
    <w:p>
      <w:pPr>
        <w:pStyle w:val="4"/>
        <w:keepNext w:val="0"/>
        <w:keepLines w:val="0"/>
        <w:pageBreakBefore w:val="0"/>
        <w:widowControl/>
        <w:tabs>
          <w:tab w:val="left" w:pos="142"/>
        </w:tabs>
        <w:kinsoku/>
        <w:wordWrap/>
        <w:overflowPunct/>
        <w:topLinePunct w:val="0"/>
        <w:autoSpaceDE/>
        <w:autoSpaceDN/>
        <w:bidi w:val="0"/>
        <w:spacing w:before="156" w:beforeLines="50" w:beforeAutospacing="0" w:afterAutospacing="0"/>
        <w:ind w:firstLine="480"/>
        <w:contextualSpacing/>
        <w:textAlignment w:val="auto"/>
        <w:outlineLvl w:val="0"/>
        <w:rPr>
          <w:rFonts w:ascii="宋体" w:hAnsi="宋体" w:cs="宋体"/>
          <w:color w:val="auto"/>
        </w:rPr>
      </w:pPr>
      <w:r>
        <w:rPr>
          <w:rFonts w:ascii="宋体" w:hAnsi="宋体" w:cs="宋体"/>
          <w:color w:val="auto"/>
        </w:rPr>
        <w:t>（</w:t>
      </w:r>
      <w:r>
        <w:rPr>
          <w:rFonts w:hint="eastAsia" w:ascii="宋体" w:hAnsi="宋体" w:cs="宋体"/>
          <w:color w:val="auto"/>
          <w:lang w:val="en-US" w:eastAsia="zh-CN"/>
        </w:rPr>
        <w:t>b</w:t>
      </w:r>
      <w:r>
        <w:rPr>
          <w:rFonts w:ascii="宋体" w:hAnsi="宋体" w:cs="宋体"/>
          <w:color w:val="auto"/>
        </w:rPr>
        <w:t>）</w:t>
      </w:r>
      <w:r>
        <w:rPr>
          <w:rFonts w:hint="eastAsia" w:ascii="宋体" w:hAnsi="宋体" w:cs="宋体"/>
          <w:color w:val="auto"/>
        </w:rPr>
        <w:t>本次</w:t>
      </w:r>
      <w:r>
        <w:rPr>
          <w:rFonts w:hint="eastAsia" w:ascii="宋体" w:hAnsi="宋体" w:cs="宋体"/>
          <w:color w:val="auto"/>
          <w:lang w:eastAsia="zh-CN"/>
        </w:rPr>
        <w:t>五防系统维保</w:t>
      </w:r>
      <w:r>
        <w:rPr>
          <w:rFonts w:hint="eastAsia" w:ascii="宋体" w:hAnsi="宋体" w:cs="宋体"/>
          <w:color w:val="auto"/>
        </w:rPr>
        <w:t>主要包括：</w:t>
      </w:r>
      <w:r>
        <w:rPr>
          <w:rFonts w:hint="eastAsia" w:ascii="宋体" w:hAnsi="宋体" w:cs="宋体"/>
          <w:color w:val="auto"/>
          <w:sz w:val="24"/>
          <w:szCs w:val="24"/>
          <w:lang w:val="en-US" w:eastAsia="zh-CN"/>
        </w:rPr>
        <w:t>南汀河、落水洞、小河沟、格雷一级、格雷二级、官寨、木垢电站</w:t>
      </w:r>
      <w:r>
        <w:rPr>
          <w:bCs/>
          <w:szCs w:val="21"/>
        </w:rPr>
        <w:t>微机五防系统</w:t>
      </w:r>
      <w:r>
        <w:rPr>
          <w:rFonts w:hint="eastAsia"/>
          <w:bCs/>
          <w:szCs w:val="21"/>
        </w:rPr>
        <w:t>的专业维护</w:t>
      </w:r>
      <w:r>
        <w:rPr>
          <w:rFonts w:hint="eastAsia" w:ascii="Times New Roman" w:hAnsi="Times New Roman" w:eastAsia="宋体" w:cs="Times New Roman"/>
          <w:bCs/>
          <w:kern w:val="2"/>
          <w:sz w:val="24"/>
          <w:szCs w:val="21"/>
          <w:lang w:val="en-US" w:eastAsia="zh-CN" w:bidi="ar-SA"/>
        </w:rPr>
        <w:t>获取原厂软件维护授权</w:t>
      </w:r>
      <w:r>
        <w:rPr>
          <w:rFonts w:hint="eastAsia"/>
          <w:bCs/>
          <w:szCs w:val="21"/>
          <w:lang w:eastAsia="zh-CN"/>
        </w:rPr>
        <w:t>、</w:t>
      </w:r>
      <w:r>
        <w:rPr>
          <w:bCs/>
          <w:szCs w:val="21"/>
        </w:rPr>
        <w:t>防误系统服务器的硬件、防误系统其他所有附属通讯设备的软硬件、</w:t>
      </w:r>
      <w:r>
        <w:rPr>
          <w:rFonts w:hint="eastAsia"/>
          <w:bCs/>
          <w:szCs w:val="21"/>
          <w:lang w:eastAsia="zh-CN"/>
        </w:rPr>
        <w:t>水电站</w:t>
      </w:r>
      <w:r>
        <w:rPr>
          <w:bCs/>
          <w:szCs w:val="21"/>
        </w:rPr>
        <w:t>五防通讯参数、防误系统人员权限、防误系统防误软件、</w:t>
      </w:r>
      <w:r>
        <w:rPr>
          <w:rFonts w:hint="eastAsia"/>
          <w:bCs/>
          <w:szCs w:val="21"/>
          <w:lang w:eastAsia="zh-CN"/>
        </w:rPr>
        <w:t>水电站</w:t>
      </w:r>
      <w:r>
        <w:rPr>
          <w:bCs/>
          <w:szCs w:val="21"/>
        </w:rPr>
        <w:t>操作票系统软件、与监控系统的通讯维护等设备及附件的检查维护</w:t>
      </w:r>
      <w:r>
        <w:rPr>
          <w:rFonts w:hint="eastAsia"/>
          <w:bCs/>
          <w:szCs w:val="21"/>
        </w:rPr>
        <w:t>、缺陷消除</w:t>
      </w:r>
      <w:r>
        <w:rPr>
          <w:rFonts w:hint="eastAsia" w:ascii="宋体" w:hAnsi="宋体" w:cs="宋体"/>
          <w:color w:val="auto"/>
        </w:rPr>
        <w:t>。</w:t>
      </w:r>
    </w:p>
    <w:p>
      <w:pPr>
        <w:pStyle w:val="4"/>
        <w:keepNext w:val="0"/>
        <w:keepLines w:val="0"/>
        <w:pageBreakBefore w:val="0"/>
        <w:widowControl/>
        <w:tabs>
          <w:tab w:val="left" w:pos="142"/>
        </w:tabs>
        <w:kinsoku/>
        <w:wordWrap/>
        <w:overflowPunct/>
        <w:topLinePunct w:val="0"/>
        <w:autoSpaceDE/>
        <w:autoSpaceDN/>
        <w:bidi w:val="0"/>
        <w:spacing w:before="156" w:beforeLines="50" w:beforeAutospacing="0" w:afterAutospacing="0"/>
        <w:ind w:firstLine="482"/>
        <w:contextualSpacing/>
        <w:textAlignment w:val="auto"/>
        <w:outlineLvl w:val="0"/>
        <w:rPr>
          <w:rFonts w:hint="default" w:ascii="宋体" w:hAnsi="宋体" w:eastAsia="宋体" w:cs="宋体"/>
          <w:b/>
          <w:bCs/>
          <w:color w:val="auto"/>
          <w:lang w:val="en-US" w:eastAsia="zh-CN"/>
        </w:rPr>
      </w:pPr>
      <w:r>
        <w:rPr>
          <w:rFonts w:hint="eastAsia" w:ascii="宋体" w:hAnsi="宋体" w:cs="宋体"/>
          <w:b/>
          <w:bCs/>
          <w:color w:val="auto"/>
          <w:lang w:val="en-US" w:eastAsia="zh-CN"/>
        </w:rPr>
        <w:t>3</w:t>
      </w:r>
      <w:r>
        <w:rPr>
          <w:rFonts w:hint="eastAsia" w:ascii="宋体" w:hAnsi="宋体" w:cs="宋体"/>
          <w:b/>
          <w:bCs/>
          <w:color w:val="auto"/>
        </w:rPr>
        <w:t xml:space="preserve">.3 </w:t>
      </w:r>
      <w:r>
        <w:rPr>
          <w:rFonts w:hint="eastAsia" w:ascii="宋体" w:hAnsi="宋体" w:cs="宋体"/>
          <w:b/>
          <w:bCs/>
          <w:color w:val="auto"/>
          <w:lang w:val="en-US" w:eastAsia="zh-CN"/>
        </w:rPr>
        <w:t xml:space="preserve">技术服务的方式及要求 </w:t>
      </w:r>
    </w:p>
    <w:p>
      <w:pPr>
        <w:spacing w:line="360" w:lineRule="auto"/>
        <w:ind w:firstLine="480" w:firstLineChars="200"/>
        <w:rPr>
          <w:rFonts w:hint="eastAsia" w:ascii="Times New Roman" w:hAnsi="Times New Roman" w:eastAsia="宋体" w:cs="Times New Roman"/>
          <w:bCs/>
          <w:kern w:val="2"/>
          <w:sz w:val="24"/>
          <w:szCs w:val="21"/>
          <w:lang w:val="en-US" w:eastAsia="zh-CN" w:bidi="ar-SA"/>
        </w:rPr>
      </w:pPr>
      <w:r>
        <w:rPr>
          <w:rFonts w:hint="eastAsia" w:ascii="Times New Roman" w:hAnsi="Times New Roman" w:eastAsia="宋体" w:cs="Times New Roman"/>
          <w:bCs/>
          <w:kern w:val="2"/>
          <w:sz w:val="24"/>
          <w:szCs w:val="21"/>
          <w:lang w:val="en-US" w:eastAsia="zh-CN" w:bidi="ar-SA"/>
        </w:rPr>
        <w:t>技术服务的方式</w:t>
      </w:r>
      <w:r>
        <w:rPr>
          <w:rFonts w:hint="eastAsia" w:ascii="Times New Roman" w:hAnsi="Times New Roman" w:cs="Times New Roman"/>
          <w:bCs/>
          <w:kern w:val="2"/>
          <w:sz w:val="24"/>
          <w:szCs w:val="21"/>
          <w:lang w:val="en-US" w:eastAsia="zh-CN" w:bidi="ar-SA"/>
        </w:rPr>
        <w:t>：各电站现场服务，服务要求：</w:t>
      </w:r>
      <w:r>
        <w:rPr>
          <w:rFonts w:ascii="Times New Roman" w:hAnsi="Times New Roman" w:eastAsia="宋体" w:cs="Times New Roman"/>
          <w:bCs/>
          <w:kern w:val="2"/>
          <w:sz w:val="24"/>
          <w:szCs w:val="21"/>
          <w:lang w:val="en-US" w:eastAsia="zh-CN" w:bidi="ar-SA"/>
        </w:rPr>
        <w:t>负责</w:t>
      </w:r>
      <w:r>
        <w:rPr>
          <w:rFonts w:hint="eastAsia" w:ascii="宋体" w:hAnsi="宋体" w:cs="宋体"/>
          <w:color w:val="auto"/>
          <w:sz w:val="24"/>
          <w:szCs w:val="24"/>
          <w:lang w:val="en-US" w:eastAsia="zh-CN"/>
        </w:rPr>
        <w:t>南汀河、落水洞、小河沟、格雷一级、格雷二级、官寨、木垢</w:t>
      </w:r>
      <w:r>
        <w:rPr>
          <w:rFonts w:hint="eastAsia" w:ascii="Times New Roman" w:hAnsi="Times New Roman" w:eastAsia="宋体" w:cs="Times New Roman"/>
          <w:bCs/>
          <w:kern w:val="2"/>
          <w:sz w:val="24"/>
          <w:szCs w:val="21"/>
          <w:lang w:val="en-US" w:eastAsia="zh-CN" w:bidi="ar-SA"/>
        </w:rPr>
        <w:t>电站</w:t>
      </w:r>
      <w:r>
        <w:rPr>
          <w:rFonts w:ascii="Times New Roman" w:hAnsi="Times New Roman" w:eastAsia="宋体" w:cs="Times New Roman"/>
          <w:bCs/>
          <w:kern w:val="2"/>
          <w:sz w:val="24"/>
          <w:szCs w:val="21"/>
          <w:lang w:val="en-US" w:eastAsia="zh-CN" w:bidi="ar-SA"/>
        </w:rPr>
        <w:t>微机防误闭锁装置的检修、维护、消缺工作的实施，</w:t>
      </w:r>
      <w:r>
        <w:rPr>
          <w:rFonts w:hint="eastAsia" w:ascii="Times New Roman" w:hAnsi="Times New Roman" w:eastAsia="宋体" w:cs="Times New Roman"/>
          <w:bCs/>
          <w:kern w:val="2"/>
          <w:sz w:val="24"/>
          <w:szCs w:val="21"/>
          <w:lang w:val="en-US" w:eastAsia="zh-CN" w:bidi="ar-SA"/>
        </w:rPr>
        <w:t>获取原厂软件维护授权，</w:t>
      </w:r>
      <w:r>
        <w:rPr>
          <w:rFonts w:ascii="Times New Roman" w:hAnsi="Times New Roman" w:eastAsia="宋体" w:cs="Times New Roman"/>
          <w:bCs/>
          <w:kern w:val="2"/>
          <w:sz w:val="24"/>
          <w:szCs w:val="21"/>
          <w:lang w:val="en-US" w:eastAsia="zh-CN" w:bidi="ar-SA"/>
        </w:rPr>
        <w:t>包括模拟屏、计算机、防误系统软件、操作票系统软件、电脑钥匙、机械</w:t>
      </w:r>
      <w:r>
        <w:rPr>
          <w:rFonts w:hint="eastAsia" w:ascii="Times New Roman" w:hAnsi="Times New Roman" w:eastAsia="宋体" w:cs="Times New Roman"/>
          <w:bCs/>
          <w:kern w:val="2"/>
          <w:sz w:val="24"/>
          <w:szCs w:val="21"/>
          <w:lang w:val="en-US" w:eastAsia="zh-CN" w:bidi="ar-SA"/>
        </w:rPr>
        <w:t>编码固定</w:t>
      </w:r>
      <w:r>
        <w:rPr>
          <w:rFonts w:ascii="Times New Roman" w:hAnsi="Times New Roman" w:eastAsia="宋体" w:cs="Times New Roman"/>
          <w:bCs/>
          <w:kern w:val="2"/>
          <w:sz w:val="24"/>
          <w:szCs w:val="21"/>
          <w:lang w:val="en-US" w:eastAsia="zh-CN" w:bidi="ar-SA"/>
        </w:rPr>
        <w:t>锁、编码</w:t>
      </w:r>
      <w:r>
        <w:rPr>
          <w:rFonts w:hint="eastAsia" w:ascii="Times New Roman" w:hAnsi="Times New Roman" w:eastAsia="宋体" w:cs="Times New Roman"/>
          <w:bCs/>
          <w:kern w:val="2"/>
          <w:sz w:val="24"/>
          <w:szCs w:val="21"/>
          <w:lang w:val="en-US" w:eastAsia="zh-CN" w:bidi="ar-SA"/>
        </w:rPr>
        <w:t>挂</w:t>
      </w:r>
      <w:r>
        <w:rPr>
          <w:rFonts w:ascii="Times New Roman" w:hAnsi="Times New Roman" w:eastAsia="宋体" w:cs="Times New Roman"/>
          <w:bCs/>
          <w:kern w:val="2"/>
          <w:sz w:val="24"/>
          <w:szCs w:val="21"/>
          <w:lang w:val="en-US" w:eastAsia="zh-CN" w:bidi="ar-SA"/>
        </w:rPr>
        <w:t>锁</w:t>
      </w:r>
      <w:r>
        <w:rPr>
          <w:rFonts w:hint="eastAsia" w:ascii="Times New Roman" w:hAnsi="Times New Roman" w:eastAsia="宋体" w:cs="Times New Roman"/>
          <w:bCs/>
          <w:kern w:val="2"/>
          <w:sz w:val="24"/>
          <w:szCs w:val="21"/>
          <w:lang w:val="en-US" w:eastAsia="zh-CN" w:bidi="ar-SA"/>
        </w:rPr>
        <w:t>、解锁用具、</w:t>
      </w:r>
      <w:r>
        <w:rPr>
          <w:rFonts w:ascii="Times New Roman" w:hAnsi="Times New Roman" w:eastAsia="宋体" w:cs="Times New Roman"/>
          <w:bCs/>
          <w:kern w:val="2"/>
          <w:sz w:val="24"/>
          <w:szCs w:val="21"/>
          <w:lang w:val="en-US" w:eastAsia="zh-CN" w:bidi="ar-SA"/>
        </w:rPr>
        <w:t>通讯器、五防钥匙管理机、接地线管理</w:t>
      </w:r>
      <w:r>
        <w:rPr>
          <w:rFonts w:hint="eastAsia" w:ascii="Times New Roman" w:hAnsi="Times New Roman" w:eastAsia="宋体" w:cs="Times New Roman"/>
          <w:bCs/>
          <w:kern w:val="2"/>
          <w:sz w:val="24"/>
          <w:szCs w:val="21"/>
          <w:lang w:val="en-US" w:eastAsia="zh-CN" w:bidi="ar-SA"/>
        </w:rPr>
        <w:t>装置</w:t>
      </w:r>
      <w:r>
        <w:rPr>
          <w:rFonts w:ascii="Times New Roman" w:hAnsi="Times New Roman" w:eastAsia="宋体" w:cs="Times New Roman"/>
          <w:bCs/>
          <w:kern w:val="2"/>
          <w:sz w:val="24"/>
          <w:szCs w:val="21"/>
          <w:lang w:val="en-US" w:eastAsia="zh-CN" w:bidi="ar-SA"/>
        </w:rPr>
        <w:t>、</w:t>
      </w:r>
      <w:r>
        <w:rPr>
          <w:rFonts w:hint="eastAsia" w:ascii="Times New Roman" w:hAnsi="Times New Roman" w:eastAsia="宋体" w:cs="Times New Roman"/>
          <w:bCs/>
          <w:kern w:val="2"/>
          <w:sz w:val="24"/>
          <w:szCs w:val="21"/>
          <w:lang w:val="en-US" w:eastAsia="zh-CN" w:bidi="ar-SA"/>
        </w:rPr>
        <w:t>授权钥匙</w:t>
      </w:r>
      <w:r>
        <w:rPr>
          <w:rFonts w:hint="eastAsia" w:ascii="Times New Roman" w:hAnsi="Times New Roman" w:cs="Times New Roman"/>
          <w:bCs/>
          <w:kern w:val="2"/>
          <w:sz w:val="24"/>
          <w:szCs w:val="21"/>
          <w:lang w:val="en-US" w:eastAsia="zh-CN" w:bidi="ar-SA"/>
        </w:rPr>
        <w:t>的</w:t>
      </w:r>
      <w:r>
        <w:rPr>
          <w:rFonts w:ascii="Times New Roman" w:hAnsi="Times New Roman" w:eastAsia="宋体" w:cs="Times New Roman"/>
          <w:bCs/>
          <w:kern w:val="2"/>
          <w:sz w:val="24"/>
          <w:szCs w:val="21"/>
          <w:lang w:val="en-US" w:eastAsia="zh-CN" w:bidi="ar-SA"/>
        </w:rPr>
        <w:t>检查维护</w:t>
      </w:r>
      <w:r>
        <w:rPr>
          <w:rFonts w:hint="eastAsia" w:ascii="Times New Roman" w:hAnsi="Times New Roman" w:eastAsia="宋体" w:cs="Times New Roman"/>
          <w:bCs/>
          <w:kern w:val="2"/>
          <w:sz w:val="24"/>
          <w:szCs w:val="21"/>
          <w:lang w:val="en-US" w:eastAsia="zh-CN" w:bidi="ar-SA"/>
        </w:rPr>
        <w:t>、缺陷消除</w:t>
      </w:r>
      <w:r>
        <w:rPr>
          <w:rFonts w:hint="eastAsia" w:ascii="Times New Roman" w:hAnsi="Times New Roman" w:cs="Times New Roman"/>
          <w:bCs/>
          <w:kern w:val="2"/>
          <w:sz w:val="24"/>
          <w:szCs w:val="21"/>
          <w:lang w:val="en-US" w:eastAsia="zh-CN" w:bidi="ar-SA"/>
        </w:rPr>
        <w:t>，保证各五防设备功能正常</w:t>
      </w:r>
      <w:r>
        <w:rPr>
          <w:rFonts w:hint="eastAsia" w:ascii="Times New Roman" w:hAnsi="Times New Roman" w:eastAsia="宋体" w:cs="Times New Roman"/>
          <w:bCs/>
          <w:kern w:val="2"/>
          <w:sz w:val="24"/>
          <w:szCs w:val="21"/>
          <w:lang w:val="en-US" w:eastAsia="zh-CN" w:bidi="ar-SA"/>
        </w:rPr>
        <w:t>。</w:t>
      </w:r>
    </w:p>
    <w:p>
      <w:pPr>
        <w:pStyle w:val="3"/>
        <w:spacing w:before="0" w:after="0" w:line="360" w:lineRule="auto"/>
        <w:rPr>
          <w:sz w:val="21"/>
          <w:szCs w:val="21"/>
        </w:rPr>
      </w:pPr>
      <w:r>
        <w:rPr>
          <w:rFonts w:hint="eastAsia" w:ascii="Times New Roman" w:hAnsi="Times New Roman" w:cs="Times New Roman"/>
          <w:bCs/>
          <w:kern w:val="2"/>
          <w:sz w:val="24"/>
          <w:szCs w:val="21"/>
          <w:lang w:val="en-US" w:eastAsia="zh-CN" w:bidi="ar-SA"/>
        </w:rPr>
        <w:t>四、</w:t>
      </w:r>
      <w:r>
        <w:rPr>
          <w:rFonts w:hint="eastAsia"/>
          <w:sz w:val="21"/>
          <w:szCs w:val="21"/>
        </w:rPr>
        <w:t>工作要求</w:t>
      </w:r>
    </w:p>
    <w:p>
      <w:pPr>
        <w:spacing w:line="360" w:lineRule="auto"/>
        <w:ind w:firstLine="420" w:firstLineChars="200"/>
        <w:rPr>
          <w:rFonts w:hint="eastAsia"/>
          <w:bCs/>
          <w:szCs w:val="21"/>
        </w:rPr>
      </w:pPr>
      <w:r>
        <w:rPr>
          <w:rFonts w:hint="eastAsia"/>
          <w:bCs/>
          <w:szCs w:val="21"/>
        </w:rPr>
        <w:t>4.1依据南方电网公司《变电设备运维规程(试行)》</w:t>
      </w:r>
      <w:bookmarkStart w:id="3" w:name="_Toc507666263"/>
      <w:bookmarkStart w:id="4" w:name="_Toc24043"/>
      <w:bookmarkStart w:id="5" w:name="_Toc497209076"/>
      <w:r>
        <w:rPr>
          <w:rFonts w:hint="eastAsia"/>
          <w:bCs/>
          <w:szCs w:val="21"/>
        </w:rPr>
        <w:t>（南方电网生技〔2018〕14号附件）</w:t>
      </w:r>
      <w:bookmarkEnd w:id="3"/>
      <w:bookmarkEnd w:id="4"/>
      <w:bookmarkEnd w:id="5"/>
      <w:r>
        <w:rPr>
          <w:rFonts w:hint="eastAsia"/>
          <w:bCs/>
          <w:szCs w:val="21"/>
        </w:rPr>
        <w:t>的要求，对公司系统内</w:t>
      </w:r>
      <w:r>
        <w:rPr>
          <w:bCs/>
          <w:szCs w:val="21"/>
        </w:rPr>
        <w:t>35kV及以上</w:t>
      </w:r>
      <w:r>
        <w:rPr>
          <w:rFonts w:hint="eastAsia"/>
          <w:bCs/>
          <w:szCs w:val="21"/>
          <w:lang w:eastAsia="zh-CN"/>
        </w:rPr>
        <w:t>发电厂</w:t>
      </w:r>
      <w:r>
        <w:rPr>
          <w:bCs/>
          <w:szCs w:val="21"/>
        </w:rPr>
        <w:t>每年开展</w:t>
      </w:r>
      <w:r>
        <w:rPr>
          <w:rFonts w:hint="eastAsia"/>
          <w:bCs/>
          <w:szCs w:val="21"/>
          <w:lang w:val="en-US" w:eastAsia="zh-CN"/>
        </w:rPr>
        <w:t>1</w:t>
      </w:r>
      <w:r>
        <w:rPr>
          <w:bCs/>
          <w:szCs w:val="21"/>
        </w:rPr>
        <w:t>次维护工作。</w:t>
      </w:r>
      <w:r>
        <w:rPr>
          <w:rFonts w:hint="eastAsia"/>
          <w:bCs/>
          <w:szCs w:val="21"/>
        </w:rPr>
        <w:t>不限次数的故障、缺陷处理。如遇不可抗拒因素后延，需征得招标方同意。消缺及故障处理工作除确需由委托方提供的材料费用外，委托方不再承担其它任何费用。</w:t>
      </w:r>
    </w:p>
    <w:p>
      <w:pPr>
        <w:spacing w:line="360" w:lineRule="auto"/>
        <w:ind w:firstLine="420" w:firstLineChars="200"/>
        <w:rPr>
          <w:bCs/>
          <w:szCs w:val="21"/>
        </w:rPr>
      </w:pPr>
      <w:r>
        <w:rPr>
          <w:rFonts w:hint="eastAsia"/>
          <w:bCs/>
          <w:szCs w:val="21"/>
        </w:rPr>
        <w:t>4.2负责</w:t>
      </w:r>
      <w:r>
        <w:rPr>
          <w:rFonts w:hint="eastAsia"/>
          <w:bCs/>
          <w:szCs w:val="21"/>
          <w:lang w:eastAsia="zh-CN"/>
        </w:rPr>
        <w:t>云南储能有限公司</w:t>
      </w:r>
      <w:r>
        <w:rPr>
          <w:bCs/>
          <w:szCs w:val="21"/>
        </w:rPr>
        <w:t>所辖</w:t>
      </w:r>
      <w:r>
        <w:rPr>
          <w:rFonts w:hint="eastAsia"/>
          <w:bCs/>
          <w:szCs w:val="21"/>
          <w:lang w:eastAsia="zh-CN"/>
        </w:rPr>
        <w:t>水电站</w:t>
      </w:r>
      <w:r>
        <w:rPr>
          <w:bCs/>
          <w:szCs w:val="21"/>
        </w:rPr>
        <w:t>微机五防主站系统</w:t>
      </w:r>
      <w:r>
        <w:rPr>
          <w:rFonts w:hint="eastAsia"/>
          <w:bCs/>
          <w:szCs w:val="21"/>
        </w:rPr>
        <w:t>的专业维护</w:t>
      </w:r>
      <w:r>
        <w:rPr>
          <w:bCs/>
          <w:szCs w:val="21"/>
        </w:rPr>
        <w:t>，</w:t>
      </w:r>
      <w:r>
        <w:rPr>
          <w:rFonts w:hint="eastAsia"/>
          <w:bCs/>
          <w:szCs w:val="21"/>
          <w:lang w:val="en-US" w:eastAsia="zh-CN"/>
        </w:rPr>
        <w:t>获取原厂软件维护授权，</w:t>
      </w:r>
      <w:r>
        <w:rPr>
          <w:bCs/>
          <w:szCs w:val="21"/>
        </w:rPr>
        <w:t>包括</w:t>
      </w:r>
      <w:r>
        <w:rPr>
          <w:rFonts w:hint="eastAsia"/>
          <w:bCs/>
          <w:szCs w:val="21"/>
          <w:lang w:eastAsia="zh-CN"/>
        </w:rPr>
        <w:t>水电站</w:t>
      </w:r>
      <w:r>
        <w:rPr>
          <w:bCs/>
          <w:szCs w:val="21"/>
        </w:rPr>
        <w:t>主站防误系统服务器的硬件、</w:t>
      </w:r>
      <w:r>
        <w:rPr>
          <w:rFonts w:hint="eastAsia"/>
          <w:bCs/>
          <w:szCs w:val="21"/>
          <w:lang w:eastAsia="zh-CN"/>
        </w:rPr>
        <w:t>水电站</w:t>
      </w:r>
      <w:r>
        <w:rPr>
          <w:bCs/>
          <w:szCs w:val="21"/>
        </w:rPr>
        <w:t>主站防误系统服务器屏柜内其他所有附属通讯设备的软硬件、</w:t>
      </w:r>
      <w:r>
        <w:rPr>
          <w:rFonts w:hint="eastAsia"/>
          <w:bCs/>
          <w:szCs w:val="21"/>
          <w:lang w:eastAsia="zh-CN"/>
        </w:rPr>
        <w:t>水电站</w:t>
      </w:r>
      <w:r>
        <w:rPr>
          <w:bCs/>
          <w:szCs w:val="21"/>
        </w:rPr>
        <w:t>五防各子站的通讯参数、</w:t>
      </w:r>
      <w:r>
        <w:rPr>
          <w:rFonts w:hint="eastAsia"/>
          <w:bCs/>
          <w:szCs w:val="21"/>
          <w:lang w:eastAsia="zh-CN"/>
        </w:rPr>
        <w:t>水电站</w:t>
      </w:r>
      <w:r>
        <w:rPr>
          <w:bCs/>
          <w:szCs w:val="21"/>
        </w:rPr>
        <w:t>主站防误系统人员权限、</w:t>
      </w:r>
      <w:r>
        <w:rPr>
          <w:rFonts w:hint="eastAsia"/>
          <w:bCs/>
          <w:szCs w:val="21"/>
          <w:lang w:eastAsia="zh-CN"/>
        </w:rPr>
        <w:t>水电站</w:t>
      </w:r>
      <w:r>
        <w:rPr>
          <w:bCs/>
          <w:szCs w:val="21"/>
        </w:rPr>
        <w:t>主站防误系统防误软件、</w:t>
      </w:r>
      <w:r>
        <w:rPr>
          <w:rFonts w:hint="eastAsia"/>
          <w:bCs/>
          <w:szCs w:val="21"/>
          <w:lang w:eastAsia="zh-CN"/>
        </w:rPr>
        <w:t>水电站</w:t>
      </w:r>
      <w:r>
        <w:rPr>
          <w:bCs/>
          <w:szCs w:val="21"/>
        </w:rPr>
        <w:t>操作票系统软件、与调控中心监控系统的通讯维护等设备及附件的定期检查维护</w:t>
      </w:r>
      <w:r>
        <w:rPr>
          <w:rFonts w:hint="eastAsia"/>
          <w:bCs/>
          <w:szCs w:val="21"/>
        </w:rPr>
        <w:t>、缺陷消除及工程改造等工作</w:t>
      </w:r>
      <w:r>
        <w:rPr>
          <w:bCs/>
          <w:szCs w:val="21"/>
        </w:rPr>
        <w:t>。</w:t>
      </w:r>
      <w:bookmarkStart w:id="6" w:name="_Toc26000"/>
    </w:p>
    <w:p>
      <w:pPr>
        <w:spacing w:line="360" w:lineRule="auto"/>
        <w:ind w:firstLine="420" w:firstLineChars="200"/>
        <w:rPr>
          <w:bCs/>
          <w:szCs w:val="21"/>
        </w:rPr>
      </w:pPr>
      <w:r>
        <w:rPr>
          <w:rFonts w:hint="eastAsia"/>
          <w:bCs/>
          <w:szCs w:val="21"/>
        </w:rPr>
        <w:t>4.3</w:t>
      </w:r>
      <w:r>
        <w:rPr>
          <w:bCs/>
          <w:szCs w:val="21"/>
        </w:rPr>
        <w:t>负责</w:t>
      </w:r>
      <w:r>
        <w:rPr>
          <w:rFonts w:hint="eastAsia"/>
          <w:bCs/>
          <w:szCs w:val="21"/>
          <w:lang w:eastAsia="zh-CN"/>
        </w:rPr>
        <w:t>云南储能有限公司</w:t>
      </w:r>
      <w:r>
        <w:rPr>
          <w:rFonts w:hint="eastAsia"/>
          <w:bCs/>
          <w:szCs w:val="21"/>
        </w:rPr>
        <w:t>所辖变电站终端</w:t>
      </w:r>
      <w:r>
        <w:rPr>
          <w:bCs/>
          <w:szCs w:val="21"/>
        </w:rPr>
        <w:t>微机防误闭锁装置的检修、维护、消缺工作的实施，</w:t>
      </w:r>
      <w:r>
        <w:rPr>
          <w:rFonts w:hint="eastAsia"/>
          <w:bCs/>
          <w:szCs w:val="21"/>
          <w:lang w:val="en-US" w:eastAsia="zh-CN"/>
        </w:rPr>
        <w:t>获取原厂软件维护授权，</w:t>
      </w:r>
      <w:r>
        <w:rPr>
          <w:bCs/>
          <w:szCs w:val="21"/>
        </w:rPr>
        <w:t>包括模拟屏、计算机、防误系统软件、操作票系统软件、电脑钥匙、机械</w:t>
      </w:r>
      <w:r>
        <w:rPr>
          <w:rFonts w:hint="eastAsia"/>
          <w:bCs/>
          <w:szCs w:val="21"/>
        </w:rPr>
        <w:t>编码固定</w:t>
      </w:r>
      <w:r>
        <w:rPr>
          <w:bCs/>
          <w:szCs w:val="21"/>
        </w:rPr>
        <w:t>锁、编码</w:t>
      </w:r>
      <w:r>
        <w:rPr>
          <w:rFonts w:hint="eastAsia"/>
          <w:bCs/>
          <w:szCs w:val="21"/>
        </w:rPr>
        <w:t>挂</w:t>
      </w:r>
      <w:r>
        <w:rPr>
          <w:bCs/>
          <w:szCs w:val="21"/>
        </w:rPr>
        <w:t>锁、</w:t>
      </w:r>
      <w:r>
        <w:rPr>
          <w:rFonts w:hint="eastAsia"/>
          <w:bCs/>
          <w:szCs w:val="21"/>
        </w:rPr>
        <w:t>配套金具、临时接地桩、解锁用具、电磁锁、带电显示闭锁装置、</w:t>
      </w:r>
      <w:r>
        <w:rPr>
          <w:bCs/>
          <w:szCs w:val="21"/>
        </w:rPr>
        <w:t>通讯控制器、五防UPS电源、五防钥匙管理机、接地线管理</w:t>
      </w:r>
      <w:r>
        <w:rPr>
          <w:rFonts w:hint="eastAsia"/>
          <w:bCs/>
          <w:szCs w:val="21"/>
        </w:rPr>
        <w:t>装置</w:t>
      </w:r>
      <w:r>
        <w:rPr>
          <w:bCs/>
          <w:szCs w:val="21"/>
        </w:rPr>
        <w:t>、</w:t>
      </w:r>
      <w:r>
        <w:rPr>
          <w:rFonts w:hint="eastAsia"/>
          <w:bCs/>
          <w:szCs w:val="21"/>
        </w:rPr>
        <w:t>检修隔离管理器和授权钥匙、</w:t>
      </w:r>
      <w:r>
        <w:rPr>
          <w:bCs/>
          <w:szCs w:val="21"/>
        </w:rPr>
        <w:t>五防编码锁</w:t>
      </w:r>
      <w:r>
        <w:rPr>
          <w:rFonts w:hint="eastAsia"/>
          <w:bCs/>
          <w:szCs w:val="21"/>
        </w:rPr>
        <w:t>锁</w:t>
      </w:r>
      <w:r>
        <w:rPr>
          <w:bCs/>
          <w:szCs w:val="21"/>
        </w:rPr>
        <w:t>牌</w:t>
      </w:r>
      <w:r>
        <w:rPr>
          <w:rFonts w:hint="eastAsia"/>
          <w:bCs/>
          <w:szCs w:val="21"/>
        </w:rPr>
        <w:t>、二次综合防误系统</w:t>
      </w:r>
      <w:r>
        <w:rPr>
          <w:bCs/>
          <w:szCs w:val="21"/>
        </w:rPr>
        <w:t>等由受委托维护方提供的设备</w:t>
      </w:r>
      <w:bookmarkStart w:id="7" w:name="_Toc1344"/>
      <w:r>
        <w:rPr>
          <w:bCs/>
          <w:szCs w:val="21"/>
        </w:rPr>
        <w:t>及附件，并配合委托方进行工程改造等工作。</w:t>
      </w:r>
      <w:bookmarkEnd w:id="6"/>
      <w:bookmarkEnd w:id="7"/>
    </w:p>
    <w:p>
      <w:pPr>
        <w:spacing w:line="360" w:lineRule="auto"/>
        <w:ind w:firstLine="420" w:firstLineChars="200"/>
        <w:rPr>
          <w:bCs/>
          <w:szCs w:val="21"/>
        </w:rPr>
      </w:pPr>
      <w:bookmarkStart w:id="8" w:name="_Toc12873"/>
      <w:bookmarkStart w:id="9" w:name="_Toc6673"/>
      <w:r>
        <w:rPr>
          <w:rFonts w:hint="eastAsia"/>
          <w:bCs/>
          <w:szCs w:val="21"/>
        </w:rPr>
        <w:t>4.4</w:t>
      </w:r>
      <w:r>
        <w:rPr>
          <w:bCs/>
          <w:szCs w:val="21"/>
        </w:rPr>
        <w:t>维护工作应建立维护记录，</w:t>
      </w:r>
      <w:r>
        <w:rPr>
          <w:rFonts w:hint="eastAsia"/>
          <w:bCs/>
          <w:szCs w:val="21"/>
        </w:rPr>
        <w:t>准确记录巡检工作内容、五防系统运行工况及存在问题，</w:t>
      </w:r>
      <w:r>
        <w:rPr>
          <w:bCs/>
          <w:szCs w:val="21"/>
        </w:rPr>
        <w:t>并经现场运行人员签字认可，作为维护工作</w:t>
      </w:r>
      <w:r>
        <w:rPr>
          <w:rFonts w:hint="eastAsia"/>
          <w:bCs/>
          <w:szCs w:val="21"/>
        </w:rPr>
        <w:t>开展</w:t>
      </w:r>
      <w:r>
        <w:rPr>
          <w:bCs/>
          <w:szCs w:val="21"/>
        </w:rPr>
        <w:t>的书面依据。</w:t>
      </w:r>
      <w:bookmarkEnd w:id="8"/>
      <w:bookmarkEnd w:id="9"/>
    </w:p>
    <w:p>
      <w:pPr>
        <w:spacing w:line="360" w:lineRule="auto"/>
        <w:ind w:firstLine="420" w:firstLineChars="200"/>
        <w:rPr>
          <w:bCs/>
          <w:szCs w:val="21"/>
        </w:rPr>
      </w:pPr>
      <w:bookmarkStart w:id="10" w:name="_Toc26342"/>
      <w:bookmarkStart w:id="11" w:name="_Toc29397"/>
      <w:r>
        <w:rPr>
          <w:rFonts w:hint="eastAsia"/>
          <w:bCs/>
          <w:szCs w:val="21"/>
        </w:rPr>
        <w:t>4.5</w:t>
      </w:r>
      <w:r>
        <w:rPr>
          <w:bCs/>
          <w:szCs w:val="21"/>
        </w:rPr>
        <w:t>应</w:t>
      </w:r>
      <w:r>
        <w:rPr>
          <w:rFonts w:hint="eastAsia"/>
          <w:bCs/>
          <w:szCs w:val="21"/>
          <w:lang w:val="en-US" w:eastAsia="zh-CN"/>
        </w:rPr>
        <w:t>获取原厂软件维护授权，</w:t>
      </w:r>
      <w:r>
        <w:rPr>
          <w:bCs/>
          <w:szCs w:val="21"/>
        </w:rPr>
        <w:t>对微机防误闭锁装置的逻辑进行校核，对闭锁逻辑的正确性负责。并将校核之后的防误闭锁逻辑备份报委托方备案。</w:t>
      </w:r>
      <w:bookmarkEnd w:id="10"/>
      <w:bookmarkEnd w:id="11"/>
    </w:p>
    <w:p>
      <w:pPr>
        <w:spacing w:line="360" w:lineRule="auto"/>
        <w:ind w:firstLine="420" w:firstLineChars="200"/>
        <w:rPr>
          <w:bCs/>
          <w:szCs w:val="21"/>
        </w:rPr>
      </w:pPr>
      <w:bookmarkStart w:id="12" w:name="_Toc11475"/>
      <w:bookmarkStart w:id="13" w:name="_Toc26341"/>
      <w:r>
        <w:rPr>
          <w:rFonts w:hint="eastAsia"/>
          <w:bCs/>
          <w:szCs w:val="21"/>
        </w:rPr>
        <w:t>4.6</w:t>
      </w:r>
      <w:r>
        <w:rPr>
          <w:bCs/>
          <w:szCs w:val="21"/>
        </w:rPr>
        <w:t>应应</w:t>
      </w:r>
      <w:r>
        <w:rPr>
          <w:rFonts w:hint="eastAsia"/>
          <w:bCs/>
          <w:szCs w:val="21"/>
          <w:lang w:val="en-US" w:eastAsia="zh-CN"/>
        </w:rPr>
        <w:t>获取原厂软件维护授权，</w:t>
      </w:r>
      <w:r>
        <w:rPr>
          <w:bCs/>
          <w:szCs w:val="21"/>
        </w:rPr>
        <w:t>做好微机防误闭锁装置软件版本的管理和备份工作，系统进行维护和软件版本升级后，必须进行数据备份。并将备份报委托方备案。</w:t>
      </w:r>
      <w:bookmarkEnd w:id="12"/>
      <w:bookmarkEnd w:id="13"/>
    </w:p>
    <w:p>
      <w:pPr>
        <w:spacing w:line="360" w:lineRule="auto"/>
        <w:ind w:firstLine="420" w:firstLineChars="200"/>
        <w:rPr>
          <w:bCs/>
          <w:szCs w:val="21"/>
        </w:rPr>
      </w:pPr>
      <w:bookmarkStart w:id="14" w:name="_Toc10988"/>
      <w:bookmarkStart w:id="15" w:name="_Toc11278"/>
      <w:r>
        <w:rPr>
          <w:rFonts w:hint="eastAsia"/>
          <w:bCs/>
          <w:szCs w:val="21"/>
        </w:rPr>
        <w:t>4.7</w:t>
      </w:r>
      <w:r>
        <w:rPr>
          <w:bCs/>
          <w:szCs w:val="21"/>
        </w:rPr>
        <w:t>须提供</w:t>
      </w:r>
      <w:r>
        <w:rPr>
          <w:rFonts w:hint="eastAsia"/>
          <w:bCs/>
          <w:szCs w:val="21"/>
        </w:rPr>
        <w:t>4</w:t>
      </w:r>
      <w:r>
        <w:rPr>
          <w:bCs/>
          <w:szCs w:val="21"/>
        </w:rPr>
        <w:t>小时快修服务，装置发生可能导致解锁操作的缺陷后，服务方在接到通知后必须在</w:t>
      </w:r>
      <w:r>
        <w:rPr>
          <w:rFonts w:hint="eastAsia"/>
          <w:bCs/>
          <w:szCs w:val="21"/>
        </w:rPr>
        <w:t>4</w:t>
      </w:r>
      <w:r>
        <w:rPr>
          <w:bCs/>
          <w:szCs w:val="21"/>
        </w:rPr>
        <w:t>小时内到现场检查处理，并恢复装置运行。一般缺陷可结合巡检进行处理完善。</w:t>
      </w:r>
      <w:bookmarkEnd w:id="14"/>
      <w:bookmarkEnd w:id="15"/>
    </w:p>
    <w:p>
      <w:pPr>
        <w:spacing w:line="360" w:lineRule="auto"/>
        <w:ind w:firstLine="420" w:firstLineChars="200"/>
        <w:rPr>
          <w:bCs/>
          <w:szCs w:val="21"/>
        </w:rPr>
      </w:pPr>
      <w:bookmarkStart w:id="16" w:name="_Toc3952"/>
      <w:bookmarkStart w:id="17" w:name="_Toc25396"/>
      <w:r>
        <w:rPr>
          <w:rFonts w:hint="eastAsia"/>
          <w:bCs/>
          <w:szCs w:val="21"/>
        </w:rPr>
        <w:t>4.8</w:t>
      </w:r>
      <w:r>
        <w:rPr>
          <w:bCs/>
          <w:szCs w:val="21"/>
        </w:rPr>
        <w:t>维护费用包括了所有维护所需的备品备件、设备、技术资料、服务及技术指导，专业维护过程中</w:t>
      </w:r>
      <w:r>
        <w:rPr>
          <w:rFonts w:hint="eastAsia"/>
          <w:bCs/>
          <w:szCs w:val="21"/>
        </w:rPr>
        <w:t>出现</w:t>
      </w:r>
      <w:r>
        <w:rPr>
          <w:bCs/>
          <w:szCs w:val="21"/>
        </w:rPr>
        <w:t>维修、更换损坏设备及零配件或耗材费用不超过1000元的，由</w:t>
      </w:r>
      <w:r>
        <w:rPr>
          <w:rFonts w:hint="eastAsia"/>
          <w:bCs/>
          <w:szCs w:val="21"/>
        </w:rPr>
        <w:t>受</w:t>
      </w:r>
      <w:r>
        <w:rPr>
          <w:bCs/>
          <w:szCs w:val="21"/>
        </w:rPr>
        <w:t>委托方免费提供；超过1000元的按照</w:t>
      </w:r>
      <w:r>
        <w:rPr>
          <w:rFonts w:hint="eastAsia"/>
          <w:bCs/>
          <w:szCs w:val="21"/>
          <w:lang w:eastAsia="zh-CN"/>
        </w:rPr>
        <w:t>云南储能有限公司发电厂</w:t>
      </w:r>
      <w:r>
        <w:rPr>
          <w:bCs/>
          <w:szCs w:val="21"/>
        </w:rPr>
        <w:t>附属设备框招设备采购，设备由委托方提供；受委托方进行首次维护后，需把更新和更换的设备清册报给委托方；委托方主要设备采购完毕，并已到货；受委托方在接到委托方通知后7个工作日内开展处理；修理更换的全新设备质保期为</w:t>
      </w:r>
      <w:r>
        <w:rPr>
          <w:rFonts w:hint="eastAsia"/>
          <w:bCs/>
          <w:szCs w:val="21"/>
        </w:rPr>
        <w:t>3</w:t>
      </w:r>
      <w:r>
        <w:rPr>
          <w:bCs/>
          <w:szCs w:val="21"/>
        </w:rPr>
        <w:t>年；框招清册里没有的辅料由受委托方免费提供。维护方必须保证所提供的维修部件是合格品。</w:t>
      </w:r>
      <w:bookmarkEnd w:id="16"/>
      <w:bookmarkEnd w:id="17"/>
      <w:bookmarkStart w:id="18" w:name="_Toc6701"/>
      <w:bookmarkStart w:id="19" w:name="_Toc10707"/>
    </w:p>
    <w:p>
      <w:pPr>
        <w:spacing w:line="360" w:lineRule="auto"/>
        <w:ind w:firstLine="420" w:firstLineChars="200"/>
        <w:rPr>
          <w:bCs/>
          <w:szCs w:val="21"/>
        </w:rPr>
      </w:pPr>
      <w:r>
        <w:rPr>
          <w:rFonts w:hint="eastAsia"/>
          <w:bCs/>
          <w:szCs w:val="21"/>
        </w:rPr>
        <w:t>4.9</w:t>
      </w:r>
      <w:r>
        <w:rPr>
          <w:bCs/>
          <w:szCs w:val="21"/>
        </w:rPr>
        <w:t>如微机五防系统设备损坏或异常，需要返厂修理但影响系统正常使用的，乙方必须先行提供备品进行更换，待返厂修理的设备处理好后再进行装复。</w:t>
      </w:r>
      <w:bookmarkEnd w:id="18"/>
      <w:bookmarkEnd w:id="19"/>
    </w:p>
    <w:p>
      <w:pPr>
        <w:spacing w:line="360" w:lineRule="auto"/>
        <w:ind w:firstLine="420" w:firstLineChars="200"/>
        <w:rPr>
          <w:bCs/>
          <w:szCs w:val="21"/>
        </w:rPr>
      </w:pPr>
      <w:bookmarkStart w:id="20" w:name="_Toc25888"/>
      <w:r>
        <w:rPr>
          <w:rFonts w:hint="eastAsia"/>
          <w:bCs/>
          <w:szCs w:val="21"/>
        </w:rPr>
        <w:t>4.10维护工作主要包括：定期维护检查，故障、缺陷处理，配合重大操作服务三个部分。</w:t>
      </w:r>
      <w:bookmarkEnd w:id="20"/>
    </w:p>
    <w:p>
      <w:pPr>
        <w:spacing w:line="360" w:lineRule="auto"/>
        <w:ind w:firstLine="420" w:firstLineChars="200"/>
        <w:rPr>
          <w:bCs/>
          <w:szCs w:val="21"/>
        </w:rPr>
      </w:pPr>
      <w:bookmarkStart w:id="21" w:name="_Toc19119"/>
      <w:r>
        <w:rPr>
          <w:rFonts w:hint="eastAsia"/>
          <w:bCs/>
          <w:szCs w:val="21"/>
        </w:rPr>
        <w:t>4.11投标方对委托范围内</w:t>
      </w:r>
      <w:r>
        <w:rPr>
          <w:rFonts w:hint="eastAsia"/>
          <w:bCs/>
          <w:szCs w:val="21"/>
          <w:lang w:eastAsia="zh-CN"/>
        </w:rPr>
        <w:t>水电站</w:t>
      </w:r>
      <w:r>
        <w:rPr>
          <w:rFonts w:hint="eastAsia"/>
          <w:bCs/>
          <w:szCs w:val="21"/>
        </w:rPr>
        <w:t>微机五防主站系统提供4小时快修服务，系统发生可能导致解锁操作的缺陷后，受委托方需在4小时内到现场检查处理。一般缺陷可结合日常巡检维护进行处理完善。</w:t>
      </w:r>
      <w:bookmarkEnd w:id="21"/>
    </w:p>
    <w:p>
      <w:pPr>
        <w:widowControl/>
        <w:spacing w:line="360" w:lineRule="auto"/>
        <w:ind w:firstLine="420" w:firstLineChars="200"/>
        <w:jc w:val="left"/>
        <w:rPr>
          <w:lang w:val="en-US" w:eastAsia="zh-CN"/>
        </w:rPr>
      </w:pPr>
      <w:r>
        <w:rPr>
          <w:rFonts w:hint="eastAsia"/>
          <w:bCs/>
          <w:szCs w:val="21"/>
        </w:rPr>
        <w:t>4.12受委托方对五防</w:t>
      </w:r>
      <w:r>
        <w:rPr>
          <w:rFonts w:hint="eastAsia"/>
          <w:bCs/>
          <w:szCs w:val="21"/>
          <w:lang w:eastAsia="zh-CN"/>
        </w:rPr>
        <w:t>水电站</w:t>
      </w:r>
      <w:r>
        <w:rPr>
          <w:rFonts w:hint="eastAsia"/>
          <w:bCs/>
          <w:szCs w:val="21"/>
        </w:rPr>
        <w:t>主站、子站开展维护后，至下一次维护前，微机防误装置完好率需达到100%，且无遗留缺陷。受委托方须编制半年、年度维护情况报告报送</w:t>
      </w:r>
      <w:r>
        <w:rPr>
          <w:rFonts w:hint="eastAsia"/>
          <w:bCs/>
          <w:szCs w:val="21"/>
          <w:lang w:eastAsia="zh-CN"/>
        </w:rPr>
        <w:t>云南储能有限公司</w:t>
      </w:r>
      <w:r>
        <w:rPr>
          <w:rFonts w:hint="eastAsia"/>
          <w:bCs/>
          <w:szCs w:val="21"/>
        </w:rPr>
        <w:t>生产技术部，报告须包含年度专业维护工作发现的主要问题、缺陷、隐患等，并提出相应的改进建议。</w:t>
      </w:r>
    </w:p>
    <w:p>
      <w:pPr>
        <w:pStyle w:val="4"/>
        <w:keepNext w:val="0"/>
        <w:keepLines w:val="0"/>
        <w:pageBreakBefore w:val="0"/>
        <w:widowControl/>
        <w:numPr>
          <w:ilvl w:val="0"/>
          <w:numId w:val="4"/>
        </w:numPr>
        <w:tabs>
          <w:tab w:val="left" w:pos="142"/>
        </w:tabs>
        <w:kinsoku/>
        <w:wordWrap/>
        <w:overflowPunct/>
        <w:topLinePunct w:val="0"/>
        <w:autoSpaceDE/>
        <w:autoSpaceDN/>
        <w:bidi w:val="0"/>
        <w:spacing w:beforeAutospacing="0" w:afterAutospacing="0"/>
        <w:ind w:firstLine="482"/>
        <w:contextualSpacing/>
        <w:textAlignment w:val="auto"/>
        <w:outlineLvl w:val="0"/>
        <w:rPr>
          <w:rStyle w:val="40"/>
          <w:rFonts w:hint="eastAsia"/>
          <w:sz w:val="21"/>
          <w:szCs w:val="21"/>
        </w:rPr>
      </w:pPr>
      <w:r>
        <w:rPr>
          <w:rStyle w:val="40"/>
          <w:rFonts w:hint="eastAsia"/>
          <w:sz w:val="21"/>
          <w:szCs w:val="21"/>
        </w:rPr>
        <w:t>维护内容及标准</w:t>
      </w:r>
    </w:p>
    <w:p>
      <w:pPr>
        <w:pStyle w:val="4"/>
        <w:keepNext w:val="0"/>
        <w:keepLines w:val="0"/>
        <w:pageBreakBefore w:val="0"/>
        <w:widowControl/>
        <w:numPr>
          <w:ilvl w:val="0"/>
          <w:numId w:val="0"/>
        </w:numPr>
        <w:tabs>
          <w:tab w:val="left" w:pos="142"/>
        </w:tabs>
        <w:kinsoku/>
        <w:wordWrap/>
        <w:overflowPunct/>
        <w:topLinePunct w:val="0"/>
        <w:autoSpaceDE/>
        <w:autoSpaceDN/>
        <w:bidi w:val="0"/>
        <w:spacing w:beforeAutospacing="0" w:afterAutospacing="0"/>
        <w:ind w:firstLine="482" w:firstLineChars="200"/>
        <w:contextualSpacing/>
        <w:textAlignment w:val="auto"/>
        <w:outlineLvl w:val="0"/>
        <w:rPr>
          <w:rFonts w:ascii="宋体" w:hAnsi="宋体" w:cs="宋体"/>
          <w:b/>
          <w:bCs/>
          <w:color w:val="auto"/>
        </w:rPr>
      </w:pPr>
      <w:r>
        <w:rPr>
          <w:rFonts w:hint="eastAsia" w:ascii="宋体" w:hAnsi="宋体" w:cs="宋体"/>
          <w:b/>
          <w:bCs/>
          <w:color w:val="auto"/>
        </w:rPr>
        <w:t>5.1 项目验收</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hint="eastAsia" w:ascii="宋体" w:hAnsi="宋体" w:eastAsia="宋体" w:cs="宋体"/>
          <w:color w:val="auto"/>
          <w:lang w:eastAsia="zh-CN"/>
        </w:rPr>
      </w:pPr>
      <w:r>
        <w:rPr>
          <w:rFonts w:hint="eastAsia" w:ascii="宋体" w:hAnsi="宋体" w:cs="宋体"/>
          <w:color w:val="auto"/>
        </w:rPr>
        <w:t>（1）投标方完成项目实施，并提供了相关的</w:t>
      </w:r>
      <w:r>
        <w:rPr>
          <w:rFonts w:hint="eastAsia" w:ascii="宋体" w:hAnsi="宋体" w:cs="宋体"/>
          <w:color w:val="auto"/>
          <w:lang w:eastAsia="zh-CN"/>
        </w:rPr>
        <w:t>维护</w:t>
      </w:r>
      <w:r>
        <w:rPr>
          <w:rFonts w:hint="eastAsia" w:ascii="宋体" w:hAnsi="宋体" w:cs="宋体"/>
          <w:color w:val="auto"/>
        </w:rPr>
        <w:t>资料</w:t>
      </w:r>
      <w:r>
        <w:rPr>
          <w:rFonts w:hint="eastAsia" w:ascii="宋体" w:hAnsi="宋体" w:cs="宋体"/>
          <w:color w:val="auto"/>
          <w:lang w:eastAsia="zh-CN"/>
        </w:rPr>
        <w:t>。</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ascii="宋体" w:hAnsi="宋体" w:cs="宋体"/>
          <w:color w:val="auto"/>
        </w:rPr>
      </w:pPr>
      <w:r>
        <w:rPr>
          <w:rFonts w:hint="eastAsia" w:ascii="宋体" w:hAnsi="宋体" w:cs="宋体"/>
          <w:color w:val="auto"/>
        </w:rPr>
        <w:t>（2）</w:t>
      </w:r>
      <w:r>
        <w:rPr>
          <w:bCs/>
          <w:szCs w:val="21"/>
        </w:rPr>
        <w:t>维护工作应建立维护记录</w:t>
      </w:r>
      <w:r>
        <w:rPr>
          <w:rFonts w:hint="eastAsia"/>
          <w:bCs/>
          <w:szCs w:val="21"/>
          <w:lang w:eastAsia="zh-CN"/>
        </w:rPr>
        <w:t>（</w:t>
      </w:r>
      <w:r>
        <w:rPr>
          <w:rFonts w:hint="eastAsia"/>
          <w:bCs/>
          <w:szCs w:val="21"/>
          <w:lang w:val="en-US" w:eastAsia="zh-CN"/>
        </w:rPr>
        <w:t>附件1</w:t>
      </w:r>
      <w:r>
        <w:rPr>
          <w:rFonts w:hint="eastAsia"/>
          <w:bCs/>
          <w:szCs w:val="21"/>
          <w:lang w:eastAsia="zh-CN"/>
        </w:rPr>
        <w:t>）</w:t>
      </w:r>
      <w:r>
        <w:rPr>
          <w:bCs/>
          <w:szCs w:val="21"/>
        </w:rPr>
        <w:t>，</w:t>
      </w:r>
      <w:r>
        <w:rPr>
          <w:rFonts w:hint="eastAsia"/>
          <w:bCs/>
          <w:szCs w:val="21"/>
        </w:rPr>
        <w:t>准确记录巡检工作内容、五防系统运行工况及存在问题，</w:t>
      </w:r>
      <w:r>
        <w:rPr>
          <w:bCs/>
          <w:szCs w:val="21"/>
        </w:rPr>
        <w:t>并经现场运行人员签字认可，作为维护工作</w:t>
      </w:r>
      <w:r>
        <w:rPr>
          <w:rFonts w:hint="eastAsia"/>
          <w:bCs/>
          <w:szCs w:val="21"/>
        </w:rPr>
        <w:t>开展</w:t>
      </w:r>
      <w:r>
        <w:rPr>
          <w:bCs/>
          <w:szCs w:val="21"/>
        </w:rPr>
        <w:t>的书面依据。</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2"/>
        <w:contextualSpacing/>
        <w:textAlignment w:val="auto"/>
        <w:outlineLvl w:val="0"/>
        <w:rPr>
          <w:rFonts w:ascii="宋体" w:hAnsi="宋体" w:cs="宋体"/>
          <w:b/>
          <w:bCs/>
          <w:color w:val="auto"/>
        </w:rPr>
      </w:pPr>
      <w:r>
        <w:rPr>
          <w:rFonts w:hint="eastAsia" w:ascii="宋体" w:hAnsi="宋体" w:cs="宋体"/>
          <w:b/>
          <w:bCs/>
          <w:color w:val="auto"/>
        </w:rPr>
        <w:t>5.2 售后服务及质量保证要求</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ascii="宋体" w:hAnsi="宋体" w:cs="宋体"/>
          <w:color w:val="auto"/>
        </w:rPr>
      </w:pPr>
      <w:r>
        <w:rPr>
          <w:rFonts w:hint="eastAsia" w:ascii="宋体" w:hAnsi="宋体" w:cs="宋体"/>
          <w:color w:val="auto"/>
        </w:rPr>
        <w:t>（1）所提供的</w:t>
      </w:r>
      <w:r>
        <w:rPr>
          <w:rFonts w:hint="eastAsia" w:ascii="宋体" w:hAnsi="宋体" w:cs="宋体"/>
          <w:color w:val="auto"/>
          <w:lang w:val="en-US" w:eastAsia="zh-CN"/>
        </w:rPr>
        <w:t>服务结束后</w:t>
      </w:r>
      <w:r>
        <w:rPr>
          <w:rFonts w:hint="eastAsia" w:ascii="宋体" w:hAnsi="宋体" w:cs="宋体"/>
          <w:color w:val="auto"/>
        </w:rPr>
        <w:t>，由于</w:t>
      </w:r>
      <w:r>
        <w:rPr>
          <w:rFonts w:hint="eastAsia" w:ascii="宋体" w:hAnsi="宋体" w:cs="宋体"/>
          <w:color w:val="auto"/>
          <w:lang w:eastAsia="zh-CN"/>
        </w:rPr>
        <w:t>五防系统</w:t>
      </w:r>
      <w:r>
        <w:rPr>
          <w:rFonts w:hint="eastAsia" w:ascii="宋体" w:hAnsi="宋体" w:cs="宋体"/>
          <w:color w:val="auto"/>
        </w:rPr>
        <w:t>发生故障，影响正常运</w:t>
      </w:r>
      <w:r>
        <w:rPr>
          <w:rFonts w:hint="eastAsia" w:ascii="宋体" w:hAnsi="宋体" w:cs="宋体"/>
          <w:color w:val="auto"/>
          <w:lang w:val="en-US" w:eastAsia="zh-CN"/>
        </w:rPr>
        <w:t>行</w:t>
      </w:r>
      <w:bookmarkStart w:id="40" w:name="_GoBack"/>
      <w:bookmarkEnd w:id="40"/>
      <w:r>
        <w:rPr>
          <w:rFonts w:hint="eastAsia" w:ascii="宋体" w:hAnsi="宋体" w:cs="宋体"/>
          <w:color w:val="auto"/>
        </w:rPr>
        <w:t>，投标方均应在24小时内作出反应，免费提供服务，及时解决存在的各种问题。</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ascii="宋体" w:hAnsi="宋体" w:cs="宋体"/>
          <w:color w:val="auto"/>
        </w:rPr>
      </w:pPr>
      <w:r>
        <w:rPr>
          <w:rFonts w:hint="eastAsia" w:ascii="宋体" w:hAnsi="宋体" w:cs="宋体"/>
          <w:color w:val="auto"/>
        </w:rPr>
        <w:t>（2）投标方负责招标方规定范围内的</w:t>
      </w:r>
      <w:r>
        <w:rPr>
          <w:rFonts w:hint="eastAsia" w:ascii="宋体" w:hAnsi="宋体" w:cs="宋体"/>
          <w:color w:val="auto"/>
          <w:lang w:eastAsia="zh-CN"/>
        </w:rPr>
        <w:t>五防系统维护</w:t>
      </w:r>
      <w:r>
        <w:rPr>
          <w:rFonts w:hint="eastAsia" w:ascii="宋体" w:hAnsi="宋体" w:cs="宋体"/>
          <w:color w:val="auto"/>
        </w:rPr>
        <w:t>，投标方有责任对原有不合理</w:t>
      </w:r>
      <w:r>
        <w:rPr>
          <w:rFonts w:hint="eastAsia" w:ascii="宋体" w:hAnsi="宋体" w:cs="宋体"/>
          <w:color w:val="auto"/>
          <w:lang w:eastAsia="zh-CN"/>
        </w:rPr>
        <w:t>之处</w:t>
      </w:r>
      <w:r>
        <w:rPr>
          <w:rFonts w:hint="eastAsia" w:ascii="宋体" w:hAnsi="宋体" w:cs="宋体"/>
          <w:color w:val="auto"/>
        </w:rPr>
        <w:t>提出改进意见与建议。</w:t>
      </w:r>
    </w:p>
    <w:p>
      <w:pPr>
        <w:pStyle w:val="2"/>
        <w:numPr>
          <w:ilvl w:val="1"/>
          <w:numId w:val="0"/>
        </w:numPr>
        <w:tabs>
          <w:tab w:val="left" w:pos="0"/>
          <w:tab w:val="left" w:pos="640"/>
        </w:tabs>
        <w:spacing w:before="0" w:after="0" w:line="360" w:lineRule="auto"/>
        <w:ind w:leftChars="200"/>
        <w:rPr>
          <w:rFonts w:ascii="宋体" w:hAnsi="宋体" w:cs="宋体"/>
          <w:color w:val="auto"/>
        </w:rPr>
      </w:pPr>
      <w:r>
        <w:rPr>
          <w:rFonts w:hint="eastAsia" w:ascii="宋体" w:hAnsi="宋体" w:eastAsia="宋体" w:cs="宋体"/>
          <w:b w:val="0"/>
          <w:bCs w:val="0"/>
          <w:color w:val="auto"/>
          <w:kern w:val="2"/>
          <w:sz w:val="24"/>
          <w:szCs w:val="24"/>
          <w:lang w:val="en-US" w:eastAsia="zh-CN" w:bidi="ar-SA"/>
        </w:rPr>
        <w:t>（3）投标方负责五防系统满足正常防误闭锁的要求。模拟</w:t>
      </w:r>
      <w:r>
        <w:rPr>
          <w:rFonts w:hint="eastAsia" w:ascii="宋体" w:hAnsi="宋体" w:cs="宋体"/>
          <w:b w:val="0"/>
          <w:bCs w:val="0"/>
          <w:color w:val="auto"/>
          <w:kern w:val="2"/>
          <w:sz w:val="24"/>
          <w:szCs w:val="24"/>
          <w:lang w:val="en-US" w:eastAsia="zh-CN" w:bidi="ar-SA"/>
        </w:rPr>
        <w:t>各种</w:t>
      </w:r>
      <w:r>
        <w:rPr>
          <w:rFonts w:hint="eastAsia" w:ascii="宋体" w:hAnsi="宋体" w:eastAsia="宋体" w:cs="宋体"/>
          <w:b w:val="0"/>
          <w:bCs w:val="0"/>
          <w:color w:val="auto"/>
          <w:kern w:val="2"/>
          <w:sz w:val="24"/>
          <w:szCs w:val="24"/>
          <w:lang w:val="en-US" w:eastAsia="zh-CN" w:bidi="ar-SA"/>
        </w:rPr>
        <w:t>操作测试</w:t>
      </w:r>
      <w:r>
        <w:rPr>
          <w:rFonts w:hint="eastAsia" w:ascii="宋体" w:hAnsi="宋体" w:cs="宋体"/>
          <w:b w:val="0"/>
          <w:bCs w:val="0"/>
          <w:color w:val="auto"/>
          <w:kern w:val="2"/>
          <w:sz w:val="24"/>
          <w:szCs w:val="24"/>
          <w:lang w:val="en-US" w:eastAsia="zh-CN" w:bidi="ar-SA"/>
        </w:rPr>
        <w:t>，</w:t>
      </w:r>
      <w:r>
        <w:rPr>
          <w:rFonts w:hint="eastAsia" w:ascii="宋体" w:hAnsi="宋体" w:eastAsia="宋体" w:cs="宋体"/>
          <w:b w:val="0"/>
          <w:bCs w:val="0"/>
          <w:color w:val="auto"/>
          <w:kern w:val="2"/>
          <w:sz w:val="24"/>
          <w:szCs w:val="24"/>
          <w:lang w:val="en-US" w:eastAsia="zh-CN" w:bidi="ar-SA"/>
        </w:rPr>
        <w:t>操作过程顺利通过，各设备操作弹出菜单中的名称、编号与站内当前情况一致，模拟操作设备能正确变位，模拟设备操作元件与系统提示设备一致，任务下传电脑钥匙正常；模拟错误操作的能正确闭锁，并有报警显示。</w:t>
      </w:r>
    </w:p>
    <w:p>
      <w:pPr>
        <w:pStyle w:val="2"/>
        <w:numPr>
          <w:ilvl w:val="1"/>
          <w:numId w:val="0"/>
        </w:numPr>
        <w:tabs>
          <w:tab w:val="left" w:pos="0"/>
          <w:tab w:val="left" w:pos="640"/>
        </w:tabs>
        <w:spacing w:before="0" w:after="0" w:line="360" w:lineRule="auto"/>
        <w:ind w:left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（4）投标方负责电脑钥匙外观正常，无破损；开启电脑钥匙电源，其屏幕显示正常、语音提示正常。电脑钥匙液晶显示屏显示文字清晰，语音播报清楚并且音量足够。</w:t>
      </w:r>
      <w:bookmarkStart w:id="22" w:name="_Toc26596"/>
      <w:r>
        <w:rPr>
          <w:rFonts w:hint="eastAsia" w:ascii="宋体" w:hAnsi="宋体" w:eastAsia="宋体" w:cs="宋体"/>
          <w:b w:val="0"/>
          <w:bCs w:val="0"/>
          <w:color w:val="auto"/>
          <w:kern w:val="2"/>
          <w:sz w:val="24"/>
          <w:szCs w:val="24"/>
          <w:lang w:val="en-US" w:eastAsia="zh-CN" w:bidi="ar-SA"/>
        </w:rPr>
        <w:t>能正确接受主机的已完成模拟的操作程序，操作后将设备位置变位信息传至主机的返校功能正常。</w:t>
      </w:r>
      <w:bookmarkEnd w:id="22"/>
    </w:p>
    <w:p>
      <w:pPr>
        <w:pStyle w:val="2"/>
        <w:numPr>
          <w:ilvl w:val="1"/>
          <w:numId w:val="0"/>
        </w:numPr>
        <w:tabs>
          <w:tab w:val="left" w:pos="0"/>
          <w:tab w:val="left" w:pos="640"/>
        </w:tabs>
        <w:spacing w:before="0" w:after="0" w:line="360" w:lineRule="auto"/>
        <w:ind w:left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（5）投标方负责接地线管理装置的运行状态</w:t>
      </w:r>
      <w:r>
        <w:rPr>
          <w:rFonts w:hint="eastAsia" w:ascii="宋体" w:hAnsi="宋体" w:cs="宋体"/>
          <w:b w:val="0"/>
          <w:bCs w:val="0"/>
          <w:color w:val="auto"/>
          <w:kern w:val="2"/>
          <w:sz w:val="24"/>
          <w:szCs w:val="24"/>
          <w:lang w:val="en-US" w:eastAsia="zh-CN" w:bidi="ar-SA"/>
        </w:rPr>
        <w:t>符合要求</w:t>
      </w:r>
      <w:r>
        <w:rPr>
          <w:rFonts w:hint="eastAsia" w:ascii="宋体" w:hAnsi="宋体" w:eastAsia="宋体" w:cs="宋体"/>
          <w:b w:val="0"/>
          <w:bCs w:val="0"/>
          <w:color w:val="auto"/>
          <w:kern w:val="2"/>
          <w:sz w:val="24"/>
          <w:szCs w:val="24"/>
          <w:lang w:val="en-US" w:eastAsia="zh-CN" w:bidi="ar-SA"/>
        </w:rPr>
        <w:t>，显示屏显示状态是否与实际一致，闭锁机构指示及闭锁状态正确、牢固。</w:t>
      </w:r>
    </w:p>
    <w:p>
      <w:pPr>
        <w:pStyle w:val="2"/>
        <w:numPr>
          <w:ilvl w:val="1"/>
          <w:numId w:val="0"/>
        </w:numPr>
        <w:tabs>
          <w:tab w:val="left" w:pos="0"/>
          <w:tab w:val="left" w:pos="640"/>
        </w:tabs>
        <w:spacing w:before="0" w:after="0" w:line="360" w:lineRule="auto"/>
        <w:ind w:leftChars="200"/>
        <w:rPr>
          <w:color w:val="auto"/>
        </w:rPr>
      </w:pPr>
      <w:r>
        <w:rPr>
          <w:rFonts w:hint="eastAsia" w:ascii="宋体" w:hAnsi="宋体" w:eastAsia="宋体" w:cs="宋体"/>
          <w:b w:val="0"/>
          <w:bCs w:val="0"/>
          <w:color w:val="auto"/>
          <w:kern w:val="2"/>
          <w:sz w:val="24"/>
          <w:szCs w:val="24"/>
          <w:lang w:val="en-US" w:eastAsia="zh-CN" w:bidi="ar-SA"/>
        </w:rPr>
        <w:t>（6）投标方负责</w:t>
      </w:r>
      <w:bookmarkStart w:id="23" w:name="_Toc7699"/>
      <w:r>
        <w:rPr>
          <w:rFonts w:hint="eastAsia" w:ascii="宋体" w:hAnsi="宋体" w:eastAsia="宋体" w:cs="宋体"/>
          <w:b w:val="0"/>
          <w:bCs w:val="0"/>
          <w:color w:val="auto"/>
          <w:kern w:val="2"/>
          <w:sz w:val="24"/>
          <w:szCs w:val="24"/>
          <w:lang w:val="en-US" w:eastAsia="zh-CN" w:bidi="ar-SA"/>
        </w:rPr>
        <w:t>主机与</w:t>
      </w:r>
      <w:r>
        <w:rPr>
          <w:rFonts w:hint="eastAsia" w:ascii="宋体" w:hAnsi="宋体" w:cs="宋体"/>
          <w:b w:val="0"/>
          <w:bCs w:val="0"/>
          <w:color w:val="auto"/>
          <w:kern w:val="2"/>
          <w:sz w:val="24"/>
          <w:szCs w:val="24"/>
          <w:lang w:val="en-US" w:eastAsia="zh-CN" w:bidi="ar-SA"/>
        </w:rPr>
        <w:t>监控系统</w:t>
      </w:r>
      <w:r>
        <w:rPr>
          <w:rFonts w:hint="eastAsia" w:ascii="宋体" w:hAnsi="宋体" w:eastAsia="宋体" w:cs="宋体"/>
          <w:b w:val="0"/>
          <w:bCs w:val="0"/>
          <w:color w:val="auto"/>
          <w:kern w:val="2"/>
          <w:sz w:val="24"/>
          <w:szCs w:val="24"/>
          <w:lang w:val="en-US" w:eastAsia="zh-CN" w:bidi="ar-SA"/>
        </w:rPr>
        <w:t>通讯应正常，设备遥信位置正确（包括断路器、隔离开关、接地开关等），后台操作断路器时应可靠闭锁或解锁</w:t>
      </w:r>
      <w:r>
        <w:rPr>
          <w:rFonts w:hint="eastAsia" w:ascii="宋体" w:hAnsi="宋体" w:cs="宋体"/>
          <w:b w:val="0"/>
          <w:bCs w:val="0"/>
          <w:color w:val="auto"/>
          <w:kern w:val="2"/>
          <w:sz w:val="24"/>
          <w:szCs w:val="24"/>
          <w:lang w:val="en-US" w:eastAsia="zh-CN" w:bidi="ar-SA"/>
        </w:rPr>
        <w:t>，</w:t>
      </w:r>
      <w:r>
        <w:rPr>
          <w:rFonts w:hint="eastAsia" w:ascii="宋体" w:hAnsi="宋体" w:eastAsia="宋体" w:cs="宋体"/>
          <w:b w:val="0"/>
          <w:bCs w:val="0"/>
          <w:color w:val="auto"/>
          <w:kern w:val="2"/>
          <w:sz w:val="24"/>
          <w:szCs w:val="24"/>
          <w:lang w:val="en-US" w:eastAsia="zh-CN" w:bidi="ar-SA"/>
        </w:rPr>
        <w:t>主机与五防</w:t>
      </w:r>
      <w:r>
        <w:rPr>
          <w:rFonts w:hint="eastAsia" w:ascii="宋体" w:hAnsi="宋体" w:cs="宋体"/>
          <w:b w:val="0"/>
          <w:bCs w:val="0"/>
          <w:color w:val="auto"/>
          <w:kern w:val="2"/>
          <w:sz w:val="24"/>
          <w:szCs w:val="24"/>
          <w:lang w:val="en-US" w:eastAsia="zh-CN" w:bidi="ar-SA"/>
        </w:rPr>
        <w:t>电脑</w:t>
      </w:r>
      <w:r>
        <w:rPr>
          <w:rFonts w:hint="eastAsia" w:ascii="宋体" w:hAnsi="宋体" w:eastAsia="宋体" w:cs="宋体"/>
          <w:b w:val="0"/>
          <w:bCs w:val="0"/>
          <w:color w:val="auto"/>
          <w:kern w:val="2"/>
          <w:sz w:val="24"/>
          <w:szCs w:val="24"/>
          <w:lang w:val="en-US" w:eastAsia="zh-CN" w:bidi="ar-SA"/>
        </w:rPr>
        <w:t>钥匙通讯正常</w:t>
      </w:r>
      <w:bookmarkEnd w:id="23"/>
      <w:r>
        <w:rPr>
          <w:rFonts w:hint="eastAsia" w:ascii="宋体" w:hAnsi="宋体" w:cs="宋体"/>
          <w:b w:val="0"/>
          <w:bCs w:val="0"/>
          <w:color w:val="auto"/>
          <w:kern w:val="2"/>
          <w:sz w:val="24"/>
          <w:szCs w:val="24"/>
          <w:lang w:val="en-US" w:eastAsia="zh-CN" w:bidi="ar-SA"/>
        </w:rPr>
        <w:t>，能正常接收、回传操作票。</w:t>
      </w:r>
      <w:bookmarkStart w:id="24" w:name="_Toc176"/>
      <w:r>
        <w:rPr>
          <w:rFonts w:hint="eastAsia" w:ascii="宋体" w:hAnsi="宋体" w:cs="宋体"/>
          <w:b w:val="0"/>
          <w:bCs w:val="0"/>
          <w:color w:val="auto"/>
          <w:kern w:val="2"/>
          <w:sz w:val="24"/>
          <w:szCs w:val="24"/>
          <w:lang w:val="en-US" w:eastAsia="zh-CN" w:bidi="ar-SA"/>
        </w:rPr>
        <w:t>主机与接地线管理装置通讯正常，能正常“解锁”、“闭锁”接地线。</w:t>
      </w:r>
      <w:bookmarkEnd w:id="24"/>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2"/>
        <w:contextualSpacing/>
        <w:textAlignment w:val="auto"/>
        <w:outlineLvl w:val="0"/>
        <w:rPr>
          <w:rFonts w:ascii="宋体" w:hAnsi="宋体" w:cs="宋体"/>
          <w:b/>
          <w:bCs/>
          <w:color w:val="auto"/>
        </w:rPr>
      </w:pPr>
      <w:r>
        <w:rPr>
          <w:rFonts w:hint="eastAsia" w:ascii="宋体" w:hAnsi="宋体" w:cs="宋体"/>
          <w:b/>
          <w:bCs/>
          <w:color w:val="auto"/>
        </w:rPr>
        <w:t>5.3 项目进度计划</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hint="eastAsia" w:ascii="宋体" w:hAnsi="宋体" w:eastAsia="宋体" w:cs="宋体"/>
          <w:color w:val="auto"/>
          <w:lang w:eastAsia="zh-CN"/>
        </w:rPr>
      </w:pPr>
      <w:r>
        <w:rPr>
          <w:rFonts w:ascii="宋体" w:hAnsi="宋体" w:cs="宋体"/>
          <w:color w:val="auto"/>
        </w:rPr>
        <w:t>投标方应在签订合同后</w:t>
      </w:r>
      <w:r>
        <w:rPr>
          <w:rFonts w:hint="eastAsia" w:ascii="宋体" w:hAnsi="宋体" w:cs="宋体"/>
          <w:color w:val="auto"/>
          <w:lang w:val="en-US" w:eastAsia="zh-CN"/>
        </w:rPr>
        <w:t>60</w:t>
      </w:r>
      <w:r>
        <w:rPr>
          <w:rFonts w:ascii="宋体" w:hAnsi="宋体" w:cs="宋体"/>
          <w:color w:val="auto"/>
        </w:rPr>
        <w:t>个工作日内完成</w:t>
      </w:r>
      <w:r>
        <w:rPr>
          <w:rFonts w:hint="eastAsia" w:ascii="宋体" w:hAnsi="宋体" w:cs="宋体"/>
          <w:color w:val="auto"/>
          <w:lang w:eastAsia="zh-CN"/>
        </w:rPr>
        <w:t>五防系统维保</w:t>
      </w:r>
      <w:r>
        <w:rPr>
          <w:rFonts w:ascii="宋体" w:hAnsi="宋体" w:cs="宋体"/>
          <w:color w:val="auto"/>
        </w:rPr>
        <w:t>的工程实施工作并投入运行</w:t>
      </w:r>
      <w:r>
        <w:rPr>
          <w:rFonts w:hint="eastAsia" w:ascii="宋体" w:hAnsi="宋体" w:cs="宋体"/>
          <w:color w:val="auto"/>
          <w:lang w:eastAsia="zh-CN"/>
        </w:rPr>
        <w:t>。</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2"/>
        <w:contextualSpacing/>
        <w:textAlignment w:val="auto"/>
        <w:outlineLvl w:val="0"/>
        <w:rPr>
          <w:rFonts w:ascii="宋体" w:hAnsi="宋体" w:cs="宋体"/>
          <w:b/>
          <w:bCs/>
          <w:color w:val="auto"/>
        </w:rPr>
      </w:pPr>
      <w:bookmarkStart w:id="25" w:name="_Toc10738"/>
      <w:bookmarkStart w:id="26" w:name="_Toc15659"/>
      <w:bookmarkStart w:id="27" w:name="_Toc32761"/>
      <w:bookmarkStart w:id="28" w:name="_Toc32567"/>
      <w:bookmarkStart w:id="29" w:name="_Toc15839"/>
      <w:bookmarkStart w:id="30" w:name="_Toc438"/>
      <w:bookmarkStart w:id="31" w:name="_Toc31725"/>
      <w:bookmarkStart w:id="32" w:name="_Toc21463_WPSOffice_Level2"/>
      <w:bookmarkStart w:id="33" w:name="_Toc7759_WPSOffice_Level2"/>
      <w:bookmarkStart w:id="34" w:name="_Toc24879"/>
      <w:bookmarkStart w:id="35" w:name="_Toc29304_WPSOffice_Level2"/>
      <w:bookmarkStart w:id="36" w:name="_Toc30647"/>
      <w:bookmarkStart w:id="37" w:name="_Toc1665"/>
      <w:bookmarkStart w:id="38" w:name="_Toc20882"/>
      <w:r>
        <w:rPr>
          <w:rFonts w:hint="eastAsia" w:ascii="宋体" w:hAnsi="宋体" w:cs="宋体"/>
          <w:b/>
          <w:bCs/>
          <w:color w:val="auto"/>
        </w:rPr>
        <w:t>5.4 人员配置及组织</w:t>
      </w:r>
      <w:bookmarkEnd w:id="25"/>
      <w:bookmarkEnd w:id="26"/>
      <w:bookmarkEnd w:id="27"/>
      <w:bookmarkEnd w:id="28"/>
      <w:bookmarkEnd w:id="29"/>
      <w:bookmarkEnd w:id="30"/>
      <w:bookmarkEnd w:id="31"/>
      <w:bookmarkEnd w:id="32"/>
      <w:bookmarkEnd w:id="33"/>
      <w:bookmarkEnd w:id="34"/>
      <w:bookmarkEnd w:id="35"/>
      <w:bookmarkEnd w:id="36"/>
      <w:bookmarkEnd w:id="37"/>
      <w:bookmarkEnd w:id="38"/>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ascii="宋体" w:hAnsi="宋体" w:cs="宋体"/>
          <w:color w:val="auto"/>
        </w:rPr>
      </w:pPr>
      <w:r>
        <w:rPr>
          <w:rFonts w:hint="eastAsia" w:ascii="宋体" w:hAnsi="宋体" w:cs="宋体"/>
          <w:color w:val="auto"/>
        </w:rPr>
        <w:t>（1）投标人应按采购文件的要求配置数量足够、专业齐全、结构合理的服务团队进行工作。其中须指定人员作为本服务项目团队的负责人。</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ascii="宋体" w:hAnsi="宋体" w:cs="宋体"/>
          <w:color w:val="auto"/>
        </w:rPr>
      </w:pPr>
      <w:r>
        <w:rPr>
          <w:rFonts w:hint="eastAsia" w:ascii="宋体" w:hAnsi="宋体" w:cs="宋体"/>
          <w:color w:val="auto"/>
        </w:rPr>
        <w:t>（2）投标人的服务人员应具有与本项目技术要求相适应的技术水平、管理水平和相应资质。</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ascii="宋体" w:hAnsi="宋体" w:cs="宋体"/>
          <w:color w:val="auto"/>
        </w:rPr>
      </w:pPr>
      <w:r>
        <w:rPr>
          <w:rFonts w:hint="eastAsia" w:ascii="宋体" w:hAnsi="宋体" w:cs="宋体"/>
          <w:color w:val="auto"/>
        </w:rPr>
        <w:t>（3）投标人应保持服务人员的稳定性。除非采购人书面同意，投标人不得更换服务人员。如需更换，应以同等或更高条件的人员取代需更换的人员。若因人员更换影响本服务工作的，由投标人承担所有损失责任。</w:t>
      </w:r>
    </w:p>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ascii="宋体" w:hAnsi="宋体" w:cs="宋体"/>
          <w:color w:val="auto"/>
        </w:rPr>
      </w:pPr>
      <w:r>
        <w:rPr>
          <w:rFonts w:hint="eastAsia" w:ascii="宋体" w:hAnsi="宋体" w:cs="宋体"/>
          <w:color w:val="auto"/>
        </w:rPr>
        <w:t>（4）如投标人服务人员不能满足要求，采购人有权要求投标人增加或更换服务人员，投标人应无条件配合。</w:t>
      </w:r>
    </w:p>
    <w:p>
      <w:pPr>
        <w:pStyle w:val="3"/>
        <w:spacing w:before="0" w:after="0" w:line="360" w:lineRule="auto"/>
        <w:rPr>
          <w:rFonts w:hint="eastAsia"/>
          <w:sz w:val="21"/>
          <w:szCs w:val="21"/>
        </w:rPr>
      </w:pPr>
      <w:r>
        <w:rPr>
          <w:rFonts w:hint="eastAsia"/>
          <w:sz w:val="21"/>
          <w:szCs w:val="21"/>
        </w:rPr>
        <w:t>附件</w:t>
      </w:r>
    </w:p>
    <w:p>
      <w:pPr>
        <w:widowControl/>
        <w:shd w:val="clear" w:color="auto" w:fill="FFFFFF"/>
        <w:spacing w:line="360" w:lineRule="auto"/>
        <w:ind w:firstLine="420" w:firstLineChars="200"/>
        <w:rPr>
          <w:rFonts w:hint="eastAsia"/>
          <w:bCs/>
          <w:szCs w:val="21"/>
        </w:rPr>
      </w:pPr>
      <w:bookmarkStart w:id="39" w:name="_Toc28512"/>
      <w:r>
        <w:rPr>
          <w:rFonts w:hint="eastAsia" w:ascii="宋体" w:hAnsi="宋体" w:cs="宋体"/>
          <w:kern w:val="0"/>
          <w:szCs w:val="21"/>
          <w:shd w:val="clear" w:color="auto" w:fill="FFFFFF"/>
          <w:lang w:bidi="ar"/>
        </w:rPr>
        <w:t>附件1：</w:t>
      </w:r>
      <w:bookmarkEnd w:id="39"/>
      <w:r>
        <w:rPr>
          <w:rFonts w:hint="eastAsia"/>
          <w:bCs/>
          <w:szCs w:val="21"/>
        </w:rPr>
        <w:t>微机防误闭锁装置专业维护记录表</w:t>
      </w:r>
    </w:p>
    <w:p>
      <w:pPr>
        <w:widowControl/>
        <w:shd w:val="clear" w:color="auto" w:fill="FFFFFF"/>
        <w:spacing w:line="360" w:lineRule="auto"/>
        <w:ind w:firstLine="420" w:firstLineChars="200"/>
        <w:rPr>
          <w:rFonts w:hint="eastAsia" w:ascii="宋体" w:hAnsi="宋体" w:cs="宋体"/>
          <w:kern w:val="0"/>
          <w:szCs w:val="21"/>
          <w:shd w:val="clear" w:color="auto" w:fill="FFFFFF"/>
          <w:lang w:bidi="ar"/>
        </w:rPr>
      </w:pPr>
    </w:p>
    <w:p>
      <w:pPr>
        <w:pStyle w:val="4"/>
        <w:ind w:firstLine="0"/>
        <w:jc w:val="center"/>
        <w:rPr>
          <w:rFonts w:hint="eastAsia"/>
          <w:bCs/>
          <w:szCs w:val="21"/>
        </w:rPr>
      </w:pPr>
      <w:r>
        <w:rPr>
          <w:rFonts w:hint="eastAsia"/>
          <w:bCs/>
          <w:szCs w:val="21"/>
        </w:rPr>
        <w:t>附件1：微机防误闭锁装置专业维护记录表</w:t>
      </w:r>
    </w:p>
    <w:tbl>
      <w:tblPr>
        <w:tblStyle w:val="11"/>
        <w:tblW w:w="0" w:type="auto"/>
        <w:tblInd w:w="0" w:type="dxa"/>
        <w:tblLayout w:type="fixed"/>
        <w:tblCellMar>
          <w:top w:w="15" w:type="dxa"/>
          <w:left w:w="15" w:type="dxa"/>
          <w:bottom w:w="15" w:type="dxa"/>
          <w:right w:w="15" w:type="dxa"/>
        </w:tblCellMar>
      </w:tblPr>
      <w:tblGrid>
        <w:gridCol w:w="578"/>
        <w:gridCol w:w="883"/>
        <w:gridCol w:w="798"/>
        <w:gridCol w:w="2113"/>
        <w:gridCol w:w="1282"/>
        <w:gridCol w:w="1233"/>
        <w:gridCol w:w="1973"/>
      </w:tblGrid>
      <w:tr>
        <w:tblPrEx>
          <w:tblCellMar>
            <w:top w:w="15" w:type="dxa"/>
            <w:left w:w="15" w:type="dxa"/>
            <w:bottom w:w="15" w:type="dxa"/>
            <w:right w:w="15" w:type="dxa"/>
          </w:tblCellMar>
        </w:tblPrEx>
        <w:trPr>
          <w:trHeight w:val="90" w:hRule="atLeast"/>
        </w:trPr>
        <w:tc>
          <w:tcPr>
            <w:tcW w:w="8860" w:type="dxa"/>
            <w:gridSpan w:val="7"/>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b/>
                <w:sz w:val="18"/>
                <w:szCs w:val="18"/>
              </w:rPr>
            </w:pPr>
            <w:r>
              <w:rPr>
                <w:rFonts w:hint="eastAsia" w:ascii="宋体" w:hAnsi="宋体" w:cs="宋体"/>
                <w:b/>
                <w:kern w:val="0"/>
                <w:sz w:val="18"/>
                <w:szCs w:val="18"/>
                <w:lang w:bidi="ar"/>
              </w:rPr>
              <w:t>一、系统信息</w:t>
            </w: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序号</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项目</w:t>
            </w:r>
          </w:p>
        </w:tc>
        <w:tc>
          <w:tcPr>
            <w:tcW w:w="211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型号</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数量</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投运日期</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工况评估</w:t>
            </w: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1</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系统厂家</w:t>
            </w:r>
          </w:p>
        </w:tc>
        <w:tc>
          <w:tcPr>
            <w:tcW w:w="6601" w:type="dxa"/>
            <w:gridSpan w:val="4"/>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90"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2</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系统型号及版本号</w:t>
            </w:r>
          </w:p>
        </w:tc>
        <w:tc>
          <w:tcPr>
            <w:tcW w:w="6601" w:type="dxa"/>
            <w:gridSpan w:val="4"/>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3</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五防工作站</w:t>
            </w:r>
          </w:p>
        </w:tc>
        <w:tc>
          <w:tcPr>
            <w:tcW w:w="211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4</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ascii="宋体" w:hAnsi="宋体" w:cs="宋体"/>
                <w:kern w:val="0"/>
                <w:sz w:val="18"/>
                <w:szCs w:val="18"/>
                <w:lang w:bidi="ar"/>
              </w:rPr>
            </w:pPr>
            <w:r>
              <w:rPr>
                <w:rFonts w:hint="eastAsia" w:ascii="宋体" w:hAnsi="宋体" w:cs="宋体"/>
                <w:kern w:val="0"/>
                <w:sz w:val="18"/>
                <w:szCs w:val="18"/>
                <w:lang w:bidi="ar"/>
              </w:rPr>
              <w:t>五防主机操作系统</w:t>
            </w:r>
          </w:p>
        </w:tc>
        <w:tc>
          <w:tcPr>
            <w:tcW w:w="211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254"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5</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操作票打印机</w:t>
            </w:r>
          </w:p>
        </w:tc>
        <w:tc>
          <w:tcPr>
            <w:tcW w:w="211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eastAsia="宋体" w:cs="宋体"/>
                <w:sz w:val="18"/>
                <w:szCs w:val="18"/>
                <w:lang w:eastAsia="zh-CN"/>
              </w:rPr>
            </w:pPr>
            <w:r>
              <w:rPr>
                <w:rFonts w:hint="eastAsia" w:ascii="宋体" w:hAnsi="宋体" w:cs="宋体"/>
                <w:kern w:val="0"/>
                <w:sz w:val="18"/>
                <w:szCs w:val="18"/>
                <w:lang w:val="en-US" w:eastAsia="zh-CN" w:bidi="ar"/>
              </w:rPr>
              <w:t>6</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电脑钥匙</w:t>
            </w:r>
          </w:p>
        </w:tc>
        <w:tc>
          <w:tcPr>
            <w:tcW w:w="211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213"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eastAsia="宋体" w:cs="宋体"/>
                <w:sz w:val="18"/>
                <w:szCs w:val="18"/>
                <w:lang w:eastAsia="zh-CN"/>
              </w:rPr>
            </w:pPr>
            <w:r>
              <w:rPr>
                <w:rFonts w:hint="eastAsia" w:ascii="宋体" w:hAnsi="宋体" w:cs="宋体"/>
                <w:kern w:val="0"/>
                <w:sz w:val="18"/>
                <w:szCs w:val="18"/>
                <w:lang w:val="en-US" w:eastAsia="zh-CN" w:bidi="ar"/>
              </w:rPr>
              <w:t>7</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监控通讯</w:t>
            </w:r>
          </w:p>
        </w:tc>
        <w:tc>
          <w:tcPr>
            <w:tcW w:w="211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255"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eastAsia="宋体" w:cs="宋体"/>
                <w:sz w:val="18"/>
                <w:szCs w:val="18"/>
                <w:lang w:eastAsia="zh-CN"/>
              </w:rPr>
            </w:pPr>
            <w:r>
              <w:rPr>
                <w:rFonts w:hint="eastAsia" w:ascii="宋体" w:hAnsi="宋体" w:cs="宋体"/>
                <w:kern w:val="0"/>
                <w:sz w:val="18"/>
                <w:szCs w:val="18"/>
                <w:lang w:val="en-US" w:eastAsia="zh-CN" w:bidi="ar"/>
              </w:rPr>
              <w:t>8</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钥匙管理机</w:t>
            </w:r>
          </w:p>
        </w:tc>
        <w:tc>
          <w:tcPr>
            <w:tcW w:w="211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295"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eastAsia="宋体" w:cs="宋体"/>
                <w:sz w:val="18"/>
                <w:szCs w:val="18"/>
                <w:lang w:eastAsia="zh-CN"/>
              </w:rPr>
            </w:pPr>
            <w:r>
              <w:rPr>
                <w:rFonts w:hint="eastAsia" w:ascii="宋体" w:hAnsi="宋体" w:cs="宋体"/>
                <w:kern w:val="0"/>
                <w:sz w:val="18"/>
                <w:szCs w:val="18"/>
                <w:lang w:val="en-US" w:eastAsia="zh-CN" w:bidi="ar"/>
              </w:rPr>
              <w:t>9</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eastAsia="zh-CN" w:bidi="ar"/>
              </w:rPr>
              <w:t>接</w:t>
            </w:r>
            <w:r>
              <w:rPr>
                <w:rFonts w:hint="eastAsia" w:ascii="宋体" w:hAnsi="宋体" w:cs="宋体"/>
                <w:kern w:val="0"/>
                <w:sz w:val="18"/>
                <w:szCs w:val="18"/>
                <w:lang w:bidi="ar"/>
              </w:rPr>
              <w:t>地线管理器</w:t>
            </w:r>
          </w:p>
        </w:tc>
        <w:tc>
          <w:tcPr>
            <w:tcW w:w="211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309"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default" w:ascii="宋体" w:hAnsi="宋体" w:eastAsia="宋体" w:cs="宋体"/>
                <w:sz w:val="18"/>
                <w:szCs w:val="18"/>
                <w:lang w:val="en-US" w:eastAsia="zh-CN"/>
              </w:rPr>
            </w:pPr>
            <w:r>
              <w:rPr>
                <w:rFonts w:hint="eastAsia" w:ascii="宋体" w:hAnsi="宋体" w:cs="宋体"/>
                <w:kern w:val="0"/>
                <w:sz w:val="18"/>
                <w:szCs w:val="18"/>
                <w:lang w:val="en-US" w:eastAsia="zh-CN" w:bidi="ar"/>
              </w:rPr>
              <w:t>10</w:t>
            </w:r>
          </w:p>
        </w:tc>
        <w:tc>
          <w:tcPr>
            <w:tcW w:w="168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机械编码锁</w:t>
            </w:r>
          </w:p>
        </w:tc>
        <w:tc>
          <w:tcPr>
            <w:tcW w:w="211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rPr>
                <w:rFonts w:hint="eastAsia" w:ascii="宋体" w:hAnsi="宋体" w:cs="宋体"/>
                <w:sz w:val="18"/>
                <w:szCs w:val="18"/>
              </w:rPr>
            </w:pPr>
          </w:p>
        </w:tc>
      </w:tr>
      <w:tr>
        <w:tblPrEx>
          <w:tblCellMar>
            <w:top w:w="15" w:type="dxa"/>
            <w:left w:w="15" w:type="dxa"/>
            <w:bottom w:w="15" w:type="dxa"/>
            <w:right w:w="15" w:type="dxa"/>
          </w:tblCellMar>
        </w:tblPrEx>
        <w:trPr>
          <w:trHeight w:val="286" w:hRule="atLeast"/>
        </w:trPr>
        <w:tc>
          <w:tcPr>
            <w:tcW w:w="8860" w:type="dxa"/>
            <w:gridSpan w:val="7"/>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b/>
                <w:sz w:val="18"/>
                <w:szCs w:val="18"/>
              </w:rPr>
            </w:pPr>
            <w:r>
              <w:rPr>
                <w:rFonts w:hint="eastAsia" w:ascii="宋体" w:hAnsi="宋体" w:cs="宋体"/>
                <w:b/>
                <w:kern w:val="0"/>
                <w:sz w:val="18"/>
                <w:szCs w:val="18"/>
                <w:lang w:bidi="ar"/>
              </w:rPr>
              <w:t>二、维护项目</w:t>
            </w: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序号</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b/>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巡检内容</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现场情况记录</w:t>
            </w: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缺陷处理记录</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b/>
                <w:sz w:val="18"/>
                <w:szCs w:val="18"/>
              </w:rPr>
            </w:pPr>
            <w:r>
              <w:rPr>
                <w:rFonts w:hint="eastAsia" w:ascii="宋体" w:hAnsi="宋体" w:cs="宋体"/>
                <w:b/>
                <w:kern w:val="0"/>
                <w:sz w:val="18"/>
                <w:szCs w:val="18"/>
                <w:lang w:bidi="ar"/>
              </w:rPr>
              <w:t>遗留问题</w:t>
            </w:r>
          </w:p>
        </w:tc>
      </w:tr>
      <w:tr>
        <w:tblPrEx>
          <w:tblCellMar>
            <w:top w:w="15" w:type="dxa"/>
            <w:left w:w="15" w:type="dxa"/>
            <w:bottom w:w="15" w:type="dxa"/>
            <w:right w:w="15" w:type="dxa"/>
          </w:tblCellMar>
        </w:tblPrEx>
        <w:trPr>
          <w:cantSplit/>
          <w:trHeight w:val="463" w:hRule="atLeast"/>
        </w:trPr>
        <w:tc>
          <w:tcPr>
            <w:tcW w:w="57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1</w:t>
            </w:r>
          </w:p>
        </w:tc>
        <w:tc>
          <w:tcPr>
            <w:tcW w:w="883"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防误闭锁装置主机（工作站）</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主机的防误闭锁装置是否在投入位置（一体化）。</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756"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主机及其防误闭锁软件均运行情况，不出现死机、运行速度缓慢、程序自动退出、程序出错等现象。</w:t>
            </w:r>
          </w:p>
        </w:tc>
        <w:tc>
          <w:tcPr>
            <w:tcW w:w="1282" w:type="dxa"/>
            <w:tcBorders>
              <w:top w:val="single" w:color="000000" w:sz="4" w:space="0"/>
              <w:left w:val="single" w:color="000000" w:sz="4" w:space="0"/>
              <w:bottom w:val="single" w:color="000000" w:sz="4" w:space="0"/>
              <w:right w:val="single" w:color="000000" w:sz="4" w:space="0"/>
            </w:tcBorders>
            <w:noWrap w:val="0"/>
            <w:vAlign w:val="bottom"/>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370"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主机接于不间断电源，且电源运行正常；断开其交流电源后，主机工作正常。检查主机电脑的不间断电源容量是否足够，供电是否可靠。</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517"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防误闭锁装置主机是否安装其它无关软件或程序。</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586"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杀毒软件安装情况，更新病毒库，检查主机电脑是否感染病毒。</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306"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ascii="宋体" w:hAnsi="宋体" w:cs="宋体"/>
                <w:kern w:val="0"/>
                <w:sz w:val="18"/>
                <w:szCs w:val="18"/>
                <w:lang w:bidi="ar"/>
              </w:rPr>
            </w:pPr>
            <w:r>
              <w:rPr>
                <w:rFonts w:hint="eastAsia" w:ascii="宋体" w:hAnsi="宋体" w:cs="宋体"/>
                <w:kern w:val="0"/>
                <w:sz w:val="18"/>
                <w:szCs w:val="18"/>
                <w:lang w:bidi="ar"/>
              </w:rPr>
              <w:t>检查信息安全加固情况。</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695"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主机配套打印机运行正常，硒鼓或墨盒充足，可正常打印防误系统相关信息。</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654" w:hRule="atLeast"/>
        </w:trPr>
        <w:tc>
          <w:tcPr>
            <w:tcW w:w="57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2</w:t>
            </w:r>
          </w:p>
        </w:tc>
        <w:tc>
          <w:tcPr>
            <w:tcW w:w="883"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五防数据库软件</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五防接线图检查：将五防图与现场的实际设备对照，确保两者统一。</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414"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设备属性检查：对所有五防锁具属性进行检查。</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975"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五防逻辑检查：对全部五防逻辑进行检查。对于电动操作的电气逻辑闭锁回路，必须按设备单元逐项进行闭锁逻辑试验验收。</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640"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运行方式：配合运行人员核对运行方式，并根据用户的要求更改。</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586"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一次设备名称检查：对五防库中全站所有一次设备进行检查。</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531"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二次设备名称检查：对五防库中全站所有连接片、空开、切换开关等二次设备进行检查。</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682"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操作术语检查：检查设定的操作术语，使之满足实际要求。</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742"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人员信息及权限检查：如人员发生变动，应及时变更人员信息；每个人员设置五防权限。</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673" w:hRule="atLeast"/>
        </w:trPr>
        <w:tc>
          <w:tcPr>
            <w:tcW w:w="57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3</w:t>
            </w:r>
          </w:p>
        </w:tc>
        <w:tc>
          <w:tcPr>
            <w:tcW w:w="883"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通讯模块</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主机与</w:t>
            </w:r>
            <w:r>
              <w:rPr>
                <w:rFonts w:hint="eastAsia" w:ascii="宋体" w:hAnsi="宋体" w:cs="宋体"/>
                <w:kern w:val="0"/>
                <w:sz w:val="18"/>
                <w:szCs w:val="18"/>
                <w:lang w:eastAsia="zh-CN" w:bidi="ar"/>
              </w:rPr>
              <w:t>监控系统</w:t>
            </w:r>
            <w:r>
              <w:rPr>
                <w:rFonts w:hint="eastAsia" w:ascii="宋体" w:hAnsi="宋体" w:cs="宋体"/>
                <w:kern w:val="0"/>
                <w:sz w:val="18"/>
                <w:szCs w:val="18"/>
                <w:lang w:bidi="ar"/>
              </w:rPr>
              <w:t>通讯应正常，设备遥信位置正确（包括断路器、隔离开关、接地开关、临时接地桩等），后台操作断路器时应可靠闭锁或解锁。</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609"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主机与五防工控机通讯，能正常接收、回传操作票。</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790"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主机与接地线管理装置通讯正常，能正常“解锁”、“闭锁”接地线。</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764" w:hRule="atLeast"/>
        </w:trPr>
        <w:tc>
          <w:tcPr>
            <w:tcW w:w="57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4</w:t>
            </w:r>
          </w:p>
        </w:tc>
        <w:tc>
          <w:tcPr>
            <w:tcW w:w="883"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五防电脑钥匙</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五防电脑钥匙通讯正常，电脑钥匙充电正常。</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975"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检查电脑钥匙数量（不少于两套），钥匙外观正常，无破损；开启电脑钥匙电源，检查其屏幕显示正常、语音提示正常。</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975"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能正确识别编码锁，正常操作应顺利开锁，钥匙开锁机构应零活、无卡涩。误操作应可靠闭锁并发报警信号。钥匙操作手轮转动正常，无卡阻。</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975"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检查钥匙失电记忆功能，模拟钥匙失电或更新电池后，存储的操作程序和其他全部信息不应改变或丢失。</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trHeight w:val="975"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5</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textAlignment w:val="center"/>
              <w:rPr>
                <w:rFonts w:hint="eastAsia" w:ascii="宋体" w:hAnsi="宋体" w:cs="宋体"/>
                <w:sz w:val="18"/>
                <w:szCs w:val="18"/>
              </w:rPr>
            </w:pPr>
            <w:r>
              <w:rPr>
                <w:rFonts w:hint="eastAsia" w:ascii="宋体" w:hAnsi="宋体" w:cs="宋体"/>
                <w:kern w:val="0"/>
                <w:sz w:val="18"/>
                <w:szCs w:val="18"/>
                <w:lang w:bidi="ar"/>
              </w:rPr>
              <w:t>编码固定锁（电编码锁、闭锁盒）</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使用电脑钥匙的编码检查功能对全站所有编码固定锁进行锁码核对，检查电气编码固定锁电气接线连接牢固。</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cantSplit/>
          <w:trHeight w:val="873" w:hRule="atLeast"/>
        </w:trPr>
        <w:tc>
          <w:tcPr>
            <w:tcW w:w="57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6</w:t>
            </w:r>
          </w:p>
        </w:tc>
        <w:tc>
          <w:tcPr>
            <w:tcW w:w="883"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编码挂锁（机械编码锁）</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检查编码挂锁标签编号应清晰、与闭锁设备对应，更换模糊不清的标签。锁具防尘盖配置安装齐全，编码位置无异物阻挡、无破损。</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845"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使用电脑钥匙的编码检查功能对全站所有编码挂锁进行核对，编码挂锁的编码应与设备一一对应。</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975"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对全站编码挂锁进行开锁检查（走开锁流程），确保编码挂锁正常操作时能应能操作灵活、无卡涩。</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392" w:hRule="atLeast"/>
        </w:trPr>
        <w:tc>
          <w:tcPr>
            <w:tcW w:w="57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eastAsia="宋体" w:cs="宋体"/>
                <w:sz w:val="18"/>
                <w:szCs w:val="18"/>
                <w:lang w:eastAsia="zh-CN"/>
              </w:rPr>
            </w:pPr>
            <w:r>
              <w:rPr>
                <w:rFonts w:hint="eastAsia" w:ascii="宋体" w:hAnsi="宋体" w:cs="宋体"/>
                <w:kern w:val="0"/>
                <w:sz w:val="18"/>
                <w:szCs w:val="18"/>
                <w:lang w:val="en-US" w:eastAsia="zh-CN" w:bidi="ar"/>
              </w:rPr>
              <w:t>7</w:t>
            </w:r>
          </w:p>
        </w:tc>
        <w:tc>
          <w:tcPr>
            <w:tcW w:w="883"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钥匙管理机及解锁用具</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钥匙管理机接入</w:t>
            </w:r>
            <w:r>
              <w:rPr>
                <w:rStyle w:val="38"/>
                <w:rFonts w:hint="default"/>
                <w:color w:val="auto"/>
                <w:sz w:val="18"/>
                <w:szCs w:val="18"/>
                <w:lang w:bidi="ar"/>
              </w:rPr>
              <w:t>UPS</w:t>
            </w:r>
            <w:r>
              <w:rPr>
                <w:rStyle w:val="39"/>
                <w:rFonts w:hint="default"/>
                <w:color w:val="auto"/>
                <w:sz w:val="18"/>
                <w:szCs w:val="18"/>
                <w:lang w:bidi="ar"/>
              </w:rPr>
              <w:t>电源情况检查。</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367"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钥匙管理机信息显示及功能检查。</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504"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检查解锁用具存放地点，确保解锁工具（钥匙）存放于专用钥匙箱。</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619"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检查解锁用具数量齐全，外观无锈蚀、变形，更换锈蚀变形的解锁用具。</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620" w:hRule="atLeast"/>
        </w:trPr>
        <w:tc>
          <w:tcPr>
            <w:tcW w:w="578"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eastAsia="宋体" w:cs="宋体"/>
                <w:sz w:val="18"/>
                <w:szCs w:val="18"/>
                <w:lang w:eastAsia="zh-CN"/>
              </w:rPr>
            </w:pPr>
            <w:r>
              <w:rPr>
                <w:rFonts w:hint="eastAsia" w:ascii="宋体" w:hAnsi="宋体" w:cs="宋体"/>
                <w:kern w:val="0"/>
                <w:sz w:val="18"/>
                <w:szCs w:val="18"/>
                <w:lang w:val="en-US" w:eastAsia="zh-CN" w:bidi="ar"/>
              </w:rPr>
              <w:t>8</w:t>
            </w:r>
          </w:p>
        </w:tc>
        <w:tc>
          <w:tcPr>
            <w:tcW w:w="883"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接地线管理装置</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检查装置的运行状态，显示屏显示地线状态、编号是否与实际一致。</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cantSplit/>
          <w:trHeight w:val="482" w:hRule="atLeast"/>
        </w:trPr>
        <w:tc>
          <w:tcPr>
            <w:tcW w:w="578"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883" w:type="dxa"/>
            <w:vMerge w:val="continue"/>
            <w:tcBorders>
              <w:top w:val="single" w:color="000000" w:sz="4" w:space="0"/>
              <w:left w:val="single" w:color="000000" w:sz="4" w:space="0"/>
              <w:bottom w:val="single" w:color="000000" w:sz="4" w:space="0"/>
              <w:right w:val="single" w:color="000000" w:sz="4" w:space="0"/>
            </w:tcBorders>
            <w:noWrap w:val="0"/>
            <w:vAlign w:val="center"/>
          </w:tcPr>
          <w:p>
            <w:pPr>
              <w:snapToGrid w:val="0"/>
              <w:jc w:val="center"/>
              <w:rPr>
                <w:rFonts w:hint="eastAsia" w:ascii="宋体" w:hAnsi="宋体" w:cs="宋体"/>
                <w:sz w:val="18"/>
                <w:szCs w:val="18"/>
              </w:rPr>
            </w:pP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r>
              <w:rPr>
                <w:rFonts w:hint="eastAsia" w:ascii="宋体" w:hAnsi="宋体" w:cs="宋体"/>
                <w:kern w:val="0"/>
                <w:sz w:val="18"/>
                <w:szCs w:val="18"/>
                <w:lang w:bidi="ar"/>
              </w:rPr>
              <w:t>检查闭锁机构指示及闭锁状态是否正确、牢固。</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rPr>
                <w:rFonts w:hint="eastAsia" w:ascii="宋体" w:hAnsi="宋体" w:cs="宋体"/>
                <w:sz w:val="18"/>
                <w:szCs w:val="18"/>
              </w:rPr>
            </w:pPr>
          </w:p>
        </w:tc>
      </w:tr>
      <w:tr>
        <w:tblPrEx>
          <w:tblCellMar>
            <w:top w:w="15" w:type="dxa"/>
            <w:left w:w="15" w:type="dxa"/>
            <w:bottom w:w="15" w:type="dxa"/>
            <w:right w:w="15" w:type="dxa"/>
          </w:tblCellMar>
        </w:tblPrEx>
        <w:trPr>
          <w:trHeight w:val="763"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default" w:ascii="宋体" w:hAnsi="宋体" w:eastAsia="宋体" w:cs="宋体"/>
                <w:kern w:val="0"/>
                <w:sz w:val="18"/>
                <w:szCs w:val="18"/>
                <w:lang w:val="en-US" w:eastAsia="zh-CN" w:bidi="ar"/>
              </w:rPr>
            </w:pPr>
            <w:r>
              <w:rPr>
                <w:rFonts w:hint="eastAsia" w:ascii="宋体" w:hAnsi="宋体" w:cs="宋体"/>
                <w:kern w:val="0"/>
                <w:sz w:val="18"/>
                <w:szCs w:val="18"/>
                <w:lang w:val="en-US" w:eastAsia="zh-CN" w:bidi="ar"/>
              </w:rPr>
              <w:t>9</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ascii="宋体" w:hAnsi="宋体" w:cs="宋体"/>
                <w:kern w:val="0"/>
                <w:sz w:val="18"/>
                <w:szCs w:val="18"/>
                <w:lang w:bidi="ar"/>
              </w:rPr>
            </w:pPr>
            <w:r>
              <w:rPr>
                <w:rFonts w:hint="eastAsia" w:ascii="宋体" w:hAnsi="宋体" w:cs="宋体"/>
                <w:kern w:val="0"/>
                <w:sz w:val="18"/>
                <w:szCs w:val="18"/>
                <w:lang w:bidi="ar"/>
              </w:rPr>
              <w:t>数据备份</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kern w:val="0"/>
                <w:sz w:val="18"/>
                <w:szCs w:val="18"/>
                <w:lang w:bidi="ar"/>
              </w:rPr>
            </w:pPr>
            <w:r>
              <w:rPr>
                <w:rFonts w:hint="eastAsia" w:ascii="宋体" w:hAnsi="宋体" w:cs="宋体"/>
                <w:kern w:val="0"/>
                <w:sz w:val="18"/>
                <w:szCs w:val="18"/>
                <w:lang w:bidi="ar"/>
              </w:rPr>
              <w:t>每次更新处理后将数据信息备份至本站班（站）长及分管专责处。</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trHeight w:val="1118"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default" w:ascii="宋体" w:hAnsi="宋体" w:eastAsia="宋体" w:cs="宋体"/>
                <w:kern w:val="0"/>
                <w:sz w:val="18"/>
                <w:szCs w:val="18"/>
                <w:lang w:val="en-US" w:eastAsia="zh-CN" w:bidi="ar"/>
              </w:rPr>
            </w:pPr>
            <w:r>
              <w:rPr>
                <w:rFonts w:hint="eastAsia" w:ascii="宋体" w:hAnsi="宋体" w:cs="宋体"/>
                <w:kern w:val="0"/>
                <w:sz w:val="18"/>
                <w:szCs w:val="18"/>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kern w:val="0"/>
                <w:sz w:val="18"/>
                <w:szCs w:val="18"/>
                <w:lang w:bidi="ar"/>
              </w:rPr>
            </w:pPr>
            <w:r>
              <w:rPr>
                <w:rFonts w:hint="eastAsia" w:ascii="宋体" w:hAnsi="宋体" w:cs="宋体"/>
                <w:kern w:val="0"/>
                <w:sz w:val="18"/>
                <w:szCs w:val="18"/>
                <w:lang w:bidi="ar"/>
              </w:rPr>
              <w:t>二次综合防误</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pPr>
              <w:widowControl/>
              <w:tabs>
                <w:tab w:val="left" w:pos="0"/>
                <w:tab w:val="left" w:pos="640"/>
              </w:tabs>
              <w:snapToGrid w:val="0"/>
              <w:spacing w:before="0" w:after="0"/>
              <w:jc w:val="center"/>
              <w:textAlignment w:val="center"/>
              <w:rPr>
                <w:rFonts w:hint="eastAsia" w:ascii="宋体" w:hAnsi="宋体" w:cs="宋体"/>
                <w:kern w:val="0"/>
                <w:sz w:val="18"/>
                <w:szCs w:val="18"/>
                <w:lang w:bidi="ar"/>
              </w:rPr>
            </w:pPr>
            <w:r>
              <w:rPr>
                <w:rFonts w:hint="eastAsia" w:ascii="宋体" w:hAnsi="宋体" w:cs="宋体"/>
                <w:b w:val="0"/>
                <w:bCs w:val="0"/>
                <w:kern w:val="0"/>
                <w:sz w:val="18"/>
                <w:szCs w:val="18"/>
                <w:shd w:val="clear" w:color="auto" w:fill="auto"/>
                <w:lang w:bidi="ar"/>
              </w:rPr>
              <w:t>通信正常，后台、远方位置与现场一致，操作逻辑正确，巡视投切标准与现场正常运行方式相符，操作指示正确，无失电、无异常告警信号。</w:t>
            </w:r>
          </w:p>
        </w:tc>
        <w:tc>
          <w:tcPr>
            <w:tcW w:w="1282"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kern w:val="0"/>
                <w:sz w:val="18"/>
                <w:szCs w:val="18"/>
                <w:lang w:bidi="ar"/>
              </w:rPr>
            </w:pPr>
          </w:p>
        </w:tc>
        <w:tc>
          <w:tcPr>
            <w:tcW w:w="12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kern w:val="0"/>
                <w:sz w:val="18"/>
                <w:szCs w:val="18"/>
                <w:lang w:bidi="ar"/>
              </w:rPr>
            </w:pPr>
          </w:p>
        </w:tc>
        <w:tc>
          <w:tcPr>
            <w:tcW w:w="1973" w:type="dxa"/>
            <w:tcBorders>
              <w:top w:val="single" w:color="000000" w:sz="4" w:space="0"/>
              <w:left w:val="single" w:color="000000" w:sz="4" w:space="0"/>
              <w:bottom w:val="single" w:color="000000" w:sz="4" w:space="0"/>
              <w:right w:val="single" w:color="000000" w:sz="4" w:space="0"/>
            </w:tcBorders>
            <w:noWrap w:val="0"/>
            <w:vAlign w:val="center"/>
          </w:tcPr>
          <w:p>
            <w:pPr>
              <w:snapToGrid w:val="0"/>
              <w:jc w:val="left"/>
              <w:rPr>
                <w:rFonts w:hint="eastAsia" w:ascii="宋体" w:hAnsi="宋体" w:cs="宋体"/>
                <w:sz w:val="18"/>
                <w:szCs w:val="18"/>
              </w:rPr>
            </w:pPr>
          </w:p>
        </w:tc>
      </w:tr>
      <w:tr>
        <w:tblPrEx>
          <w:tblCellMar>
            <w:top w:w="15" w:type="dxa"/>
            <w:left w:w="15" w:type="dxa"/>
            <w:bottom w:w="15" w:type="dxa"/>
            <w:right w:w="15" w:type="dxa"/>
          </w:tblCellMar>
        </w:tblPrEx>
        <w:trPr>
          <w:trHeight w:val="709" w:hRule="atLeast"/>
        </w:trPr>
        <w:tc>
          <w:tcPr>
            <w:tcW w:w="578"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default" w:ascii="宋体" w:hAnsi="宋体" w:eastAsia="宋体" w:cs="宋体"/>
                <w:sz w:val="18"/>
                <w:szCs w:val="18"/>
                <w:lang w:val="en-US" w:eastAsia="zh-CN"/>
              </w:rPr>
            </w:pPr>
            <w:r>
              <w:rPr>
                <w:rFonts w:hint="eastAsia" w:ascii="宋体" w:hAnsi="宋体" w:cs="宋体"/>
                <w:kern w:val="0"/>
                <w:sz w:val="18"/>
                <w:szCs w:val="18"/>
                <w:lang w:val="en-US" w:eastAsia="zh-CN" w:bidi="ar"/>
              </w:rPr>
              <w:t>11</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center"/>
              <w:textAlignment w:val="center"/>
              <w:rPr>
                <w:rFonts w:hint="eastAsia" w:ascii="宋体" w:hAnsi="宋体" w:cs="宋体"/>
                <w:sz w:val="18"/>
                <w:szCs w:val="18"/>
              </w:rPr>
            </w:pPr>
            <w:r>
              <w:rPr>
                <w:rFonts w:hint="eastAsia" w:ascii="宋体" w:hAnsi="宋体" w:cs="宋体"/>
                <w:kern w:val="0"/>
                <w:sz w:val="18"/>
                <w:szCs w:val="18"/>
                <w:lang w:bidi="ar"/>
              </w:rPr>
              <w:t>五防系统运行状态评估</w:t>
            </w:r>
          </w:p>
        </w:tc>
        <w:tc>
          <w:tcPr>
            <w:tcW w:w="7399" w:type="dxa"/>
            <w:gridSpan w:val="5"/>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sz w:val="18"/>
                <w:szCs w:val="18"/>
              </w:rPr>
            </w:pPr>
          </w:p>
        </w:tc>
      </w:tr>
      <w:tr>
        <w:tblPrEx>
          <w:tblCellMar>
            <w:top w:w="15" w:type="dxa"/>
            <w:left w:w="15" w:type="dxa"/>
            <w:bottom w:w="15" w:type="dxa"/>
            <w:right w:w="15" w:type="dxa"/>
          </w:tblCellMar>
        </w:tblPrEx>
        <w:trPr>
          <w:trHeight w:val="360" w:hRule="atLeast"/>
        </w:trPr>
        <w:tc>
          <w:tcPr>
            <w:tcW w:w="8860" w:type="dxa"/>
            <w:gridSpan w:val="7"/>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b/>
                <w:sz w:val="18"/>
                <w:szCs w:val="18"/>
              </w:rPr>
            </w:pPr>
            <w:r>
              <w:rPr>
                <w:rFonts w:hint="eastAsia" w:ascii="宋体" w:hAnsi="宋体" w:cs="宋体"/>
                <w:b/>
                <w:kern w:val="0"/>
                <w:sz w:val="18"/>
                <w:szCs w:val="18"/>
                <w:lang w:bidi="ar"/>
              </w:rPr>
              <w:t>三、双方签字</w:t>
            </w:r>
          </w:p>
        </w:tc>
      </w:tr>
      <w:tr>
        <w:tblPrEx>
          <w:tblCellMar>
            <w:top w:w="15" w:type="dxa"/>
            <w:left w:w="15" w:type="dxa"/>
            <w:bottom w:w="15" w:type="dxa"/>
            <w:right w:w="15" w:type="dxa"/>
          </w:tblCellMar>
        </w:tblPrEx>
        <w:trPr>
          <w:trHeight w:val="726" w:hRule="atLeast"/>
        </w:trPr>
        <w:tc>
          <w:tcPr>
            <w:tcW w:w="8860" w:type="dxa"/>
            <w:gridSpan w:val="7"/>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b/>
                <w:sz w:val="18"/>
                <w:szCs w:val="18"/>
                <w:u w:val="single"/>
              </w:rPr>
            </w:pPr>
            <w:r>
              <w:rPr>
                <w:rFonts w:hint="eastAsia" w:ascii="宋体" w:hAnsi="宋体" w:cs="宋体"/>
                <w:b/>
                <w:kern w:val="0"/>
                <w:sz w:val="18"/>
                <w:szCs w:val="18"/>
                <w:lang w:bidi="ar"/>
              </w:rPr>
              <w:t xml:space="preserve">      维护人员：</w:t>
            </w:r>
            <w:r>
              <w:rPr>
                <w:rFonts w:hint="eastAsia" w:ascii="宋体" w:hAnsi="宋体" w:cs="宋体"/>
                <w:b/>
                <w:kern w:val="0"/>
                <w:sz w:val="18"/>
                <w:szCs w:val="18"/>
                <w:u w:val="single"/>
                <w:lang w:bidi="ar"/>
              </w:rPr>
              <w:t xml:space="preserve">           </w:t>
            </w:r>
            <w:r>
              <w:rPr>
                <w:rFonts w:hint="eastAsia" w:ascii="宋体" w:hAnsi="宋体" w:cs="宋体"/>
                <w:b/>
                <w:kern w:val="0"/>
                <w:sz w:val="18"/>
                <w:szCs w:val="18"/>
                <w:lang w:bidi="ar"/>
              </w:rPr>
              <w:t xml:space="preserve">      运行人员：</w:t>
            </w:r>
            <w:r>
              <w:rPr>
                <w:rFonts w:hint="eastAsia" w:ascii="宋体" w:hAnsi="宋体" w:cs="宋体"/>
                <w:b/>
                <w:kern w:val="0"/>
                <w:sz w:val="18"/>
                <w:szCs w:val="18"/>
                <w:u w:val="single"/>
                <w:lang w:bidi="ar"/>
              </w:rPr>
              <w:t xml:space="preserve">           </w:t>
            </w:r>
            <w:r>
              <w:rPr>
                <w:rFonts w:hint="eastAsia" w:ascii="宋体" w:hAnsi="宋体" w:cs="宋体"/>
                <w:b/>
                <w:kern w:val="0"/>
                <w:sz w:val="18"/>
                <w:szCs w:val="18"/>
                <w:lang w:bidi="ar"/>
              </w:rPr>
              <w:t xml:space="preserve">    维护日期：</w:t>
            </w:r>
            <w:r>
              <w:rPr>
                <w:rFonts w:hint="eastAsia" w:ascii="宋体" w:hAnsi="宋体" w:cs="宋体"/>
                <w:b/>
                <w:kern w:val="0"/>
                <w:sz w:val="18"/>
                <w:szCs w:val="18"/>
                <w:u w:val="single"/>
                <w:lang w:bidi="ar"/>
              </w:rPr>
              <w:t xml:space="preserve">          </w:t>
            </w:r>
          </w:p>
        </w:tc>
      </w:tr>
      <w:tr>
        <w:tblPrEx>
          <w:tblCellMar>
            <w:top w:w="15" w:type="dxa"/>
            <w:left w:w="15" w:type="dxa"/>
            <w:bottom w:w="15" w:type="dxa"/>
            <w:right w:w="15" w:type="dxa"/>
          </w:tblCellMar>
        </w:tblPrEx>
        <w:trPr>
          <w:trHeight w:val="1178" w:hRule="atLeast"/>
        </w:trPr>
        <w:tc>
          <w:tcPr>
            <w:tcW w:w="8860" w:type="dxa"/>
            <w:gridSpan w:val="7"/>
            <w:tcBorders>
              <w:top w:val="single" w:color="000000" w:sz="4" w:space="0"/>
              <w:left w:val="single" w:color="000000" w:sz="4" w:space="0"/>
              <w:bottom w:val="single" w:color="000000" w:sz="4" w:space="0"/>
              <w:right w:val="single" w:color="000000" w:sz="4" w:space="0"/>
            </w:tcBorders>
            <w:noWrap w:val="0"/>
            <w:vAlign w:val="center"/>
          </w:tcPr>
          <w:p>
            <w:pPr>
              <w:widowControl/>
              <w:snapToGrid w:val="0"/>
              <w:jc w:val="left"/>
              <w:textAlignment w:val="center"/>
              <w:rPr>
                <w:rFonts w:hint="eastAsia" w:ascii="宋体" w:hAnsi="宋体" w:cs="宋体"/>
                <w:kern w:val="0"/>
                <w:sz w:val="18"/>
                <w:szCs w:val="18"/>
                <w:lang w:bidi="ar"/>
              </w:rPr>
            </w:pPr>
            <w:r>
              <w:rPr>
                <w:rFonts w:hint="eastAsia" w:ascii="宋体" w:hAnsi="宋体" w:cs="宋体"/>
                <w:kern w:val="0"/>
                <w:sz w:val="18"/>
                <w:szCs w:val="18"/>
                <w:lang w:bidi="ar"/>
              </w:rPr>
              <w:t>注: 1.内容多于一页时应多页填写;</w:t>
            </w:r>
          </w:p>
          <w:p>
            <w:pPr>
              <w:widowControl/>
              <w:snapToGrid w:val="0"/>
              <w:jc w:val="left"/>
              <w:textAlignment w:val="center"/>
              <w:rPr>
                <w:rFonts w:hint="eastAsia" w:ascii="宋体" w:hAnsi="宋体" w:cs="宋体"/>
                <w:kern w:val="0"/>
                <w:sz w:val="18"/>
                <w:szCs w:val="18"/>
                <w:lang w:bidi="ar"/>
              </w:rPr>
            </w:pPr>
            <w:r>
              <w:rPr>
                <w:rFonts w:hint="eastAsia" w:ascii="宋体" w:hAnsi="宋体" w:cs="宋体"/>
                <w:kern w:val="0"/>
                <w:sz w:val="18"/>
                <w:szCs w:val="18"/>
                <w:lang w:bidi="ar"/>
              </w:rPr>
              <w:t xml:space="preserve">    2.出现电站有未配置设备时，在相应栏内用“/”标注;</w:t>
            </w:r>
            <w:r>
              <w:rPr>
                <w:rFonts w:hint="eastAsia" w:ascii="宋体" w:hAnsi="宋体" w:cs="宋体"/>
                <w:kern w:val="0"/>
                <w:sz w:val="18"/>
                <w:szCs w:val="18"/>
                <w:lang w:bidi="ar"/>
              </w:rPr>
              <w:br w:type="textWrapping"/>
            </w:r>
            <w:r>
              <w:rPr>
                <w:rFonts w:hint="eastAsia" w:ascii="宋体" w:hAnsi="宋体" w:cs="宋体"/>
                <w:kern w:val="0"/>
                <w:sz w:val="18"/>
                <w:szCs w:val="18"/>
                <w:lang w:bidi="ar"/>
              </w:rPr>
              <w:t xml:space="preserve">    3.如有现场问题照片应作为记录表的附件一并存档；</w:t>
            </w:r>
            <w:r>
              <w:rPr>
                <w:rFonts w:hint="eastAsia" w:ascii="宋体" w:hAnsi="宋体" w:cs="宋体"/>
                <w:kern w:val="0"/>
                <w:sz w:val="18"/>
                <w:szCs w:val="18"/>
                <w:lang w:bidi="ar"/>
              </w:rPr>
              <w:br w:type="textWrapping"/>
            </w:r>
            <w:r>
              <w:rPr>
                <w:rFonts w:hint="eastAsia" w:ascii="宋体" w:hAnsi="宋体" w:cs="宋体"/>
                <w:kern w:val="0"/>
                <w:sz w:val="18"/>
                <w:szCs w:val="18"/>
                <w:lang w:bidi="ar"/>
              </w:rPr>
              <w:t xml:space="preserve">    4.本记录表一式两份，巡检完成后及时打印并由运行单位代表确认签字。</w:t>
            </w:r>
          </w:p>
        </w:tc>
      </w:tr>
    </w:tbl>
    <w:p>
      <w:pPr>
        <w:pStyle w:val="4"/>
        <w:keepNext w:val="0"/>
        <w:keepLines w:val="0"/>
        <w:pageBreakBefore w:val="0"/>
        <w:widowControl/>
        <w:tabs>
          <w:tab w:val="left" w:pos="142"/>
        </w:tabs>
        <w:kinsoku/>
        <w:wordWrap/>
        <w:overflowPunct/>
        <w:topLinePunct w:val="0"/>
        <w:autoSpaceDE/>
        <w:autoSpaceDN/>
        <w:bidi w:val="0"/>
        <w:spacing w:beforeAutospacing="0" w:afterAutospacing="0"/>
        <w:ind w:firstLine="480"/>
        <w:contextualSpacing/>
        <w:textAlignment w:val="auto"/>
        <w:outlineLvl w:val="0"/>
        <w:rPr>
          <w:rFonts w:ascii="宋体" w:hAnsi="宋体" w:cs="宋体"/>
          <w:color w:val="auto"/>
        </w:rPr>
      </w:pPr>
    </w:p>
    <w:sectPr>
      <w:type w:val="continuous"/>
      <w:pgSz w:w="11906" w:h="16838"/>
      <w:pgMar w:top="1440" w:right="1080" w:bottom="1440" w:left="108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BFA472"/>
    <w:multiLevelType w:val="singleLevel"/>
    <w:tmpl w:val="D5BFA472"/>
    <w:lvl w:ilvl="0" w:tentative="0">
      <w:start w:val="5"/>
      <w:numFmt w:val="chineseCounting"/>
      <w:suff w:val="nothing"/>
      <w:lvlText w:val="%1、"/>
      <w:lvlJc w:val="left"/>
      <w:rPr>
        <w:rFonts w:hint="eastAsia"/>
      </w:rPr>
    </w:lvl>
  </w:abstractNum>
  <w:abstractNum w:abstractNumId="1">
    <w:nsid w:val="00000001"/>
    <w:multiLevelType w:val="singleLevel"/>
    <w:tmpl w:val="00000001"/>
    <w:lvl w:ilvl="0" w:tentative="0">
      <w:start w:val="1"/>
      <w:numFmt w:val="decimal"/>
      <w:lvlText w:val="%1)"/>
      <w:lvlJc w:val="left"/>
      <w:pPr>
        <w:ind w:left="425" w:hanging="425"/>
      </w:pPr>
      <w:rPr>
        <w:rFonts w:hint="default"/>
      </w:rPr>
    </w:lvl>
  </w:abstractNum>
  <w:abstractNum w:abstractNumId="2">
    <w:nsid w:val="00000002"/>
    <w:multiLevelType w:val="multilevel"/>
    <w:tmpl w:val="00000002"/>
    <w:lvl w:ilvl="0" w:tentative="0">
      <w:start w:val="1"/>
      <w:numFmt w:val="chineseCountingThousand"/>
      <w:lvlText w:val="%1、"/>
      <w:lvlJc w:val="left"/>
      <w:pPr>
        <w:tabs>
          <w:tab w:val="left" w:pos="720"/>
        </w:tabs>
        <w:ind w:left="720" w:hanging="720"/>
      </w:pPr>
      <w:rPr>
        <w:rFonts w:hint="default" w:ascii="Times New Roman" w:hAnsi="Times New Roman" w:cs="Times New Roman"/>
        <w:b/>
      </w:rPr>
    </w:lvl>
    <w:lvl w:ilvl="1" w:tentative="0">
      <w:start w:val="1"/>
      <w:numFmt w:val="decimal"/>
      <w:lvlText w:val="%2)"/>
      <w:lvlJc w:val="left"/>
      <w:pPr>
        <w:tabs>
          <w:tab w:val="left" w:pos="840"/>
        </w:tabs>
        <w:ind w:left="840" w:hanging="420"/>
      </w:pPr>
      <w:rPr>
        <w:b w:val="0"/>
      </w:rPr>
    </w:lvl>
    <w:lvl w:ilvl="2" w:tentative="0">
      <w:start w:val="1"/>
      <w:numFmt w:val="decimal"/>
      <w:lvlText w:val="%3）"/>
      <w:lvlJc w:val="left"/>
      <w:pPr>
        <w:tabs>
          <w:tab w:val="left" w:pos="1778"/>
        </w:tabs>
        <w:ind w:left="1778" w:hanging="360"/>
      </w:pPr>
      <w:rPr>
        <w:rFonts w:hAnsi="宋体"/>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3"/>
    <w:multiLevelType w:val="multilevel"/>
    <w:tmpl w:val="00000003"/>
    <w:lvl w:ilvl="0" w:tentative="0">
      <w:start w:val="1"/>
      <w:numFmt w:val="decimal"/>
      <w:isLgl/>
      <w:lvlText w:val="%1"/>
      <w:lvlJc w:val="left"/>
      <w:pPr>
        <w:tabs>
          <w:tab w:val="left" w:pos="0"/>
        </w:tabs>
        <w:ind w:left="0" w:firstLine="0"/>
      </w:pPr>
      <w:rPr>
        <w:rFonts w:hint="eastAsia" w:eastAsia="宋体"/>
        <w:b w:val="0"/>
        <w:i w:val="0"/>
        <w:sz w:val="32"/>
        <w:szCs w:val="32"/>
      </w:rPr>
    </w:lvl>
    <w:lvl w:ilvl="1" w:tentative="0">
      <w:start w:val="1"/>
      <w:numFmt w:val="decimal"/>
      <w:pStyle w:val="2"/>
      <w:suff w:val="space"/>
      <w:lvlText w:val="%1.%2"/>
      <w:lvlJc w:val="left"/>
      <w:pPr>
        <w:ind w:left="0" w:firstLine="0"/>
      </w:pPr>
      <w:rPr>
        <w:rFonts w:hint="eastAsia"/>
      </w:rPr>
    </w:lvl>
    <w:lvl w:ilvl="2" w:tentative="0">
      <w:start w:val="1"/>
      <w:numFmt w:val="decimal"/>
      <w:lvlText w:val="%1.%2.%3"/>
      <w:lvlJc w:val="left"/>
      <w:pPr>
        <w:tabs>
          <w:tab w:val="left" w:pos="1866"/>
        </w:tabs>
        <w:ind w:left="993" w:hanging="567"/>
      </w:pPr>
      <w:rPr>
        <w:rFonts w:hint="eastAsia"/>
      </w:rPr>
    </w:lvl>
    <w:lvl w:ilvl="3" w:tentative="0">
      <w:start w:val="1"/>
      <w:numFmt w:val="decimal"/>
      <w:lvlText w:val="%1.%2.%3.%4"/>
      <w:lvlJc w:val="left"/>
      <w:pPr>
        <w:tabs>
          <w:tab w:val="left" w:pos="3011"/>
        </w:tabs>
        <w:ind w:left="1559" w:hanging="708"/>
      </w:pPr>
      <w:rPr>
        <w:rFonts w:hint="eastAsia"/>
      </w:rPr>
    </w:lvl>
    <w:lvl w:ilvl="4" w:tentative="0">
      <w:start w:val="1"/>
      <w:numFmt w:val="decimal"/>
      <w:lvlText w:val="%1.%2.%3.%4.%5"/>
      <w:lvlJc w:val="left"/>
      <w:pPr>
        <w:tabs>
          <w:tab w:val="left" w:pos="3796"/>
        </w:tabs>
        <w:ind w:left="2126" w:hanging="850"/>
      </w:pPr>
      <w:rPr>
        <w:rFonts w:hint="eastAsia"/>
      </w:rPr>
    </w:lvl>
    <w:lvl w:ilvl="5" w:tentative="0">
      <w:start w:val="1"/>
      <w:numFmt w:val="decimal"/>
      <w:lvlText w:val="%1.%2.%3.%4.%5.%6"/>
      <w:lvlJc w:val="left"/>
      <w:pPr>
        <w:tabs>
          <w:tab w:val="left" w:pos="4941"/>
        </w:tabs>
        <w:ind w:left="2835" w:hanging="1134"/>
      </w:pPr>
      <w:rPr>
        <w:rFonts w:hint="eastAsia"/>
      </w:rPr>
    </w:lvl>
    <w:lvl w:ilvl="6" w:tentative="0">
      <w:start w:val="1"/>
      <w:numFmt w:val="decimal"/>
      <w:lvlText w:val="%1.%2.%3.%4.%5.%6.%7"/>
      <w:lvlJc w:val="left"/>
      <w:pPr>
        <w:tabs>
          <w:tab w:val="left" w:pos="5726"/>
        </w:tabs>
        <w:ind w:left="3402" w:hanging="1276"/>
      </w:pPr>
      <w:rPr>
        <w:rFonts w:hint="eastAsia"/>
      </w:rPr>
    </w:lvl>
    <w:lvl w:ilvl="7" w:tentative="0">
      <w:start w:val="1"/>
      <w:numFmt w:val="decimal"/>
      <w:lvlText w:val="%1.%2.%3.%4.%5.%6.%7.%8"/>
      <w:lvlJc w:val="left"/>
      <w:pPr>
        <w:tabs>
          <w:tab w:val="left" w:pos="6511"/>
        </w:tabs>
        <w:ind w:left="3969" w:hanging="1418"/>
      </w:pPr>
      <w:rPr>
        <w:rFonts w:hint="eastAsia"/>
      </w:rPr>
    </w:lvl>
    <w:lvl w:ilvl="8" w:tentative="0">
      <w:start w:val="1"/>
      <w:numFmt w:val="decimal"/>
      <w:lvlText w:val="%1.%2.%3.%4.%5.%6.%7.%8.%9"/>
      <w:lvlJc w:val="left"/>
      <w:pPr>
        <w:tabs>
          <w:tab w:val="left" w:pos="7657"/>
        </w:tabs>
        <w:ind w:left="4677" w:hanging="170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36A712A"/>
    <w:rsid w:val="03F6348B"/>
    <w:rsid w:val="056A4671"/>
    <w:rsid w:val="057700FB"/>
    <w:rsid w:val="05F0234C"/>
    <w:rsid w:val="072858CC"/>
    <w:rsid w:val="09E1622D"/>
    <w:rsid w:val="0C616DDD"/>
    <w:rsid w:val="0C9772B7"/>
    <w:rsid w:val="13775437"/>
    <w:rsid w:val="141476FE"/>
    <w:rsid w:val="14CC6EAC"/>
    <w:rsid w:val="15103E59"/>
    <w:rsid w:val="161D0664"/>
    <w:rsid w:val="17126D66"/>
    <w:rsid w:val="1B753A98"/>
    <w:rsid w:val="1C9315D9"/>
    <w:rsid w:val="1DC7686B"/>
    <w:rsid w:val="1E8A43AA"/>
    <w:rsid w:val="24BA4B4F"/>
    <w:rsid w:val="25074C4E"/>
    <w:rsid w:val="25893A50"/>
    <w:rsid w:val="27BC70E6"/>
    <w:rsid w:val="28152353"/>
    <w:rsid w:val="28E93E0F"/>
    <w:rsid w:val="2C033842"/>
    <w:rsid w:val="2C355316"/>
    <w:rsid w:val="2F6D7FDB"/>
    <w:rsid w:val="3134259A"/>
    <w:rsid w:val="33666962"/>
    <w:rsid w:val="370138CA"/>
    <w:rsid w:val="388F1919"/>
    <w:rsid w:val="3BC33E98"/>
    <w:rsid w:val="3EF25354"/>
    <w:rsid w:val="46224ADA"/>
    <w:rsid w:val="468808C3"/>
    <w:rsid w:val="49624874"/>
    <w:rsid w:val="4A077580"/>
    <w:rsid w:val="4BEB0A1B"/>
    <w:rsid w:val="4C5A3A1A"/>
    <w:rsid w:val="4D115106"/>
    <w:rsid w:val="4FC92F74"/>
    <w:rsid w:val="500D2764"/>
    <w:rsid w:val="504908E4"/>
    <w:rsid w:val="519A0650"/>
    <w:rsid w:val="54E46FEB"/>
    <w:rsid w:val="55253741"/>
    <w:rsid w:val="55F23D8E"/>
    <w:rsid w:val="568B4AA2"/>
    <w:rsid w:val="576A7AEF"/>
    <w:rsid w:val="57E95275"/>
    <w:rsid w:val="59FD5EB2"/>
    <w:rsid w:val="5AEF673F"/>
    <w:rsid w:val="62B6027F"/>
    <w:rsid w:val="648604FA"/>
    <w:rsid w:val="64E84D1C"/>
    <w:rsid w:val="65B03CD6"/>
    <w:rsid w:val="672E29D7"/>
    <w:rsid w:val="684D3B04"/>
    <w:rsid w:val="6A851F4C"/>
    <w:rsid w:val="6AD77F57"/>
    <w:rsid w:val="6B531E22"/>
    <w:rsid w:val="6C9C0EC0"/>
    <w:rsid w:val="6EDB5E57"/>
    <w:rsid w:val="72977F10"/>
    <w:rsid w:val="744C2A5A"/>
    <w:rsid w:val="744D3D5F"/>
    <w:rsid w:val="74A67C70"/>
    <w:rsid w:val="76D85607"/>
    <w:rsid w:val="7BFF6846"/>
    <w:rsid w:val="7C39225B"/>
    <w:rsid w:val="7D264462"/>
    <w:rsid w:val="7DC242E0"/>
    <w:rsid w:val="7EA96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nhideWhenUsed="0" w:uiPriority="0" w:semiHidden="0" w:name="HTML Preformatted"/>
    <w:lsdException w:qFormat="1" w:unhideWhenUsed="0" w:uiPriority="99" w:semiHidden="0" w:name="HTML Sample"/>
    <w:lsdException w:unhideWhenUsed="0" w:uiPriority="0" w:semiHidden="0" w:name="HTML Typewriter"/>
    <w:lsdException w:qFormat="1" w:unhideWhenUsed="0" w:uiPriority="99"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40"/>
    <w:qFormat/>
    <w:uiPriority w:val="9"/>
    <w:pPr>
      <w:jc w:val="left"/>
      <w:outlineLvl w:val="0"/>
    </w:pPr>
    <w:rPr>
      <w:rFonts w:hint="eastAsia" w:ascii="宋体" w:hAnsi="宋体"/>
      <w:b/>
      <w:kern w:val="44"/>
      <w:sz w:val="51"/>
      <w:szCs w:val="51"/>
    </w:rPr>
  </w:style>
  <w:style w:type="paragraph" w:styleId="2">
    <w:name w:val="heading 2"/>
    <w:basedOn w:val="1"/>
    <w:next w:val="1"/>
    <w:qFormat/>
    <w:uiPriority w:val="9"/>
    <w:pPr>
      <w:keepNext/>
      <w:keepLines/>
      <w:numPr>
        <w:ilvl w:val="1"/>
        <w:numId w:val="1"/>
      </w:numPr>
      <w:spacing w:before="156" w:beforeLines="50"/>
      <w:outlineLvl w:val="1"/>
    </w:pPr>
    <w:rPr>
      <w:rFonts w:ascii="Cambria" w:hAnsi="Cambria"/>
      <w:b/>
      <w:bCs/>
      <w:kern w:val="0"/>
      <w:sz w:val="28"/>
      <w:szCs w:val="32"/>
      <w:lang w:val="zh-CN"/>
    </w:rPr>
  </w:style>
  <w:style w:type="character" w:default="1" w:styleId="13">
    <w:name w:val="Default Paragraph Font"/>
    <w:qFormat/>
    <w:uiPriority w:val="1"/>
  </w:style>
  <w:style w:type="table" w:default="1" w:styleId="11">
    <w:name w:val="Normal Table"/>
    <w:qFormat/>
    <w:uiPriority w:val="99"/>
    <w:tblPr>
      <w:tblCellMar>
        <w:top w:w="0" w:type="dxa"/>
        <w:left w:w="108" w:type="dxa"/>
        <w:bottom w:w="0" w:type="dxa"/>
        <w:right w:w="108" w:type="dxa"/>
      </w:tblCellMar>
    </w:tblPr>
  </w:style>
  <w:style w:type="paragraph" w:styleId="4">
    <w:name w:val="Normal Indent"/>
    <w:basedOn w:val="1"/>
    <w:link w:val="23"/>
    <w:qFormat/>
    <w:uiPriority w:val="0"/>
    <w:pPr>
      <w:spacing w:beforeAutospacing="1" w:afterAutospacing="1" w:line="360" w:lineRule="auto"/>
      <w:ind w:firstLine="420" w:firstLineChars="200"/>
    </w:pPr>
    <w:rPr>
      <w:rFonts w:ascii="Times New Roman" w:hAnsi="Times New Roman"/>
      <w:sz w:val="24"/>
      <w:szCs w:val="24"/>
    </w:rPr>
  </w:style>
  <w:style w:type="paragraph" w:styleId="5">
    <w:name w:val="Body Text"/>
    <w:basedOn w:val="6"/>
    <w:next w:val="6"/>
    <w:qFormat/>
    <w:uiPriority w:val="1"/>
    <w:rPr>
      <w:rFonts w:ascii="宋体" w:hAnsi="宋体" w:eastAsia="宋体" w:cs="宋体"/>
      <w:sz w:val="24"/>
      <w:szCs w:val="24"/>
      <w:lang w:val="en-US" w:eastAsia="zh-CN" w:bidi="ar-SA"/>
    </w:rPr>
  </w:style>
  <w:style w:type="paragraph" w:styleId="6">
    <w:name w:val="Title"/>
    <w:basedOn w:val="1"/>
    <w:next w:val="1"/>
    <w:qFormat/>
    <w:uiPriority w:val="1"/>
    <w:pPr>
      <w:spacing w:before="176"/>
      <w:ind w:right="147"/>
      <w:jc w:val="center"/>
    </w:pPr>
    <w:rPr>
      <w:rFonts w:ascii="黑体" w:hAnsi="黑体" w:eastAsia="黑体" w:cs="黑体"/>
      <w:b/>
      <w:bCs/>
      <w:sz w:val="48"/>
      <w:szCs w:val="48"/>
      <w:lang w:val="en-US" w:eastAsia="zh-CN" w:bidi="ar-SA"/>
    </w:rPr>
  </w:style>
  <w:style w:type="paragraph" w:styleId="7">
    <w:name w:val="Plain Text"/>
    <w:basedOn w:val="1"/>
    <w:qFormat/>
    <w:uiPriority w:val="0"/>
    <w:rPr>
      <w:rFonts w:hint="eastAsia" w:ascii="宋体" w:hAnsi="Courier New"/>
      <w:szCs w:val="20"/>
    </w:rPr>
  </w:style>
  <w:style w:type="paragraph" w:styleId="8">
    <w:name w:val="Balloon Text"/>
    <w:basedOn w:val="1"/>
    <w:link w:val="24"/>
    <w:qFormat/>
    <w:uiPriority w:val="0"/>
    <w:rPr>
      <w:sz w:val="18"/>
      <w:szCs w:val="18"/>
    </w:rPr>
  </w:style>
  <w:style w:type="paragraph" w:styleId="9">
    <w:name w:val="footer"/>
    <w:basedOn w:val="1"/>
    <w:link w:val="25"/>
    <w:qFormat/>
    <w:uiPriority w:val="99"/>
    <w:pPr>
      <w:tabs>
        <w:tab w:val="center" w:pos="4153"/>
        <w:tab w:val="right" w:pos="8306"/>
      </w:tabs>
      <w:snapToGrid w:val="0"/>
      <w:jc w:val="left"/>
    </w:pPr>
    <w:rPr>
      <w:sz w:val="18"/>
      <w:szCs w:val="18"/>
    </w:rPr>
  </w:style>
  <w:style w:type="paragraph" w:styleId="10">
    <w:name w:val="header"/>
    <w:basedOn w:val="1"/>
    <w:link w:val="26"/>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FollowedHyperlink"/>
    <w:basedOn w:val="13"/>
    <w:qFormat/>
    <w:uiPriority w:val="99"/>
    <w:rPr>
      <w:color w:val="333333"/>
      <w:u w:val="none"/>
    </w:rPr>
  </w:style>
  <w:style w:type="character" w:styleId="15">
    <w:name w:val="Emphasis"/>
    <w:basedOn w:val="13"/>
    <w:qFormat/>
    <w:uiPriority w:val="20"/>
  </w:style>
  <w:style w:type="character" w:styleId="16">
    <w:name w:val="HTML Definition"/>
    <w:basedOn w:val="13"/>
    <w:qFormat/>
    <w:uiPriority w:val="99"/>
  </w:style>
  <w:style w:type="character" w:styleId="17">
    <w:name w:val="HTML Variable"/>
    <w:basedOn w:val="13"/>
    <w:qFormat/>
    <w:uiPriority w:val="99"/>
  </w:style>
  <w:style w:type="character" w:styleId="18">
    <w:name w:val="Hyperlink"/>
    <w:basedOn w:val="13"/>
    <w:qFormat/>
    <w:uiPriority w:val="99"/>
    <w:rPr>
      <w:color w:val="333333"/>
      <w:u w:val="none"/>
    </w:rPr>
  </w:style>
  <w:style w:type="character" w:styleId="19">
    <w:name w:val="HTML Code"/>
    <w:basedOn w:val="13"/>
    <w:qFormat/>
    <w:uiPriority w:val="99"/>
    <w:rPr>
      <w:rFonts w:hint="default" w:ascii="Courier New" w:hAnsi="Courier New" w:eastAsia="Courier New" w:cs="Courier New"/>
      <w:sz w:val="20"/>
    </w:rPr>
  </w:style>
  <w:style w:type="character" w:styleId="20">
    <w:name w:val="HTML Cite"/>
    <w:basedOn w:val="13"/>
    <w:qFormat/>
    <w:uiPriority w:val="99"/>
  </w:style>
  <w:style w:type="character" w:styleId="21">
    <w:name w:val="HTML Keyboard"/>
    <w:basedOn w:val="13"/>
    <w:qFormat/>
    <w:uiPriority w:val="99"/>
    <w:rPr>
      <w:rFonts w:hint="default" w:ascii="Courier New" w:hAnsi="Courier New" w:eastAsia="Courier New" w:cs="Courier New"/>
      <w:sz w:val="20"/>
    </w:rPr>
  </w:style>
  <w:style w:type="character" w:styleId="22">
    <w:name w:val="HTML Sample"/>
    <w:basedOn w:val="13"/>
    <w:qFormat/>
    <w:uiPriority w:val="99"/>
    <w:rPr>
      <w:rFonts w:ascii="Courier New" w:hAnsi="Courier New" w:eastAsia="Courier New" w:cs="Courier New"/>
    </w:rPr>
  </w:style>
  <w:style w:type="character" w:customStyle="1" w:styleId="23">
    <w:name w:val="正文缩进 字符"/>
    <w:link w:val="4"/>
    <w:qFormat/>
    <w:uiPriority w:val="0"/>
    <w:rPr>
      <w:rFonts w:ascii="Times New Roman" w:hAnsi="Times New Roman"/>
      <w:sz w:val="24"/>
      <w:szCs w:val="24"/>
    </w:rPr>
  </w:style>
  <w:style w:type="character" w:customStyle="1" w:styleId="24">
    <w:name w:val="批注框文本 字符"/>
    <w:basedOn w:val="13"/>
    <w:link w:val="8"/>
    <w:qFormat/>
    <w:uiPriority w:val="0"/>
    <w:rPr>
      <w:rFonts w:ascii="Calibri" w:hAnsi="Calibri" w:eastAsia="宋体" w:cs="Times New Roman"/>
      <w:sz w:val="18"/>
      <w:szCs w:val="18"/>
    </w:rPr>
  </w:style>
  <w:style w:type="character" w:customStyle="1" w:styleId="25">
    <w:name w:val="页脚 字符"/>
    <w:basedOn w:val="13"/>
    <w:link w:val="9"/>
    <w:qFormat/>
    <w:uiPriority w:val="99"/>
    <w:rPr>
      <w:rFonts w:ascii="Calibri" w:hAnsi="Calibri" w:eastAsia="宋体" w:cs="Times New Roman"/>
      <w:sz w:val="18"/>
      <w:szCs w:val="18"/>
    </w:rPr>
  </w:style>
  <w:style w:type="character" w:customStyle="1" w:styleId="26">
    <w:name w:val="页眉 字符"/>
    <w:basedOn w:val="13"/>
    <w:link w:val="10"/>
    <w:qFormat/>
    <w:uiPriority w:val="99"/>
    <w:rPr>
      <w:rFonts w:ascii="Calibri" w:hAnsi="Calibri" w:eastAsia="宋体" w:cs="Times New Roman"/>
      <w:sz w:val="18"/>
      <w:szCs w:val="18"/>
    </w:rPr>
  </w:style>
  <w:style w:type="character" w:customStyle="1" w:styleId="27">
    <w:name w:val="tab"/>
    <w:basedOn w:val="13"/>
    <w:qFormat/>
    <w:uiPriority w:val="0"/>
    <w:rPr>
      <w:color w:val="A4BCD6"/>
    </w:rPr>
  </w:style>
  <w:style w:type="character" w:customStyle="1" w:styleId="28">
    <w:name w:val="tab1"/>
    <w:basedOn w:val="13"/>
    <w:qFormat/>
    <w:uiPriority w:val="0"/>
    <w:rPr>
      <w:color w:val="A4BCD6"/>
    </w:rPr>
  </w:style>
  <w:style w:type="paragraph" w:customStyle="1" w:styleId="29">
    <w:name w:val="列出段落1"/>
    <w:basedOn w:val="1"/>
    <w:qFormat/>
    <w:uiPriority w:val="34"/>
    <w:pPr>
      <w:ind w:firstLine="420" w:firstLineChars="200"/>
    </w:pPr>
  </w:style>
  <w:style w:type="paragraph" w:customStyle="1" w:styleId="30">
    <w:name w:val="我的正文1"/>
    <w:basedOn w:val="1"/>
    <w:qFormat/>
    <w:uiPriority w:val="0"/>
    <w:pPr>
      <w:widowControl/>
      <w:spacing w:line="360" w:lineRule="auto"/>
      <w:ind w:firstLine="420" w:firstLineChars="200"/>
      <w:jc w:val="left"/>
    </w:pPr>
  </w:style>
  <w:style w:type="paragraph" w:customStyle="1" w:styleId="31">
    <w:name w:val="列出段落2"/>
    <w:basedOn w:val="1"/>
    <w:qFormat/>
    <w:uiPriority w:val="0"/>
    <w:pPr>
      <w:ind w:firstLine="420" w:firstLineChars="200"/>
    </w:pPr>
    <w:rPr>
      <w:szCs w:val="21"/>
    </w:rPr>
  </w:style>
  <w:style w:type="paragraph" w:customStyle="1" w:styleId="32">
    <w:name w:val="列表段落1"/>
    <w:basedOn w:val="1"/>
    <w:qFormat/>
    <w:uiPriority w:val="99"/>
    <w:pPr>
      <w:ind w:firstLine="420" w:firstLineChars="200"/>
    </w:pPr>
  </w:style>
  <w:style w:type="paragraph" w:customStyle="1" w:styleId="33">
    <w:name w:val="表格内容"/>
    <w:basedOn w:val="1"/>
    <w:next w:val="1"/>
    <w:qFormat/>
    <w:uiPriority w:val="0"/>
    <w:pPr>
      <w:jc w:val="center"/>
    </w:pPr>
    <w:rPr>
      <w:rFonts w:ascii="Times New Roman" w:hAnsi="Times New Roman"/>
      <w:szCs w:val="21"/>
    </w:rPr>
  </w:style>
  <w:style w:type="paragraph" w:customStyle="1" w:styleId="34">
    <w:name w:val="List Paragraph1"/>
    <w:basedOn w:val="1"/>
    <w:qFormat/>
    <w:uiPriority w:val="0"/>
    <w:pPr>
      <w:ind w:firstLine="420" w:firstLineChars="200"/>
    </w:pPr>
  </w:style>
  <w:style w:type="paragraph" w:customStyle="1" w:styleId="35">
    <w:name w:val="Default"/>
    <w:next w:val="1"/>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paragraph" w:styleId="36">
    <w:name w:val="List Paragraph"/>
    <w:basedOn w:val="1"/>
    <w:qFormat/>
    <w:uiPriority w:val="1"/>
    <w:pPr>
      <w:ind w:left="138" w:firstLine="480"/>
    </w:pPr>
    <w:rPr>
      <w:rFonts w:ascii="宋体" w:hAnsi="宋体" w:eastAsia="宋体" w:cs="宋体"/>
      <w:lang w:val="en-US" w:eastAsia="zh-CN" w:bidi="ar-SA"/>
    </w:rPr>
  </w:style>
  <w:style w:type="paragraph" w:customStyle="1" w:styleId="37">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character" w:customStyle="1" w:styleId="38">
    <w:name w:val="font101"/>
    <w:qFormat/>
    <w:uiPriority w:val="0"/>
    <w:rPr>
      <w:rFonts w:hint="eastAsia" w:ascii="宋体" w:hAnsi="宋体" w:eastAsia="宋体" w:cs="宋体"/>
      <w:color w:val="000000"/>
      <w:sz w:val="20"/>
      <w:szCs w:val="20"/>
      <w:u w:val="none"/>
    </w:rPr>
  </w:style>
  <w:style w:type="character" w:customStyle="1" w:styleId="39">
    <w:name w:val="font51"/>
    <w:qFormat/>
    <w:uiPriority w:val="0"/>
    <w:rPr>
      <w:rFonts w:hint="eastAsia" w:ascii="宋体" w:hAnsi="宋体" w:eastAsia="宋体" w:cs="宋体"/>
      <w:color w:val="000000"/>
      <w:sz w:val="20"/>
      <w:szCs w:val="20"/>
      <w:u w:val="none"/>
    </w:rPr>
  </w:style>
  <w:style w:type="character" w:customStyle="1" w:styleId="40">
    <w:name w:val="标题 1 字符1"/>
    <w:link w:val="3"/>
    <w:qFormat/>
    <w:uiPriority w:val="0"/>
    <w:rPr>
      <w:rFonts w:hint="eastAsia" w:ascii="宋体" w:hAnsi="宋体"/>
      <w:b/>
      <w:kern w:val="44"/>
      <w:sz w:val="51"/>
      <w:szCs w:val="5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P R C</Company>
  <Pages>6</Pages>
  <Words>3271</Words>
  <Characters>3712</Characters>
  <Paragraphs>85</Paragraphs>
  <TotalTime>12</TotalTime>
  <ScaleCrop>false</ScaleCrop>
  <LinksUpToDate>false</LinksUpToDate>
  <CharactersWithSpaces>3746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2024-03-13T02:15:00Z</dcterms:created>
  <dc:creator>Windows User</dc:creator>
  <cp:lastModifiedBy>8612759AFF3D4B659A17036508AF04D4</cp:lastModifiedBy>
  <dcterms:modified xsi:type="dcterms:W3CDTF">2024-08-19T00:39:08Z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3D14EB9AC4654B0097F969DDD021931C</vt:lpwstr>
  </property>
</Properties>
</file>