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rPr>
          <w:rFonts w:hint="eastAsia" w:asciiTheme="minorEastAsia" w:hAnsiTheme="minorEastAsia" w:eastAsiaTheme="minorEastAsia" w:cstheme="minorEastAsia"/>
          <w:b/>
          <w:bCs/>
          <w:color w:val="000000"/>
          <w:sz w:val="28"/>
          <w:szCs w:val="28"/>
        </w:rPr>
      </w:pPr>
      <w:r>
        <w:rPr>
          <w:rFonts w:hint="eastAsia" w:asciiTheme="minorEastAsia" w:hAnsiTheme="minorEastAsia" w:eastAsiaTheme="minorEastAsia" w:cstheme="minorEastAsia"/>
          <w:b/>
          <w:bCs/>
          <w:color w:val="000000"/>
          <w:sz w:val="28"/>
          <w:szCs w:val="28"/>
        </w:rPr>
        <w:t>报价文件</w:t>
      </w:r>
    </w:p>
    <w:tbl>
      <w:tblPr>
        <w:tblStyle w:val="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9"/>
        <w:gridCol w:w="3987"/>
        <w:gridCol w:w="1915"/>
        <w:gridCol w:w="1819"/>
        <w:gridCol w:w="1901"/>
        <w:gridCol w:w="2275"/>
        <w:gridCol w:w="14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4" w:hRule="atLeast"/>
        </w:trPr>
        <w:tc>
          <w:tcPr>
            <w:tcW w:w="5000" w:type="pct"/>
            <w:gridSpan w:val="7"/>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2024年信通公司基于场景分析的数据安全监测关键技术研究项目产品鉴定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4" w:hRule="atLeast"/>
        </w:trPr>
        <w:tc>
          <w:tcPr>
            <w:tcW w:w="275"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序号</w:t>
            </w:r>
          </w:p>
        </w:tc>
        <w:tc>
          <w:tcPr>
            <w:tcW w:w="1408"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采购项目</w:t>
            </w:r>
          </w:p>
        </w:tc>
        <w:tc>
          <w:tcPr>
            <w:tcW w:w="676"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采购工作内容</w:t>
            </w:r>
          </w:p>
        </w:tc>
        <w:tc>
          <w:tcPr>
            <w:tcW w:w="642"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采购数量（次）</w:t>
            </w:r>
          </w:p>
        </w:tc>
        <w:tc>
          <w:tcPr>
            <w:tcW w:w="671"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最高限价</w:t>
            </w:r>
          </w:p>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（元）</w:t>
            </w:r>
          </w:p>
        </w:tc>
        <w:tc>
          <w:tcPr>
            <w:tcW w:w="803"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报价小计</w:t>
            </w: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br w:type="textWrapping"/>
            </w: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（元）</w:t>
            </w:r>
          </w:p>
        </w:tc>
        <w:tc>
          <w:tcPr>
            <w:tcW w:w="522"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b/>
                <w:bCs/>
                <w:i w:val="0"/>
                <w:iCs w:val="0"/>
                <w:color w:val="000000"/>
                <w:sz w:val="28"/>
                <w:szCs w:val="28"/>
                <w:highlight w:val="none"/>
                <w:u w:val="none"/>
              </w:rPr>
            </w:pPr>
            <w:r>
              <w:rPr>
                <w:rFonts w:hint="eastAsia" w:asciiTheme="minorEastAsia" w:hAnsiTheme="minorEastAsia" w:eastAsiaTheme="minorEastAsia" w:cstheme="minorEastAsia"/>
                <w:b/>
                <w:bCs/>
                <w:i w:val="0"/>
                <w:iCs w:val="0"/>
                <w:color w:val="000000"/>
                <w:kern w:val="0"/>
                <w:sz w:val="28"/>
                <w:szCs w:val="28"/>
                <w:highlight w:val="none"/>
                <w:u w:val="none"/>
                <w:lang w:val="en-US" w:eastAsia="zh-CN" w:bidi="ar"/>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275"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8"/>
                <w:szCs w:val="28"/>
                <w:highlight w:val="none"/>
                <w:u w:val="none"/>
              </w:rPr>
            </w:pPr>
            <w:r>
              <w:rPr>
                <w:rFonts w:hint="eastAsia" w:asciiTheme="minorEastAsia" w:hAnsiTheme="minorEastAsia" w:eastAsiaTheme="minorEastAsia" w:cstheme="minorEastAsia"/>
                <w:i w:val="0"/>
                <w:iCs w:val="0"/>
                <w:color w:val="000000"/>
                <w:kern w:val="0"/>
                <w:sz w:val="28"/>
                <w:szCs w:val="28"/>
                <w:highlight w:val="none"/>
                <w:u w:val="none"/>
                <w:lang w:val="en-US" w:eastAsia="zh-CN" w:bidi="ar"/>
              </w:rPr>
              <w:t>1</w:t>
            </w:r>
          </w:p>
        </w:tc>
        <w:tc>
          <w:tcPr>
            <w:tcW w:w="1408" w:type="pct"/>
            <w:tcBorders>
              <w:tl2br w:val="nil"/>
              <w:tr2bl w:val="nil"/>
            </w:tcBorders>
            <w:noWrap w:val="0"/>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kern w:val="0"/>
                <w:sz w:val="28"/>
                <w:szCs w:val="28"/>
                <w:highlight w:val="none"/>
                <w:u w:val="none"/>
                <w:lang w:val="en-US" w:eastAsia="zh-CN" w:bidi="ar"/>
              </w:rPr>
            </w:pPr>
            <w:r>
              <w:rPr>
                <w:rFonts w:hint="eastAsia" w:asciiTheme="minorEastAsia" w:hAnsiTheme="minorEastAsia" w:eastAsiaTheme="minorEastAsia" w:cstheme="minorEastAsia"/>
                <w:i w:val="0"/>
                <w:iCs w:val="0"/>
                <w:color w:val="000000"/>
                <w:kern w:val="0"/>
                <w:sz w:val="28"/>
                <w:szCs w:val="28"/>
                <w:highlight w:val="none"/>
                <w:u w:val="none"/>
                <w:lang w:val="en-US" w:eastAsia="zh-CN" w:bidi="ar"/>
              </w:rPr>
              <w:t>2024年信通公司</w:t>
            </w:r>
            <w:bookmarkStart w:id="0" w:name="_GoBack"/>
            <w:bookmarkEnd w:id="0"/>
            <w:r>
              <w:rPr>
                <w:rFonts w:hint="eastAsia" w:asciiTheme="minorEastAsia" w:hAnsiTheme="minorEastAsia" w:eastAsiaTheme="minorEastAsia" w:cstheme="minorEastAsia"/>
                <w:i w:val="0"/>
                <w:iCs w:val="0"/>
                <w:color w:val="000000"/>
                <w:kern w:val="0"/>
                <w:sz w:val="28"/>
                <w:szCs w:val="28"/>
                <w:highlight w:val="none"/>
                <w:u w:val="none"/>
                <w:lang w:val="en-US" w:eastAsia="zh-CN" w:bidi="ar"/>
              </w:rPr>
              <w:t>基于场景分析的数据安全监测关键技术研究项目产品鉴定</w:t>
            </w:r>
          </w:p>
        </w:tc>
        <w:tc>
          <w:tcPr>
            <w:tcW w:w="676" w:type="pct"/>
            <w:tcBorders>
              <w:tl2br w:val="nil"/>
              <w:tr2bl w:val="nil"/>
            </w:tcBorders>
            <w:noWrap w:val="0"/>
            <w:vAlign w:val="center"/>
          </w:tcPr>
          <w:p>
            <w:pPr>
              <w:keepNext w:val="0"/>
              <w:keepLines w:val="0"/>
              <w:widowControl/>
              <w:suppressLineNumbers w:val="0"/>
              <w:spacing w:line="240" w:lineRule="auto"/>
              <w:jc w:val="center"/>
              <w:textAlignment w:val="center"/>
              <w:rPr>
                <w:rFonts w:hint="default"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产品鉴定服务</w:t>
            </w:r>
          </w:p>
        </w:tc>
        <w:tc>
          <w:tcPr>
            <w:tcW w:w="642" w:type="pct"/>
            <w:tcBorders>
              <w:tl2br w:val="nil"/>
              <w:tr2bl w:val="nil"/>
            </w:tcBorders>
            <w:noWrap/>
            <w:vAlign w:val="center"/>
          </w:tcPr>
          <w:p>
            <w:pPr>
              <w:keepNext w:val="0"/>
              <w:keepLines w:val="0"/>
              <w:widowControl/>
              <w:suppressLineNumbers w:val="0"/>
              <w:spacing w:line="240" w:lineRule="auto"/>
              <w:jc w:val="center"/>
              <w:textAlignment w:val="center"/>
              <w:rPr>
                <w:rFonts w:hint="eastAsia"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1</w:t>
            </w:r>
          </w:p>
        </w:tc>
        <w:tc>
          <w:tcPr>
            <w:tcW w:w="671" w:type="pct"/>
            <w:tcBorders>
              <w:tl2br w:val="nil"/>
              <w:tr2bl w:val="nil"/>
            </w:tcBorders>
            <w:noWrap/>
            <w:vAlign w:val="center"/>
          </w:tcPr>
          <w:p>
            <w:pPr>
              <w:keepNext w:val="0"/>
              <w:keepLines w:val="0"/>
              <w:widowControl/>
              <w:suppressLineNumbers w:val="0"/>
              <w:tabs>
                <w:tab w:val="left" w:pos="458"/>
              </w:tabs>
              <w:ind w:firstLine="0" w:firstLineChars="0"/>
              <w:jc w:val="center"/>
              <w:textAlignment w:val="center"/>
              <w:rPr>
                <w:rFonts w:hint="default" w:asciiTheme="minorEastAsia" w:hAnsiTheme="minorEastAsia" w:eastAsiaTheme="minorEastAsia" w:cstheme="minorEastAsia"/>
                <w:i w:val="0"/>
                <w:iCs w:val="0"/>
                <w:color w:val="000000"/>
                <w:sz w:val="28"/>
                <w:szCs w:val="28"/>
                <w:highlight w:val="none"/>
                <w:u w:val="none"/>
                <w:lang w:val="en-US" w:eastAsia="zh-CN"/>
              </w:rPr>
            </w:pPr>
            <w:r>
              <w:rPr>
                <w:rFonts w:hint="eastAsia" w:asciiTheme="minorEastAsia" w:hAnsiTheme="minorEastAsia" w:eastAsiaTheme="minorEastAsia" w:cstheme="minorEastAsia"/>
                <w:i w:val="0"/>
                <w:iCs w:val="0"/>
                <w:color w:val="000000"/>
                <w:sz w:val="28"/>
                <w:szCs w:val="28"/>
                <w:highlight w:val="none"/>
                <w:u w:val="none"/>
                <w:lang w:val="en-US" w:eastAsia="zh-CN"/>
              </w:rPr>
              <w:t>48000</w:t>
            </w:r>
          </w:p>
        </w:tc>
        <w:tc>
          <w:tcPr>
            <w:tcW w:w="803" w:type="pct"/>
            <w:tcBorders>
              <w:tl2br w:val="nil"/>
              <w:tr2bl w:val="nil"/>
            </w:tcBorders>
            <w:noWrap/>
            <w:vAlign w:val="center"/>
          </w:tcPr>
          <w:p>
            <w:pPr>
              <w:spacing w:line="240" w:lineRule="auto"/>
              <w:jc w:val="center"/>
              <w:rPr>
                <w:rFonts w:hint="eastAsia" w:asciiTheme="minorEastAsia" w:hAnsiTheme="minorEastAsia" w:eastAsiaTheme="minorEastAsia" w:cstheme="minorEastAsia"/>
                <w:i w:val="0"/>
                <w:iCs w:val="0"/>
                <w:color w:val="000000"/>
                <w:sz w:val="28"/>
                <w:szCs w:val="28"/>
                <w:highlight w:val="none"/>
                <w:u w:val="none"/>
              </w:rPr>
            </w:pPr>
          </w:p>
        </w:tc>
        <w:tc>
          <w:tcPr>
            <w:tcW w:w="522" w:type="pct"/>
            <w:tcBorders>
              <w:tl2br w:val="nil"/>
              <w:tr2bl w:val="nil"/>
            </w:tcBorders>
            <w:noWrap/>
            <w:vAlign w:val="center"/>
          </w:tcPr>
          <w:p>
            <w:pPr>
              <w:spacing w:line="240" w:lineRule="auto"/>
              <w:jc w:val="center"/>
              <w:rPr>
                <w:rFonts w:hint="eastAsia" w:asciiTheme="minorEastAsia" w:hAnsiTheme="minorEastAsia" w:eastAsiaTheme="minorEastAsia" w:cstheme="minorEastAsia"/>
                <w:i w:val="0"/>
                <w:iCs w:val="0"/>
                <w:color w:val="000000"/>
                <w:sz w:val="28"/>
                <w:szCs w:val="28"/>
                <w:highlight w:val="none"/>
                <w:u w:val="none"/>
              </w:rPr>
            </w:pPr>
          </w:p>
        </w:tc>
      </w:tr>
    </w:tbl>
    <w:p>
      <w:pPr>
        <w:rPr>
          <w:rFonts w:hint="eastAsia" w:asciiTheme="minorEastAsia" w:hAnsiTheme="minorEastAsia" w:eastAsiaTheme="minorEastAsia" w:cstheme="minorEastAsia"/>
          <w:sz w:val="28"/>
          <w:szCs w:val="28"/>
        </w:rPr>
      </w:pPr>
    </w:p>
    <w:p>
      <w:pPr>
        <w:pStyle w:val="2"/>
        <w:rPr>
          <w:rFonts w:hint="eastAsia"/>
        </w:rPr>
      </w:pPr>
    </w:p>
    <w:p>
      <w:pPr>
        <w:pStyle w:val="2"/>
        <w:jc w:val="right"/>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单位名称（盖章）：</w:t>
      </w:r>
    </w:p>
    <w:p>
      <w:pPr>
        <w:pStyle w:val="3"/>
        <w:jc w:val="right"/>
        <w:rPr>
          <w:rFonts w:hint="default"/>
          <w:lang w:val="en-US" w:eastAsia="zh-CN"/>
        </w:rPr>
      </w:pPr>
      <w:r>
        <w:rPr>
          <w:rFonts w:hint="eastAsia" w:asciiTheme="minorEastAsia" w:hAnsiTheme="minorEastAsia" w:eastAsiaTheme="minorEastAsia" w:cstheme="minorEastAsia"/>
          <w:b w:val="0"/>
          <w:bCs w:val="0"/>
          <w:kern w:val="2"/>
          <w:sz w:val="28"/>
          <w:szCs w:val="28"/>
          <w:lang w:val="en-US" w:eastAsia="zh-CN" w:bidi="ar-SA"/>
        </w:rPr>
        <w:t>年    月   日</w:t>
      </w:r>
    </w:p>
    <w:sectPr>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MWIzYjYyOTQ4N2EzNjU2MjA5YzNlOGMwNGRmMGQifQ=="/>
  </w:docVars>
  <w:rsids>
    <w:rsidRoot w:val="2A8A5E29"/>
    <w:rsid w:val="08E500DB"/>
    <w:rsid w:val="10676B47"/>
    <w:rsid w:val="15186E22"/>
    <w:rsid w:val="162F6FD0"/>
    <w:rsid w:val="1AD62CA4"/>
    <w:rsid w:val="1AFC07EC"/>
    <w:rsid w:val="22031056"/>
    <w:rsid w:val="2A8A5E29"/>
    <w:rsid w:val="2EA17C2D"/>
    <w:rsid w:val="30D01BA7"/>
    <w:rsid w:val="31EA3C32"/>
    <w:rsid w:val="32216284"/>
    <w:rsid w:val="32421616"/>
    <w:rsid w:val="33C71569"/>
    <w:rsid w:val="37F0752F"/>
    <w:rsid w:val="38785278"/>
    <w:rsid w:val="389276C0"/>
    <w:rsid w:val="38DA3DB8"/>
    <w:rsid w:val="38E01351"/>
    <w:rsid w:val="3F7F1678"/>
    <w:rsid w:val="40836138"/>
    <w:rsid w:val="412F2700"/>
    <w:rsid w:val="42725710"/>
    <w:rsid w:val="46827EEC"/>
    <w:rsid w:val="4A7D4C52"/>
    <w:rsid w:val="4C6724C7"/>
    <w:rsid w:val="4CA66C74"/>
    <w:rsid w:val="59215342"/>
    <w:rsid w:val="59DD07BC"/>
    <w:rsid w:val="5D927755"/>
    <w:rsid w:val="6377272F"/>
    <w:rsid w:val="66C8504F"/>
    <w:rsid w:val="6A3A4995"/>
    <w:rsid w:val="6C414631"/>
    <w:rsid w:val="6C9A4C20"/>
    <w:rsid w:val="7C5147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0" w:firstLineChars="0"/>
      <w:jc w:val="both"/>
    </w:pPr>
    <w:rPr>
      <w:rFonts w:ascii="Calibri" w:hAnsi="Calibri" w:eastAsia="宋体" w:cs="Times New Roman"/>
      <w:kern w:val="2"/>
      <w:sz w:val="24"/>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Autospacing="1"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2023-11-20T05:14:00Z</dcterms:created>
  <dc:creator>nongcq</dc:creator>
  <cp:lastModifiedBy>许伟杰</cp:lastModifiedBy>
  <dcterms:modified xsi:type="dcterms:W3CDTF">2024-09-05T03:02:41Z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68450AED8E6344EAB77B4AA93795B633</vt:lpwstr>
  </property>
</Properties>
</file>