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4"/>
        <w:tblW w:w="0" w:type="auto"/>
        <w:jc w:val="center"/>
        <w:tblLayout w:type="fixed"/>
        <w:tblCellMar>
          <w:top w:w="0" w:type="dxa"/>
          <w:left w:w="28" w:type="dxa"/>
          <w:bottom w:w="0" w:type="dxa"/>
          <w:right w:w="28" w:type="dxa"/>
        </w:tblCellMar>
      </w:tblPr>
      <w:tblGrid>
        <w:gridCol w:w="1898"/>
      </w:tblGrid>
      <w:tr>
        <w:tblPrEx>
          <w:tblCellMar>
            <w:top w:w="0" w:type="dxa"/>
            <w:left w:w="28" w:type="dxa"/>
            <w:bottom w:w="0" w:type="dxa"/>
            <w:right w:w="28" w:type="dxa"/>
          </w:tblCellMar>
        </w:tblPrEx>
        <w:trPr>
          <w:wBefore w:w="0" w:type="dxa"/>
          <w:wAfter w:w="0" w:type="dxa"/>
          <w:jc w:val="center"/>
        </w:trPr>
        <w:tc>
          <w:tcPr>
            <w:tcW w:w="1898" w:type="dxa"/>
            <w:noWrap w:val="0"/>
            <w:vAlign w:val="top"/>
          </w:tcPr>
          <w:p>
            <w:pPr>
              <w:snapToGrid w:val="0"/>
              <w:spacing w:line="240" w:lineRule="atLeast"/>
              <w:jc w:val="distribute"/>
              <w:rPr>
                <w:color w:val="000000"/>
              </w:rPr>
            </w:pPr>
            <w:bookmarkStart w:id="0" w:name="OLE_LINK17"/>
            <w:bookmarkStart w:id="1" w:name="OLE_LINK18"/>
            <w:bookmarkStart w:id="287" w:name="_GoBack"/>
            <w:bookmarkEnd w:id="287"/>
            <w:r>
              <w:rPr>
                <w:lang/>
              </w:rPr>
              <w:drawing>
                <wp:anchor distT="0" distB="0" distL="114300" distR="114300" simplePos="0" relativeHeight="251659264" behindDoc="0" locked="0" layoutInCell="1" allowOverlap="1">
                  <wp:simplePos x="0" y="0"/>
                  <wp:positionH relativeFrom="column">
                    <wp:posOffset>-3203575</wp:posOffset>
                  </wp:positionH>
                  <wp:positionV relativeFrom="paragraph">
                    <wp:posOffset>-1093470</wp:posOffset>
                  </wp:positionV>
                  <wp:extent cx="7610475" cy="2914650"/>
                  <wp:effectExtent l="0" t="0" r="9525" b="0"/>
                  <wp:wrapNone/>
                  <wp:docPr id="1" name="图片 2"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说明: 模板-3"/>
                          <pic:cNvPicPr>
                            <a:picLocks noChangeAspect="1"/>
                          </pic:cNvPicPr>
                        </pic:nvPicPr>
                        <pic:blipFill>
                          <a:blip r:embed="rId7"/>
                          <a:srcRect b="75984"/>
                          <a:stretch>
                            <a:fillRect/>
                          </a:stretch>
                        </pic:blipFill>
                        <pic:spPr>
                          <a:xfrm>
                            <a:off x="0" y="0"/>
                            <a:ext cx="7610475" cy="2914650"/>
                          </a:xfrm>
                          <a:prstGeom prst="rect">
                            <a:avLst/>
                          </a:prstGeom>
                          <a:noFill/>
                          <a:ln>
                            <a:noFill/>
                          </a:ln>
                        </pic:spPr>
                      </pic:pic>
                    </a:graphicData>
                  </a:graphic>
                </wp:anchor>
              </w:drawing>
            </w:r>
          </w:p>
          <w:p>
            <w:pPr>
              <w:snapToGrid w:val="0"/>
              <w:spacing w:line="240" w:lineRule="atLeast"/>
              <w:jc w:val="distribute"/>
              <w:rPr>
                <w:color w:val="000000"/>
              </w:rPr>
            </w:pPr>
          </w:p>
        </w:tc>
      </w:tr>
      <w:bookmarkEnd w:id="0"/>
      <w:bookmarkEnd w:id="1"/>
    </w:tbl>
    <w:p>
      <w:pPr>
        <w:rPr>
          <w:rFonts w:ascii="宋体" w:hAnsi="宋体"/>
          <w:sz w:val="36"/>
        </w:rPr>
      </w:pPr>
    </w:p>
    <w:p>
      <w:pPr>
        <w:rPr>
          <w:rFonts w:ascii="宋体" w:hAnsi="宋体"/>
          <w:sz w:val="36"/>
        </w:rPr>
      </w:pPr>
    </w:p>
    <w:p>
      <w:pPr>
        <w:rPr>
          <w:rFonts w:ascii="宋体" w:hAnsi="宋体"/>
          <w:sz w:val="36"/>
        </w:rPr>
      </w:pPr>
    </w:p>
    <w:p>
      <w:pPr>
        <w:rPr>
          <w:rFonts w:ascii="宋体" w:hAnsi="宋体"/>
          <w:sz w:val="36"/>
        </w:rPr>
      </w:pPr>
    </w:p>
    <w:p>
      <w:pPr>
        <w:rPr>
          <w:rFonts w:ascii="宋体" w:hAnsi="宋体"/>
          <w:sz w:val="36"/>
        </w:rPr>
      </w:pPr>
    </w:p>
    <w:p>
      <w:pPr>
        <w:pStyle w:val="33"/>
        <w:spacing w:line="480" w:lineRule="auto"/>
        <w:ind w:firstLine="0" w:firstLineChars="0"/>
        <w:jc w:val="center"/>
        <w:rPr>
          <w:b/>
          <w:sz w:val="44"/>
          <w:szCs w:val="44"/>
        </w:rPr>
      </w:pPr>
    </w:p>
    <w:p>
      <w:pPr>
        <w:pStyle w:val="33"/>
        <w:spacing w:line="480" w:lineRule="auto"/>
        <w:ind w:firstLine="0" w:firstLineChars="0"/>
        <w:jc w:val="center"/>
        <w:rPr>
          <w:b/>
          <w:sz w:val="44"/>
          <w:szCs w:val="44"/>
        </w:rPr>
      </w:pPr>
    </w:p>
    <w:p>
      <w:pPr>
        <w:jc w:val="center"/>
        <w:rPr>
          <w:rFonts w:hint="eastAsia"/>
          <w:b/>
          <w:sz w:val="44"/>
          <w:szCs w:val="44"/>
        </w:rPr>
      </w:pPr>
      <w:r>
        <w:rPr>
          <w:rFonts w:hint="eastAsia" w:ascii="黑体" w:hAnsi="黑体" w:eastAsia="黑体"/>
          <w:sz w:val="52"/>
          <w:szCs w:val="52"/>
        </w:rPr>
        <w:t>南网总调珠江备调调度大厅大屏幕系统改造项目招标文件技术规范书</w:t>
      </w:r>
    </w:p>
    <w:p>
      <w:pPr>
        <w:jc w:val="center"/>
        <w:rPr>
          <w:rFonts w:hint="eastAsia"/>
          <w:b/>
          <w:sz w:val="44"/>
          <w:szCs w:val="44"/>
        </w:rPr>
      </w:pPr>
    </w:p>
    <w:p>
      <w:pPr>
        <w:jc w:val="center"/>
        <w:rPr>
          <w:rFonts w:hint="eastAsia"/>
          <w:b/>
          <w:sz w:val="44"/>
          <w:szCs w:val="44"/>
        </w:rPr>
      </w:pPr>
    </w:p>
    <w:p>
      <w:pPr>
        <w:jc w:val="center"/>
        <w:rPr>
          <w:rFonts w:hint="eastAsia"/>
          <w:b/>
          <w:sz w:val="44"/>
          <w:szCs w:val="44"/>
        </w:rPr>
      </w:pPr>
    </w:p>
    <w:p>
      <w:pPr>
        <w:jc w:val="center"/>
        <w:rPr>
          <w:b/>
          <w:sz w:val="44"/>
          <w:szCs w:val="44"/>
        </w:rPr>
      </w:pPr>
    </w:p>
    <w:p>
      <w:pPr>
        <w:jc w:val="center"/>
        <w:rPr>
          <w:b/>
          <w:sz w:val="44"/>
          <w:szCs w:val="44"/>
        </w:rPr>
      </w:pPr>
    </w:p>
    <w:p>
      <w:pPr>
        <w:jc w:val="center"/>
        <w:rPr>
          <w:b/>
          <w:sz w:val="44"/>
          <w:szCs w:val="44"/>
        </w:rPr>
      </w:pPr>
    </w:p>
    <w:p>
      <w:pPr>
        <w:jc w:val="center"/>
        <w:rPr>
          <w:rFonts w:hint="eastAsia"/>
          <w:b/>
          <w:sz w:val="44"/>
          <w:szCs w:val="44"/>
        </w:rPr>
      </w:pPr>
    </w:p>
    <w:p>
      <w:pPr>
        <w:jc w:val="center"/>
        <w:rPr>
          <w:b/>
          <w:sz w:val="44"/>
          <w:szCs w:val="44"/>
        </w:rPr>
      </w:pPr>
    </w:p>
    <w:p>
      <w:pPr>
        <w:pStyle w:val="80"/>
        <w:rPr>
          <w:sz w:val="32"/>
          <w:szCs w:val="32"/>
        </w:rPr>
      </w:pPr>
    </w:p>
    <w:p>
      <w:pPr>
        <w:pStyle w:val="80"/>
        <w:rPr>
          <w:rFonts w:hint="default" w:eastAsia="黑体"/>
          <w:sz w:val="32"/>
          <w:szCs w:val="32"/>
          <w:lang w:val="en-US" w:eastAsia="zh-CN"/>
        </w:rPr>
      </w:pPr>
      <w:r>
        <w:rPr>
          <w:rFonts w:hint="eastAsia"/>
          <w:sz w:val="32"/>
          <w:szCs w:val="32"/>
        </w:rPr>
        <w:t>中国南方电网</w:t>
      </w:r>
      <w:r>
        <w:rPr>
          <w:rFonts w:hint="eastAsia"/>
          <w:sz w:val="32"/>
          <w:szCs w:val="32"/>
          <w:lang w:val="en-US" w:eastAsia="zh-CN"/>
        </w:rPr>
        <w:t>电力调度控制中心</w:t>
      </w:r>
    </w:p>
    <w:p>
      <w:pPr>
        <w:pStyle w:val="80"/>
        <w:rPr>
          <w:color w:val="000000"/>
          <w:lang w:val="zh-CN"/>
        </w:rPr>
        <w:sectPr>
          <w:headerReference r:id="rId3" w:type="default"/>
          <w:footerReference r:id="rId4" w:type="default"/>
          <w:pgSz w:w="11906" w:h="16838"/>
          <w:pgMar w:top="1701" w:right="1418" w:bottom="1418" w:left="1418" w:header="1021" w:footer="1021" w:gutter="0"/>
          <w:pgNumType w:fmt="lowerRoman" w:start="1"/>
          <w:cols w:space="720" w:num="1"/>
          <w:docGrid w:linePitch="312" w:charSpace="0"/>
        </w:sectPr>
      </w:pPr>
      <w:r>
        <w:rPr>
          <w:rFonts w:hint="eastAsia"/>
          <w:sz w:val="32"/>
          <w:szCs w:val="32"/>
        </w:rPr>
        <w:t>20</w:t>
      </w:r>
      <w:r>
        <w:rPr>
          <w:sz w:val="32"/>
          <w:szCs w:val="32"/>
        </w:rPr>
        <w:t>2</w:t>
      </w:r>
      <w:r>
        <w:rPr>
          <w:rFonts w:hint="eastAsia"/>
          <w:sz w:val="32"/>
          <w:szCs w:val="32"/>
          <w:lang w:val="en-US" w:eastAsia="zh-CN"/>
        </w:rPr>
        <w:t>4</w:t>
      </w:r>
      <w:r>
        <w:rPr>
          <w:rFonts w:hint="eastAsia"/>
          <w:sz w:val="32"/>
          <w:szCs w:val="32"/>
        </w:rPr>
        <w:t>年</w:t>
      </w:r>
      <w:r>
        <w:rPr>
          <w:rFonts w:hint="eastAsia"/>
          <w:sz w:val="32"/>
          <w:szCs w:val="32"/>
          <w:lang w:val="en-US" w:eastAsia="zh-CN"/>
        </w:rPr>
        <w:t>7</w:t>
      </w:r>
      <w:r>
        <w:rPr>
          <w:rFonts w:hint="eastAsia"/>
          <w:sz w:val="32"/>
          <w:szCs w:val="32"/>
        </w:rPr>
        <w:t>月</w:t>
      </w:r>
    </w:p>
    <w:p>
      <w:pPr>
        <w:pStyle w:val="2"/>
        <w:spacing w:before="120" w:after="120" w:line="360" w:lineRule="auto"/>
        <w:rPr>
          <w:rFonts w:ascii="黑体" w:hAnsi="黑体" w:eastAsia="黑体"/>
          <w:sz w:val="32"/>
        </w:rPr>
      </w:pPr>
      <w:bookmarkStart w:id="2" w:name="_Toc379640719"/>
      <w:bookmarkStart w:id="3" w:name="_Toc387141494"/>
      <w:bookmarkStart w:id="4" w:name="OLE_LINK38"/>
      <w:bookmarkStart w:id="5" w:name="OLE_LINK39"/>
      <w:r>
        <w:rPr>
          <w:rFonts w:ascii="黑体" w:hAnsi="黑体" w:eastAsia="黑体"/>
          <w:sz w:val="32"/>
        </w:rPr>
        <w:t>总则</w:t>
      </w:r>
      <w:bookmarkEnd w:id="2"/>
      <w:bookmarkEnd w:id="3"/>
    </w:p>
    <w:p>
      <w:pPr>
        <w:numPr>
          <w:ilvl w:val="0"/>
          <w:numId w:val="11"/>
        </w:numPr>
        <w:adjustRightInd w:val="0"/>
        <w:snapToGrid w:val="0"/>
        <w:spacing w:line="360" w:lineRule="auto"/>
        <w:ind w:left="0" w:firstLine="480" w:firstLineChars="200"/>
        <w:rPr>
          <w:rFonts w:ascii="宋体" w:hAnsi="宋体"/>
          <w:color w:val="000000"/>
          <w:sz w:val="24"/>
        </w:rPr>
      </w:pPr>
      <w:bookmarkStart w:id="6" w:name="_Toc306129423"/>
      <w:r>
        <w:rPr>
          <w:rFonts w:ascii="宋体" w:hAnsi="宋体"/>
          <w:color w:val="000000"/>
          <w:sz w:val="24"/>
        </w:rPr>
        <w:t>本招标技术文件适用于</w:t>
      </w:r>
      <w:r>
        <w:rPr>
          <w:rFonts w:hint="eastAsia" w:ascii="宋体" w:hAnsi="宋体"/>
          <w:color w:val="000000"/>
          <w:sz w:val="24"/>
        </w:rPr>
        <w:t>《南网总调珠江备调调度大厅大屏幕系统改造项目》的设备供货、功能设计、结构、性能、安装和试验等方面的技术要求。</w:t>
      </w:r>
    </w:p>
    <w:p>
      <w:pPr>
        <w:numPr>
          <w:ilvl w:val="0"/>
          <w:numId w:val="1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本次招标范围包括南网总调珠江备调调度大厅老旧大屏幕显示系统设备的拆除、采购并安装</w:t>
      </w:r>
      <w:r>
        <w:rPr>
          <w:rFonts w:hint="eastAsia" w:ascii="宋体" w:hAnsi="宋体"/>
          <w:color w:val="000000"/>
          <w:sz w:val="24"/>
          <w:lang w:val="en-US" w:eastAsia="zh-CN"/>
        </w:rPr>
        <w:t>4</w:t>
      </w:r>
      <w:r>
        <w:rPr>
          <w:rFonts w:hint="eastAsia" w:ascii="宋体" w:hAnsi="宋体"/>
          <w:color w:val="000000"/>
          <w:sz w:val="24"/>
        </w:rPr>
        <w:t>行</w:t>
      </w:r>
      <w:r>
        <w:rPr>
          <w:rFonts w:hint="eastAsia" w:ascii="宋体" w:hAnsi="宋体"/>
          <w:color w:val="000000"/>
          <w:sz w:val="24"/>
          <w:lang w:val="en-US" w:eastAsia="zh-CN"/>
        </w:rPr>
        <w:t>7</w:t>
      </w:r>
      <w:r>
        <w:rPr>
          <w:rFonts w:hint="eastAsia" w:ascii="宋体" w:hAnsi="宋体"/>
          <w:color w:val="000000"/>
          <w:sz w:val="24"/>
        </w:rPr>
        <w:t>列70</w:t>
      </w:r>
      <w:r>
        <w:rPr>
          <w:rFonts w:hint="eastAsia" w:ascii="宋体" w:hAnsi="宋体"/>
          <w:color w:val="000000"/>
          <w:sz w:val="24"/>
          <w:lang w:val="en-US" w:eastAsia="zh-CN"/>
        </w:rPr>
        <w:t>英</w:t>
      </w:r>
      <w:r>
        <w:rPr>
          <w:rFonts w:hint="eastAsia" w:ascii="宋体" w:hAnsi="宋体"/>
          <w:color w:val="000000"/>
          <w:sz w:val="24"/>
        </w:rPr>
        <w:t>寸DLP大屏幕墙</w:t>
      </w:r>
      <w:r>
        <w:rPr>
          <w:rFonts w:hint="eastAsia" w:ascii="宋体" w:hAnsi="宋体"/>
          <w:color w:val="000000"/>
          <w:sz w:val="24"/>
          <w:lang w:eastAsia="zh-CN"/>
        </w:rPr>
        <w:t>、</w:t>
      </w:r>
      <w:r>
        <w:rPr>
          <w:rFonts w:hint="eastAsia" w:ascii="宋体" w:hAnsi="宋体"/>
          <w:color w:val="000000"/>
          <w:sz w:val="24"/>
          <w:lang w:val="en-US" w:eastAsia="zh-CN"/>
        </w:rPr>
        <w:t>LED条屏</w:t>
      </w:r>
      <w:r>
        <w:rPr>
          <w:rFonts w:hint="eastAsia" w:ascii="宋体" w:hAnsi="宋体"/>
          <w:color w:val="000000"/>
          <w:sz w:val="24"/>
        </w:rPr>
        <w:t>及多屏拼接处理器（含控制软件）等配套设施。</w:t>
      </w:r>
    </w:p>
    <w:p>
      <w:pPr>
        <w:numPr>
          <w:ilvl w:val="0"/>
          <w:numId w:val="11"/>
        </w:numPr>
        <w:adjustRightInd w:val="0"/>
        <w:snapToGrid w:val="0"/>
        <w:spacing w:line="360" w:lineRule="auto"/>
        <w:ind w:left="0" w:firstLine="480" w:firstLineChars="200"/>
        <w:rPr>
          <w:rFonts w:hint="eastAsia" w:ascii="宋体" w:hAnsi="宋体"/>
          <w:color w:val="000000"/>
          <w:sz w:val="24"/>
        </w:rPr>
      </w:pPr>
      <w:r>
        <w:rPr>
          <w:rFonts w:ascii="宋体" w:hAnsi="宋体"/>
          <w:color w:val="000000"/>
          <w:sz w:val="24"/>
        </w:rPr>
        <w:t>投标方</w:t>
      </w:r>
      <w:r>
        <w:rPr>
          <w:rFonts w:hint="eastAsia" w:ascii="宋体" w:hAnsi="宋体"/>
          <w:color w:val="000000"/>
          <w:sz w:val="24"/>
        </w:rPr>
        <w:t>提供的</w:t>
      </w:r>
      <w:r>
        <w:rPr>
          <w:rFonts w:ascii="宋体" w:hAnsi="宋体"/>
          <w:color w:val="000000"/>
          <w:sz w:val="24"/>
        </w:rPr>
        <w:t>DLP</w:t>
      </w:r>
      <w:r>
        <w:rPr>
          <w:rFonts w:hint="eastAsia" w:ascii="宋体" w:hAnsi="宋体"/>
          <w:color w:val="000000"/>
          <w:sz w:val="24"/>
        </w:rPr>
        <w:t>大屏幕墙</w:t>
      </w:r>
      <w:r>
        <w:rPr>
          <w:rFonts w:hint="eastAsia" w:ascii="宋体" w:hAnsi="宋体"/>
          <w:color w:val="000000"/>
          <w:sz w:val="24"/>
          <w:lang w:eastAsia="zh-CN"/>
        </w:rPr>
        <w:t>、</w:t>
      </w:r>
      <w:r>
        <w:rPr>
          <w:rFonts w:hint="eastAsia" w:ascii="宋体" w:hAnsi="宋体"/>
          <w:color w:val="000000"/>
          <w:sz w:val="24"/>
          <w:lang w:val="en-US" w:eastAsia="zh-CN"/>
        </w:rPr>
        <w:t>LED条屏</w:t>
      </w:r>
      <w:r>
        <w:rPr>
          <w:rFonts w:hint="eastAsia" w:ascii="宋体" w:hAnsi="宋体"/>
          <w:color w:val="000000"/>
          <w:sz w:val="24"/>
        </w:rPr>
        <w:t>及多屏拼接处理器（含控制软件）设备必须具有国家认证或国际权威认证的检测机构出具的合格证明</w:t>
      </w:r>
      <w:r>
        <w:rPr>
          <w:rFonts w:ascii="宋体" w:hAnsi="宋体"/>
          <w:color w:val="000000"/>
          <w:sz w:val="24"/>
        </w:rPr>
        <w:t>。</w:t>
      </w:r>
      <w:r>
        <w:rPr>
          <w:rFonts w:hint="eastAsia" w:ascii="宋体" w:hAnsi="宋体"/>
          <w:color w:val="000000"/>
          <w:sz w:val="24"/>
        </w:rPr>
        <w:t>设备材料必须为原厂正品并能够提供原厂配套售后服务。投标方在投标文件中应提供原厂商注明是针对“南网总调自动化监控室大屏幕显示系统改造项目”的授权函，提供加盖原厂公章的产品说明书彩页，并在供货时提供正品供货确认函原件，所有进口设备需提供供货近三个月内的报关单。</w:t>
      </w:r>
    </w:p>
    <w:p>
      <w:pPr>
        <w:numPr>
          <w:ilvl w:val="0"/>
          <w:numId w:val="11"/>
        </w:numPr>
        <w:adjustRightInd w:val="0"/>
        <w:snapToGrid w:val="0"/>
        <w:spacing w:line="360" w:lineRule="auto"/>
        <w:ind w:left="0" w:firstLine="480" w:firstLineChars="200"/>
        <w:rPr>
          <w:rFonts w:ascii="宋体" w:hAnsi="宋体"/>
          <w:color w:val="000000"/>
          <w:sz w:val="24"/>
        </w:rPr>
      </w:pPr>
      <w:r>
        <w:rPr>
          <w:rFonts w:ascii="宋体" w:hAnsi="宋体"/>
          <w:color w:val="000000"/>
          <w:sz w:val="24"/>
        </w:rPr>
        <w:t>本招标技术文件提出的是最低限度的技术要求，并未对一切技术细节作出规定，也未充分引述有关标准和规范的条文，投标方应提供符合本招标技术文件</w:t>
      </w:r>
      <w:r>
        <w:rPr>
          <w:rFonts w:hint="eastAsia" w:ascii="宋体" w:hAnsi="宋体"/>
          <w:color w:val="000000"/>
          <w:sz w:val="24"/>
        </w:rPr>
        <w:t>及本招标技术文件引用的国家标准和行业标准</w:t>
      </w:r>
      <w:r>
        <w:rPr>
          <w:rFonts w:ascii="宋体" w:hAnsi="宋体"/>
          <w:color w:val="000000"/>
          <w:sz w:val="24"/>
        </w:rPr>
        <w:t>的优质产品。</w:t>
      </w:r>
    </w:p>
    <w:p>
      <w:pPr>
        <w:numPr>
          <w:ilvl w:val="0"/>
          <w:numId w:val="11"/>
        </w:numPr>
        <w:adjustRightInd w:val="0"/>
        <w:snapToGrid w:val="0"/>
        <w:spacing w:line="360" w:lineRule="auto"/>
        <w:ind w:left="0" w:firstLine="480" w:firstLineChars="200"/>
        <w:rPr>
          <w:rFonts w:hint="eastAsia" w:ascii="宋体" w:hAnsi="宋体"/>
          <w:color w:val="000000"/>
          <w:sz w:val="24"/>
        </w:rPr>
      </w:pPr>
      <w:r>
        <w:rPr>
          <w:rFonts w:hint="eastAsia" w:ascii="宋体" w:hAnsi="宋体"/>
          <w:color w:val="000000"/>
          <w:sz w:val="24"/>
        </w:rPr>
        <w:t>投标</w:t>
      </w:r>
      <w:r>
        <w:rPr>
          <w:rFonts w:ascii="宋体" w:hAnsi="宋体"/>
          <w:color w:val="000000"/>
          <w:sz w:val="24"/>
        </w:rPr>
        <w:t>方所提供的设备应保证是最新生产的设备，并应对涉及专利、知识产权等法律条款承担义务，</w:t>
      </w:r>
      <w:r>
        <w:rPr>
          <w:rFonts w:hint="eastAsia" w:ascii="宋体" w:hAnsi="宋体"/>
          <w:color w:val="000000"/>
          <w:sz w:val="24"/>
        </w:rPr>
        <w:t>招标</w:t>
      </w:r>
      <w:r>
        <w:rPr>
          <w:rFonts w:ascii="宋体" w:hAnsi="宋体"/>
          <w:color w:val="000000"/>
          <w:sz w:val="24"/>
        </w:rPr>
        <w:t>方对此不承担任何责任。</w:t>
      </w:r>
    </w:p>
    <w:p>
      <w:pPr>
        <w:numPr>
          <w:ilvl w:val="0"/>
          <w:numId w:val="11"/>
        </w:numPr>
        <w:adjustRightInd w:val="0"/>
        <w:snapToGrid w:val="0"/>
        <w:spacing w:line="360" w:lineRule="auto"/>
        <w:ind w:left="0" w:firstLine="480" w:firstLineChars="200"/>
        <w:rPr>
          <w:rFonts w:hint="eastAsia" w:ascii="宋体" w:hAnsi="宋体"/>
          <w:color w:val="000000"/>
          <w:sz w:val="24"/>
        </w:rPr>
      </w:pPr>
      <w:r>
        <w:rPr>
          <w:rFonts w:ascii="宋体" w:hAnsi="宋体"/>
          <w:color w:val="000000"/>
          <w:sz w:val="24"/>
        </w:rPr>
        <w:t>第三方产品的技术、性能参数、测试数据应由产品生产厂商直接提供和确认，并由</w:t>
      </w:r>
      <w:r>
        <w:rPr>
          <w:rFonts w:hint="eastAsia" w:ascii="宋体" w:hAnsi="宋体"/>
          <w:color w:val="000000"/>
          <w:sz w:val="24"/>
        </w:rPr>
        <w:t>投标</w:t>
      </w:r>
      <w:r>
        <w:rPr>
          <w:rFonts w:ascii="宋体" w:hAnsi="宋体"/>
          <w:color w:val="000000"/>
          <w:sz w:val="24"/>
        </w:rPr>
        <w:t>方对系统整体性能负责。</w:t>
      </w:r>
    </w:p>
    <w:p>
      <w:pPr>
        <w:numPr>
          <w:ilvl w:val="0"/>
          <w:numId w:val="11"/>
        </w:numPr>
        <w:adjustRightInd w:val="0"/>
        <w:snapToGrid w:val="0"/>
        <w:spacing w:line="360" w:lineRule="auto"/>
        <w:ind w:left="0" w:firstLine="480" w:firstLineChars="200"/>
        <w:rPr>
          <w:rFonts w:hint="eastAsia" w:ascii="宋体" w:hAnsi="宋体"/>
          <w:color w:val="000000"/>
          <w:sz w:val="24"/>
        </w:rPr>
      </w:pPr>
      <w:r>
        <w:rPr>
          <w:rFonts w:hint="eastAsia" w:ascii="宋体" w:hAnsi="宋体"/>
          <w:color w:val="000000"/>
          <w:sz w:val="24"/>
        </w:rPr>
        <w:t>投标</w:t>
      </w:r>
      <w:r>
        <w:rPr>
          <w:rFonts w:ascii="宋体" w:hAnsi="宋体"/>
          <w:color w:val="000000"/>
          <w:sz w:val="24"/>
        </w:rPr>
        <w:t>方应对DLP</w:t>
      </w:r>
      <w:r>
        <w:rPr>
          <w:rFonts w:hint="eastAsia" w:ascii="宋体" w:hAnsi="宋体"/>
          <w:color w:val="000000"/>
          <w:sz w:val="24"/>
        </w:rPr>
        <w:t>大屏幕</w:t>
      </w:r>
      <w:r>
        <w:rPr>
          <w:rFonts w:hint="eastAsia" w:ascii="宋体" w:hAnsi="宋体"/>
          <w:color w:val="000000"/>
          <w:sz w:val="24"/>
          <w:lang w:val="en-US" w:eastAsia="zh-CN"/>
        </w:rPr>
        <w:t>及LED条屏</w:t>
      </w:r>
      <w:r>
        <w:rPr>
          <w:rFonts w:hint="eastAsia" w:ascii="宋体" w:hAnsi="宋体"/>
          <w:color w:val="000000"/>
          <w:sz w:val="24"/>
        </w:rPr>
        <w:t>显示系统</w:t>
      </w:r>
      <w:r>
        <w:rPr>
          <w:rFonts w:ascii="宋体" w:hAnsi="宋体"/>
          <w:color w:val="000000"/>
          <w:sz w:val="24"/>
        </w:rPr>
        <w:t>的整体性能负责，而不是只对个别设备负责。在系统调测和试运行期间，如果发现由于</w:t>
      </w:r>
      <w:r>
        <w:rPr>
          <w:rFonts w:hint="eastAsia" w:ascii="宋体" w:hAnsi="宋体"/>
          <w:color w:val="000000"/>
          <w:sz w:val="24"/>
        </w:rPr>
        <w:t>投标</w:t>
      </w:r>
      <w:r>
        <w:rPr>
          <w:rFonts w:ascii="宋体" w:hAnsi="宋体"/>
          <w:color w:val="000000"/>
          <w:sz w:val="24"/>
        </w:rPr>
        <w:t>方设计或配置不合理或缺少设备（含部件）而造成整个系统功能不能满足本技术规范书的要求，</w:t>
      </w:r>
      <w:r>
        <w:rPr>
          <w:rFonts w:hint="eastAsia" w:ascii="宋体" w:hAnsi="宋体"/>
          <w:color w:val="000000"/>
          <w:sz w:val="24"/>
        </w:rPr>
        <w:t>投标</w:t>
      </w:r>
      <w:r>
        <w:rPr>
          <w:rFonts w:ascii="宋体" w:hAnsi="宋体"/>
          <w:color w:val="000000"/>
          <w:sz w:val="24"/>
        </w:rPr>
        <w:t>方应负全部责任。系统投入运行后，如果</w:t>
      </w:r>
      <w:r>
        <w:rPr>
          <w:rFonts w:hint="eastAsia" w:ascii="宋体" w:hAnsi="宋体"/>
          <w:color w:val="000000"/>
          <w:sz w:val="24"/>
        </w:rPr>
        <w:t>招标</w:t>
      </w:r>
      <w:r>
        <w:rPr>
          <w:rFonts w:ascii="宋体" w:hAnsi="宋体"/>
          <w:color w:val="000000"/>
          <w:sz w:val="24"/>
        </w:rPr>
        <w:t>方需修改或增加系统的功能，</w:t>
      </w:r>
      <w:r>
        <w:rPr>
          <w:rFonts w:hint="eastAsia" w:ascii="宋体" w:hAnsi="宋体"/>
          <w:color w:val="000000"/>
          <w:sz w:val="24"/>
        </w:rPr>
        <w:t>投标</w:t>
      </w:r>
      <w:r>
        <w:rPr>
          <w:rFonts w:ascii="宋体" w:hAnsi="宋体"/>
          <w:color w:val="000000"/>
          <w:sz w:val="24"/>
        </w:rPr>
        <w:t>方有义务提供性能的修改和增加，免费提供软件版本的升级</w:t>
      </w:r>
      <w:r>
        <w:rPr>
          <w:rFonts w:hint="eastAsia" w:ascii="宋体" w:hAnsi="宋体"/>
          <w:color w:val="000000"/>
          <w:sz w:val="24"/>
        </w:rPr>
        <w:t>。</w:t>
      </w:r>
    </w:p>
    <w:p>
      <w:pPr>
        <w:numPr>
          <w:ilvl w:val="0"/>
          <w:numId w:val="1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投标方应保证</w:t>
      </w:r>
      <w:r>
        <w:rPr>
          <w:rFonts w:ascii="宋体" w:hAnsi="宋体"/>
          <w:color w:val="000000"/>
          <w:sz w:val="24"/>
        </w:rPr>
        <w:t>DLP</w:t>
      </w:r>
      <w:r>
        <w:rPr>
          <w:rFonts w:hint="eastAsia" w:ascii="宋体" w:hAnsi="宋体"/>
          <w:color w:val="000000"/>
          <w:sz w:val="24"/>
        </w:rPr>
        <w:t>大屏幕</w:t>
      </w:r>
      <w:r>
        <w:rPr>
          <w:rFonts w:hint="eastAsia" w:ascii="宋体" w:hAnsi="宋体"/>
          <w:color w:val="000000"/>
          <w:sz w:val="24"/>
          <w:lang w:val="en-US" w:eastAsia="zh-CN"/>
        </w:rPr>
        <w:t>及LED条屏</w:t>
      </w:r>
      <w:r>
        <w:rPr>
          <w:rFonts w:hint="eastAsia" w:ascii="宋体" w:hAnsi="宋体"/>
          <w:color w:val="000000"/>
          <w:sz w:val="24"/>
        </w:rPr>
        <w:t>显示系统的完整可用，对招标方提出的现有大屏幕显示系统综合布线需求不能满足要求而增加的线缆、配件采购及工程实施所发生的相关费用，应包含在报价里面。</w:t>
      </w:r>
    </w:p>
    <w:p>
      <w:pPr>
        <w:numPr>
          <w:ilvl w:val="0"/>
          <w:numId w:val="11"/>
        </w:numPr>
        <w:adjustRightInd w:val="0"/>
        <w:snapToGrid w:val="0"/>
        <w:spacing w:line="360" w:lineRule="auto"/>
        <w:ind w:left="0" w:firstLine="480" w:firstLineChars="200"/>
        <w:rPr>
          <w:rFonts w:ascii="宋体" w:hAnsi="宋体"/>
          <w:color w:val="000000"/>
          <w:sz w:val="24"/>
        </w:rPr>
      </w:pPr>
      <w:r>
        <w:rPr>
          <w:rFonts w:ascii="宋体" w:hAnsi="宋体"/>
          <w:color w:val="000000"/>
          <w:sz w:val="24"/>
        </w:rPr>
        <w:t>如果投标方没有以书面形式对本招标技术文件的条文提出异议，则意味着投标方提供的设备（或系统）完全符合本招标技术文件的要求。如有异议，不管是</w:t>
      </w:r>
      <w:r>
        <w:rPr>
          <w:rFonts w:hint="eastAsia" w:ascii="宋体" w:hAnsi="宋体"/>
          <w:color w:val="000000"/>
          <w:sz w:val="24"/>
        </w:rPr>
        <w:t>如何</w:t>
      </w:r>
      <w:r>
        <w:rPr>
          <w:rFonts w:ascii="宋体" w:hAnsi="宋体"/>
          <w:color w:val="000000"/>
          <w:sz w:val="24"/>
        </w:rPr>
        <w:t>微小，都应在报价书中以“对招标技术文件的意见和同招标技术文件的差异”为标题的专门章节中加以详细描述</w:t>
      </w:r>
      <w:r>
        <w:rPr>
          <w:rFonts w:hint="eastAsia" w:ascii="宋体" w:hAnsi="宋体"/>
          <w:color w:val="000000"/>
          <w:sz w:val="24"/>
        </w:rPr>
        <w:t>并论述其理由</w:t>
      </w:r>
      <w:r>
        <w:rPr>
          <w:rFonts w:ascii="宋体" w:hAnsi="宋体"/>
          <w:color w:val="000000"/>
          <w:sz w:val="24"/>
        </w:rPr>
        <w:t>。</w:t>
      </w:r>
    </w:p>
    <w:p>
      <w:pPr>
        <w:numPr>
          <w:ilvl w:val="0"/>
          <w:numId w:val="11"/>
        </w:numPr>
        <w:adjustRightInd w:val="0"/>
        <w:snapToGrid w:val="0"/>
        <w:spacing w:line="360" w:lineRule="auto"/>
        <w:ind w:left="0" w:firstLine="480" w:firstLineChars="200"/>
        <w:rPr>
          <w:rFonts w:ascii="宋体" w:hAnsi="宋体"/>
          <w:color w:val="000000"/>
          <w:sz w:val="24"/>
        </w:rPr>
      </w:pPr>
      <w:r>
        <w:rPr>
          <w:rFonts w:ascii="宋体" w:hAnsi="宋体"/>
          <w:color w:val="000000"/>
          <w:sz w:val="24"/>
        </w:rPr>
        <w:t>本招标技术文件所使用的标准如与投标方所执行的标准不一致时，按较高标准执行。投标方为本工程提供的设备应是按最新工艺制造的、全新的、符合国际、国内标准的，以确保系统的安全稳定运行。</w:t>
      </w:r>
    </w:p>
    <w:p>
      <w:pPr>
        <w:numPr>
          <w:ilvl w:val="0"/>
          <w:numId w:val="11"/>
        </w:numPr>
        <w:adjustRightInd w:val="0"/>
        <w:snapToGrid w:val="0"/>
        <w:spacing w:line="360" w:lineRule="auto"/>
        <w:ind w:left="0" w:firstLine="480" w:firstLineChars="200"/>
        <w:rPr>
          <w:rFonts w:ascii="宋体" w:hAnsi="宋体"/>
          <w:color w:val="000000"/>
          <w:sz w:val="24"/>
        </w:rPr>
      </w:pPr>
      <w:r>
        <w:rPr>
          <w:rFonts w:ascii="宋体" w:hAnsi="宋体"/>
          <w:color w:val="000000"/>
          <w:sz w:val="24"/>
        </w:rPr>
        <w:t>本招标技术文件经招、投标双方确认后作为订货合同的技术附件，与合同正文具有同等法律效力。</w:t>
      </w:r>
    </w:p>
    <w:p>
      <w:pPr>
        <w:numPr>
          <w:ilvl w:val="0"/>
          <w:numId w:val="1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投标方应针对招标技术要求如实填写投标产品技术指标，</w:t>
      </w:r>
      <w:r>
        <w:rPr>
          <w:rFonts w:hint="eastAsia"/>
          <w:color w:val="000000"/>
          <w:sz w:val="24"/>
        </w:rPr>
        <w:t>产品技术指标应能在投标提供的产品说明书彩页中逐一体现并显著注释标明，</w:t>
      </w:r>
      <w:r>
        <w:rPr>
          <w:rFonts w:ascii="宋体" w:hAnsi="宋体"/>
          <w:color w:val="000000"/>
          <w:sz w:val="24"/>
        </w:rPr>
        <w:t>投标方在应标技术文件中应如实反映应标产品与本招标技术文件的技术差异</w:t>
      </w:r>
      <w:r>
        <w:rPr>
          <w:rFonts w:hint="eastAsia" w:ascii="宋体" w:hAnsi="宋体"/>
          <w:color w:val="000000"/>
          <w:sz w:val="24"/>
        </w:rPr>
        <w:t>，</w:t>
      </w:r>
      <w:r>
        <w:rPr>
          <w:rFonts w:ascii="宋体" w:hAnsi="宋体"/>
          <w:color w:val="000000"/>
          <w:sz w:val="24"/>
        </w:rPr>
        <w:t>对本招标技术文件中的条款逐项回答。如果投标方没有提出技术差异，而在执行合同的过程中，招标方发现投标方提供的产品与其应标技术文件的条文存在差异，招标方有权利要求退货。</w:t>
      </w:r>
    </w:p>
    <w:p>
      <w:pPr>
        <w:numPr>
          <w:ilvl w:val="0"/>
          <w:numId w:val="11"/>
        </w:numPr>
        <w:adjustRightInd w:val="0"/>
        <w:snapToGrid w:val="0"/>
        <w:spacing w:line="360" w:lineRule="auto"/>
        <w:ind w:left="0" w:firstLine="480" w:firstLineChars="200"/>
        <w:rPr>
          <w:rFonts w:ascii="宋体" w:hAnsi="宋体"/>
          <w:color w:val="000000"/>
          <w:sz w:val="24"/>
        </w:rPr>
      </w:pPr>
      <w:r>
        <w:rPr>
          <w:rFonts w:ascii="宋体" w:hAnsi="宋体"/>
          <w:color w:val="000000"/>
          <w:sz w:val="24"/>
        </w:rPr>
        <w:t>投标方应充分理解本招标技术文件并按本招标技术文件的具体条款、格式要求填写应标的技术文件。</w:t>
      </w:r>
    </w:p>
    <w:p>
      <w:pPr>
        <w:numPr>
          <w:ilvl w:val="0"/>
          <w:numId w:val="11"/>
        </w:numPr>
        <w:adjustRightInd w:val="0"/>
        <w:snapToGrid w:val="0"/>
        <w:spacing w:line="360" w:lineRule="auto"/>
        <w:ind w:left="0" w:firstLine="480" w:firstLineChars="200"/>
        <w:rPr>
          <w:rFonts w:hint="eastAsia" w:ascii="宋体" w:hAnsi="宋体"/>
          <w:color w:val="000000"/>
          <w:sz w:val="24"/>
        </w:rPr>
      </w:pPr>
      <w:r>
        <w:rPr>
          <w:rFonts w:ascii="宋体" w:hAnsi="宋体"/>
          <w:color w:val="000000"/>
          <w:sz w:val="24"/>
        </w:rPr>
        <w:t>投标方应在应标技术部分按本招标技术文件的要求如实详细的填写应标设备的标准配置表，并在应标商务部分按此标准配置进行报价，</w:t>
      </w:r>
      <w:r>
        <w:rPr>
          <w:rFonts w:hint="eastAsia" w:ascii="宋体" w:hAnsi="宋体"/>
          <w:color w:val="000000"/>
          <w:sz w:val="24"/>
        </w:rPr>
        <w:t>二者配置须保持一致</w:t>
      </w:r>
      <w:r>
        <w:rPr>
          <w:rFonts w:ascii="宋体" w:hAnsi="宋体"/>
          <w:color w:val="000000"/>
          <w:sz w:val="24"/>
        </w:rPr>
        <w:t>。</w:t>
      </w:r>
    </w:p>
    <w:p>
      <w:pPr>
        <w:numPr>
          <w:ilvl w:val="0"/>
          <w:numId w:val="11"/>
        </w:numPr>
        <w:adjustRightInd w:val="0"/>
        <w:snapToGrid w:val="0"/>
        <w:spacing w:line="360" w:lineRule="auto"/>
        <w:ind w:left="0" w:firstLine="480" w:firstLineChars="200"/>
        <w:rPr>
          <w:rFonts w:hint="eastAsia" w:ascii="宋体" w:hAnsi="宋体"/>
          <w:color w:val="000000"/>
          <w:sz w:val="24"/>
        </w:rPr>
      </w:pPr>
      <w:r>
        <w:rPr>
          <w:rFonts w:hint="eastAsia" w:ascii="宋体" w:hAnsi="宋体"/>
          <w:color w:val="000000"/>
          <w:sz w:val="24"/>
        </w:rPr>
        <w:t>技术规范书的描述与工程量清单的描述有冲突时，以高要求为准</w:t>
      </w:r>
      <w:r>
        <w:rPr>
          <w:rFonts w:ascii="宋体" w:hAnsi="宋体"/>
          <w:color w:val="000000"/>
          <w:sz w:val="24"/>
        </w:rPr>
        <w:t>。</w:t>
      </w:r>
    </w:p>
    <w:p>
      <w:pPr>
        <w:numPr>
          <w:ilvl w:val="0"/>
          <w:numId w:val="11"/>
        </w:numPr>
        <w:adjustRightInd w:val="0"/>
        <w:snapToGrid w:val="0"/>
        <w:spacing w:line="360" w:lineRule="auto"/>
        <w:ind w:left="0" w:firstLine="480" w:firstLineChars="200"/>
        <w:rPr>
          <w:rFonts w:hint="eastAsia" w:ascii="宋体" w:hAnsi="宋体"/>
          <w:color w:val="000000"/>
          <w:sz w:val="24"/>
        </w:rPr>
      </w:pPr>
      <w:r>
        <w:rPr>
          <w:rFonts w:ascii="宋体" w:hAnsi="宋体"/>
          <w:color w:val="000000"/>
          <w:sz w:val="24"/>
        </w:rPr>
        <w:t>本招标技术文件未尽事宜，由买卖双方协商确定。</w:t>
      </w:r>
    </w:p>
    <w:p>
      <w:pPr>
        <w:rPr>
          <w:rFonts w:hint="eastAsia"/>
        </w:rPr>
      </w:pPr>
    </w:p>
    <w:p>
      <w:pPr>
        <w:pStyle w:val="2"/>
        <w:spacing w:before="120" w:after="120" w:line="360" w:lineRule="auto"/>
        <w:rPr>
          <w:rFonts w:hint="eastAsia" w:ascii="黑体" w:hAnsi="黑体" w:eastAsia="黑体"/>
          <w:sz w:val="32"/>
        </w:rPr>
      </w:pPr>
      <w:bookmarkStart w:id="7" w:name="_Toc379640722"/>
      <w:bookmarkStart w:id="8" w:name="_Toc387141497"/>
      <w:r>
        <w:rPr>
          <w:rFonts w:hint="eastAsia" w:ascii="黑体" w:hAnsi="黑体" w:eastAsia="黑体"/>
          <w:sz w:val="32"/>
          <w:lang w:val="en-US" w:eastAsia="zh-CN"/>
        </w:rPr>
        <w:t>项目需求及实施范围</w:t>
      </w:r>
      <w:bookmarkEnd w:id="6"/>
      <w:bookmarkEnd w:id="7"/>
      <w:bookmarkEnd w:id="8"/>
    </w:p>
    <w:p>
      <w:pPr>
        <w:pStyle w:val="3"/>
        <w:spacing w:before="120" w:after="120" w:line="360" w:lineRule="auto"/>
        <w:rPr>
          <w:rFonts w:hint="eastAsia" w:ascii="黑体" w:hAnsi="黑体" w:eastAsia="黑体"/>
          <w:sz w:val="28"/>
        </w:rPr>
      </w:pPr>
      <w:bookmarkStart w:id="9" w:name="_Toc451757619"/>
      <w:r>
        <w:rPr>
          <w:rFonts w:hint="eastAsia" w:ascii="黑体" w:hAnsi="黑体" w:eastAsia="黑体"/>
          <w:sz w:val="28"/>
        </w:rPr>
        <w:t>改造</w:t>
      </w:r>
      <w:r>
        <w:rPr>
          <w:rFonts w:ascii="黑体" w:hAnsi="黑体" w:eastAsia="黑体"/>
          <w:sz w:val="28"/>
        </w:rPr>
        <w:t>需求</w:t>
      </w:r>
    </w:p>
    <w:p>
      <w:pPr>
        <w:spacing w:line="360" w:lineRule="auto"/>
        <w:ind w:firstLine="480"/>
        <w:rPr>
          <w:rFonts w:hint="eastAsia" w:ascii="宋体" w:hAnsi="宋体"/>
          <w:color w:val="000000"/>
          <w:sz w:val="24"/>
        </w:rPr>
      </w:pPr>
      <w:r>
        <w:rPr>
          <w:rFonts w:hint="eastAsia" w:ascii="宋体" w:hAnsi="宋体"/>
          <w:color w:val="000000"/>
          <w:sz w:val="24"/>
        </w:rPr>
        <w:t>南网总调珠江新城备调调度大厅大屏幕显示系统于2005年10月投入运行，至今已运行18年。根据建设场所的基础环境现状，结合建设方实际功能、应用需求，对南网总调珠江新城备调大屏幕显示系统进行升级改造，对现有大屏幕显示系统进行更新替换，包括更换显示屏和图像处理系统，直观、实时、全方位地集中显示</w:t>
      </w:r>
      <w:r>
        <w:rPr>
          <w:rFonts w:hint="eastAsia" w:ascii="宋体" w:hAnsi="宋体"/>
          <w:color w:val="000000"/>
          <w:sz w:val="24"/>
          <w:lang w:val="en-US" w:eastAsia="zh-CN"/>
        </w:rPr>
        <w:t>电力监控</w:t>
      </w:r>
      <w:r>
        <w:rPr>
          <w:rFonts w:hint="eastAsia" w:ascii="宋体" w:hAnsi="宋体"/>
          <w:color w:val="000000"/>
          <w:sz w:val="24"/>
        </w:rPr>
        <w:t>系统相关信息，各相关信息在大屏幕上可根据需要以任意大小、任意位置和任意组合进行显示，并且对显示信息进行智能化管理，达到“综合数据多元化、海量信息可视化、操作管理便捷化、应用展示人性化”的应用要求。</w:t>
      </w:r>
    </w:p>
    <w:p>
      <w:pPr>
        <w:pStyle w:val="3"/>
        <w:spacing w:before="120" w:after="120" w:line="360" w:lineRule="auto"/>
        <w:rPr>
          <w:rFonts w:hint="eastAsia" w:ascii="黑体" w:hAnsi="黑体" w:eastAsia="黑体"/>
          <w:sz w:val="28"/>
        </w:rPr>
      </w:pPr>
      <w:r>
        <w:rPr>
          <w:rFonts w:hint="eastAsia" w:ascii="黑体" w:hAnsi="黑体" w:eastAsia="黑体"/>
          <w:sz w:val="28"/>
        </w:rPr>
        <w:t>实施范围</w:t>
      </w:r>
    </w:p>
    <w:p>
      <w:pPr>
        <w:adjustRightInd w:val="0"/>
        <w:snapToGrid w:val="0"/>
        <w:spacing w:line="360" w:lineRule="auto"/>
        <w:ind w:firstLine="480" w:firstLineChars="200"/>
        <w:rPr>
          <w:rFonts w:hint="eastAsia" w:ascii="宋体" w:hAnsi="宋体"/>
          <w:color w:val="000000"/>
          <w:sz w:val="24"/>
        </w:rPr>
      </w:pPr>
      <w:r>
        <w:rPr>
          <w:rFonts w:hint="eastAsia" w:ascii="宋体" w:hAnsi="宋体"/>
          <w:color w:val="000000"/>
          <w:sz w:val="24"/>
        </w:rPr>
        <w:t>本项目范围是南网总调生产科研基地自动化监控室大屏幕显示系统到期改造</w:t>
      </w:r>
      <w:r>
        <w:rPr>
          <w:rFonts w:hint="eastAsia" w:ascii="宋体" w:hAnsi="宋体"/>
          <w:color w:val="000000"/>
          <w:sz w:val="24"/>
          <w:lang w:eastAsia="zh-CN"/>
        </w:rPr>
        <w:t>，</w:t>
      </w:r>
      <w:r>
        <w:rPr>
          <w:rFonts w:hint="eastAsia" w:ascii="宋体" w:hAnsi="宋体"/>
          <w:color w:val="000000"/>
          <w:sz w:val="24"/>
        </w:rPr>
        <w:t>采购并安装</w:t>
      </w:r>
      <w:r>
        <w:rPr>
          <w:rFonts w:hint="eastAsia" w:ascii="宋体" w:hAnsi="宋体"/>
          <w:color w:val="000000"/>
          <w:sz w:val="24"/>
          <w:lang w:val="en-US" w:eastAsia="zh-CN"/>
        </w:rPr>
        <w:t>4</w:t>
      </w:r>
      <w:r>
        <w:rPr>
          <w:rFonts w:hint="eastAsia" w:ascii="宋体" w:hAnsi="宋体"/>
          <w:color w:val="000000"/>
          <w:sz w:val="24"/>
        </w:rPr>
        <w:t>行</w:t>
      </w:r>
      <w:r>
        <w:rPr>
          <w:rFonts w:hint="eastAsia" w:ascii="宋体" w:hAnsi="宋体"/>
          <w:color w:val="000000"/>
          <w:sz w:val="24"/>
          <w:lang w:val="en-US" w:eastAsia="zh-CN"/>
        </w:rPr>
        <w:t>7</w:t>
      </w:r>
      <w:r>
        <w:rPr>
          <w:rFonts w:hint="eastAsia" w:ascii="宋体" w:hAnsi="宋体"/>
          <w:color w:val="000000"/>
          <w:sz w:val="24"/>
        </w:rPr>
        <w:t>列70寸DLP大屏幕墙</w:t>
      </w:r>
      <w:r>
        <w:rPr>
          <w:rFonts w:hint="eastAsia" w:ascii="宋体" w:hAnsi="宋体"/>
          <w:color w:val="000000"/>
          <w:sz w:val="24"/>
          <w:lang w:eastAsia="zh-CN"/>
        </w:rPr>
        <w:t>、</w:t>
      </w:r>
      <w:r>
        <w:rPr>
          <w:rFonts w:hint="eastAsia" w:ascii="宋体" w:hAnsi="宋体"/>
          <w:color w:val="000000"/>
          <w:sz w:val="24"/>
        </w:rPr>
        <w:t>多屏拼接处理器（含控制软件）</w:t>
      </w:r>
      <w:r>
        <w:rPr>
          <w:rFonts w:hint="eastAsia" w:ascii="宋体" w:hAnsi="宋体"/>
          <w:color w:val="000000"/>
          <w:sz w:val="24"/>
          <w:lang w:val="en-US" w:eastAsia="zh-CN"/>
        </w:rPr>
        <w:t>以及</w:t>
      </w:r>
      <w:r>
        <w:rPr>
          <w:rFonts w:hint="eastAsia" w:ascii="宋体" w:hAnsi="宋体"/>
          <w:color w:val="000000"/>
          <w:sz w:val="24"/>
          <w:lang w:val="en-US" w:eastAsia="zh-CN"/>
        </w:rPr>
        <w:t>P</w:t>
      </w:r>
      <w:r>
        <w:rPr>
          <w:rFonts w:hint="default" w:ascii="宋体" w:hAnsi="宋体"/>
          <w:color w:val="000000"/>
          <w:sz w:val="24"/>
          <w:lang w:val="en-US" w:eastAsia="zh-CN"/>
        </w:rPr>
        <w:t>2.5</w:t>
      </w:r>
      <w:r>
        <w:rPr>
          <w:rFonts w:hint="eastAsia" w:ascii="宋体" w:hAnsi="宋体"/>
          <w:color w:val="000000"/>
          <w:sz w:val="24"/>
          <w:lang w:val="en-US" w:eastAsia="zh-CN"/>
        </w:rPr>
        <w:t>点距全彩LED条屏等</w:t>
      </w:r>
      <w:r>
        <w:rPr>
          <w:rFonts w:hint="eastAsia" w:ascii="宋体" w:hAnsi="宋体"/>
          <w:color w:val="000000"/>
          <w:sz w:val="24"/>
        </w:rPr>
        <w:t>。</w:t>
      </w:r>
      <w:r>
        <w:rPr>
          <w:rFonts w:hint="eastAsia" w:ascii="宋体" w:hAnsi="宋体"/>
          <w:color w:val="000000"/>
          <w:sz w:val="24"/>
          <w:lang w:val="en-US" w:eastAsia="zh-CN"/>
        </w:rPr>
        <w:t>采购货物范围如下表：</w:t>
      </w:r>
    </w:p>
    <w:tbl>
      <w:tblPr>
        <w:tblStyle w:val="34"/>
        <w:tblW w:w="0" w:type="auto"/>
        <w:jc w:val="center"/>
        <w:tblLayout w:type="fixed"/>
        <w:tblCellMar>
          <w:top w:w="0" w:type="dxa"/>
          <w:left w:w="108" w:type="dxa"/>
          <w:bottom w:w="0" w:type="dxa"/>
          <w:right w:w="108" w:type="dxa"/>
        </w:tblCellMar>
      </w:tblPr>
      <w:tblGrid>
        <w:gridCol w:w="1818"/>
        <w:gridCol w:w="5429"/>
        <w:gridCol w:w="786"/>
        <w:gridCol w:w="735"/>
      </w:tblGrid>
      <w:tr>
        <w:tblPrEx>
          <w:tblCellMar>
            <w:top w:w="0" w:type="dxa"/>
            <w:left w:w="108" w:type="dxa"/>
            <w:bottom w:w="0" w:type="dxa"/>
            <w:right w:w="108" w:type="dxa"/>
          </w:tblCellMar>
        </w:tblPrEx>
        <w:trPr>
          <w:trHeight w:val="270" w:hRule="atLeast"/>
          <w:jc w:val="center"/>
        </w:trPr>
        <w:tc>
          <w:tcPr>
            <w:tcW w:w="181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设备名称</w:t>
            </w:r>
          </w:p>
        </w:tc>
        <w:tc>
          <w:tcPr>
            <w:tcW w:w="5429"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规格</w:t>
            </w:r>
          </w:p>
        </w:tc>
        <w:tc>
          <w:tcPr>
            <w:tcW w:w="786"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单位</w:t>
            </w:r>
          </w:p>
        </w:tc>
        <w:tc>
          <w:tcPr>
            <w:tcW w:w="735"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数量</w:t>
            </w:r>
          </w:p>
        </w:tc>
      </w:tr>
      <w:tr>
        <w:tblPrEx>
          <w:tblCellMar>
            <w:top w:w="0" w:type="dxa"/>
            <w:left w:w="108" w:type="dxa"/>
            <w:bottom w:w="0" w:type="dxa"/>
            <w:right w:w="108" w:type="dxa"/>
          </w:tblCellMar>
        </w:tblPrEx>
        <w:trPr>
          <w:trHeight w:val="765" w:hRule="atLeast"/>
          <w:jc w:val="center"/>
        </w:trPr>
        <w:tc>
          <w:tcPr>
            <w:tcW w:w="1818" w:type="dxa"/>
            <w:tcBorders>
              <w:top w:val="nil"/>
              <w:left w:val="single" w:color="auto" w:sz="4" w:space="0"/>
              <w:bottom w:val="single" w:color="auto" w:sz="4" w:space="0"/>
              <w:right w:val="single" w:color="auto" w:sz="4" w:space="0"/>
            </w:tcBorders>
            <w:noWrap w:val="0"/>
            <w:vAlign w:val="center"/>
          </w:tcPr>
          <w:p>
            <w:pPr>
              <w:spacing w:line="240" w:lineRule="auto"/>
              <w:jc w:val="center"/>
              <w:rPr>
                <w:rFonts w:ascii="宋体" w:hAnsi="宋体" w:cs="宋体"/>
                <w:color w:val="000000"/>
                <w:kern w:val="0"/>
                <w:sz w:val="21"/>
                <w:szCs w:val="21"/>
              </w:rPr>
            </w:pPr>
            <w:r>
              <w:rPr>
                <w:rFonts w:hint="eastAsia" w:ascii="宋体" w:hAnsi="宋体" w:eastAsia="宋体" w:cs="宋体"/>
                <w:color w:val="000000"/>
                <w:kern w:val="0"/>
                <w:sz w:val="21"/>
                <w:szCs w:val="21"/>
              </w:rPr>
              <w:t>大屏幕显示单元</w:t>
            </w:r>
          </w:p>
        </w:tc>
        <w:tc>
          <w:tcPr>
            <w:tcW w:w="5429" w:type="dxa"/>
            <w:tcBorders>
              <w:top w:val="nil"/>
              <w:left w:val="nil"/>
              <w:bottom w:val="single" w:color="auto" w:sz="4" w:space="0"/>
              <w:right w:val="single" w:color="auto" w:sz="4" w:space="0"/>
            </w:tcBorders>
            <w:noWrap w:val="0"/>
            <w:vAlign w:val="center"/>
          </w:tcPr>
          <w:p>
            <w:pPr>
              <w:spacing w:line="240" w:lineRule="auto"/>
              <w:jc w:val="left"/>
              <w:rPr>
                <w:rFonts w:ascii="宋体" w:hAnsi="宋体" w:cs="宋体"/>
                <w:color w:val="000000"/>
                <w:kern w:val="0"/>
                <w:sz w:val="21"/>
                <w:szCs w:val="21"/>
              </w:rPr>
            </w:pPr>
            <w:r>
              <w:rPr>
                <w:rFonts w:hint="eastAsia" w:ascii="宋体" w:hAnsi="宋体" w:eastAsia="宋体" w:cs="宋体"/>
                <w:color w:val="000000"/>
                <w:kern w:val="0"/>
                <w:sz w:val="21"/>
                <w:szCs w:val="21"/>
              </w:rPr>
              <w:t>DLP大屏幕拼接显示单元；</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系统规模：4*7；</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单元参数：70寸，16:9，1920*1080分辨率，三色激光光源</w:t>
            </w:r>
            <w:r>
              <w:rPr>
                <w:rFonts w:hint="eastAsia" w:ascii="宋体" w:hAnsi="宋体" w:eastAsia="宋体" w:cs="宋体"/>
                <w:color w:val="000000"/>
                <w:kern w:val="0"/>
                <w:sz w:val="21"/>
                <w:szCs w:val="21"/>
                <w:lang w:val="en-US" w:eastAsia="zh-CN"/>
              </w:rPr>
              <w:t>或三色LED光源</w:t>
            </w: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包含与中控系统对接及中控系统改造；</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包含软件、安装及调试；</w:t>
            </w:r>
          </w:p>
        </w:tc>
        <w:tc>
          <w:tcPr>
            <w:tcW w:w="786" w:type="dxa"/>
            <w:tcBorders>
              <w:top w:val="nil"/>
              <w:left w:val="nil"/>
              <w:bottom w:val="single" w:color="auto" w:sz="4" w:space="0"/>
              <w:right w:val="single" w:color="auto" w:sz="4" w:space="0"/>
            </w:tcBorders>
            <w:noWrap w:val="0"/>
            <w:vAlign w:val="center"/>
          </w:tcPr>
          <w:p>
            <w:pPr>
              <w:spacing w:line="240" w:lineRule="auto"/>
              <w:jc w:val="center"/>
              <w:rPr>
                <w:rFonts w:ascii="宋体" w:hAnsi="宋体" w:cs="宋体"/>
                <w:color w:val="000000"/>
                <w:kern w:val="0"/>
                <w:sz w:val="21"/>
                <w:szCs w:val="21"/>
              </w:rPr>
            </w:pPr>
            <w:r>
              <w:rPr>
                <w:rFonts w:hint="eastAsia" w:ascii="宋体" w:hAnsi="宋体" w:eastAsia="宋体" w:cs="宋体"/>
                <w:color w:val="000000"/>
                <w:kern w:val="0"/>
                <w:sz w:val="21"/>
                <w:szCs w:val="21"/>
              </w:rPr>
              <w:t>台</w:t>
            </w:r>
          </w:p>
        </w:tc>
        <w:tc>
          <w:tcPr>
            <w:tcW w:w="735" w:type="dxa"/>
            <w:tcBorders>
              <w:top w:val="nil"/>
              <w:left w:val="nil"/>
              <w:bottom w:val="single" w:color="auto" w:sz="4" w:space="0"/>
              <w:right w:val="single" w:color="auto" w:sz="4" w:space="0"/>
            </w:tcBorders>
            <w:noWrap w:val="0"/>
            <w:vAlign w:val="center"/>
          </w:tcPr>
          <w:p>
            <w:pPr>
              <w:spacing w:line="240" w:lineRule="auto"/>
              <w:jc w:val="center"/>
              <w:rPr>
                <w:rFonts w:ascii="宋体" w:hAnsi="宋体" w:cs="宋体"/>
                <w:color w:val="000000"/>
                <w:kern w:val="0"/>
                <w:sz w:val="21"/>
                <w:szCs w:val="21"/>
              </w:rPr>
            </w:pPr>
            <w:r>
              <w:rPr>
                <w:rFonts w:hint="eastAsia" w:ascii="宋体" w:hAnsi="宋体" w:eastAsia="宋体" w:cs="宋体"/>
                <w:color w:val="000000"/>
                <w:kern w:val="0"/>
                <w:sz w:val="21"/>
                <w:szCs w:val="21"/>
              </w:rPr>
              <w:t>28</w:t>
            </w:r>
          </w:p>
        </w:tc>
      </w:tr>
      <w:tr>
        <w:tblPrEx>
          <w:tblCellMar>
            <w:top w:w="0" w:type="dxa"/>
            <w:left w:w="108" w:type="dxa"/>
            <w:bottom w:w="0" w:type="dxa"/>
            <w:right w:w="108" w:type="dxa"/>
          </w:tblCellMar>
        </w:tblPrEx>
        <w:trPr>
          <w:trHeight w:val="765" w:hRule="atLeast"/>
          <w:jc w:val="center"/>
        </w:trPr>
        <w:tc>
          <w:tcPr>
            <w:tcW w:w="1818" w:type="dxa"/>
            <w:tcBorders>
              <w:top w:val="nil"/>
              <w:left w:val="single" w:color="auto" w:sz="4" w:space="0"/>
              <w:bottom w:val="single" w:color="auto" w:sz="4" w:space="0"/>
              <w:right w:val="single" w:color="auto" w:sz="4" w:space="0"/>
            </w:tcBorders>
            <w:noWrap w:val="0"/>
            <w:vAlign w:val="center"/>
          </w:tcPr>
          <w:p>
            <w:pPr>
              <w:spacing w:line="240" w:lineRule="auto"/>
              <w:jc w:val="center"/>
              <w:rPr>
                <w:rFonts w:ascii="宋体" w:hAnsi="宋体" w:cs="宋体"/>
                <w:color w:val="000000"/>
                <w:kern w:val="0"/>
                <w:sz w:val="21"/>
                <w:szCs w:val="21"/>
              </w:rPr>
            </w:pPr>
            <w:r>
              <w:rPr>
                <w:rFonts w:hint="eastAsia" w:ascii="宋体" w:hAnsi="宋体" w:eastAsia="宋体" w:cs="宋体"/>
                <w:color w:val="000000"/>
                <w:kern w:val="0"/>
                <w:sz w:val="21"/>
                <w:szCs w:val="21"/>
              </w:rPr>
              <w:t>拼接控制器</w:t>
            </w:r>
          </w:p>
        </w:tc>
        <w:tc>
          <w:tcPr>
            <w:tcW w:w="5429" w:type="dxa"/>
            <w:tcBorders>
              <w:top w:val="nil"/>
              <w:left w:val="nil"/>
              <w:bottom w:val="single" w:color="auto" w:sz="4" w:space="0"/>
              <w:right w:val="single" w:color="auto" w:sz="4" w:space="0"/>
            </w:tcBorders>
            <w:noWrap w:val="0"/>
            <w:vAlign w:val="center"/>
          </w:tcPr>
          <w:p>
            <w:pPr>
              <w:spacing w:line="24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不低于18</w:t>
            </w:r>
            <w:r>
              <w:rPr>
                <w:rFonts w:hint="eastAsia" w:ascii="宋体" w:hAnsi="宋体" w:eastAsia="宋体" w:cs="宋体"/>
                <w:color w:val="000000"/>
                <w:kern w:val="0"/>
                <w:sz w:val="21"/>
                <w:szCs w:val="21"/>
                <w:lang w:val="en-US" w:eastAsia="zh-CN"/>
              </w:rPr>
              <w:t>路高清DVI信号、28路高清HDMI信号输入</w:t>
            </w:r>
            <w:r>
              <w:rPr>
                <w:rFonts w:hint="eastAsia" w:ascii="宋体" w:hAnsi="宋体" w:eastAsia="宋体" w:cs="宋体"/>
                <w:color w:val="000000"/>
                <w:kern w:val="0"/>
                <w:sz w:val="21"/>
                <w:szCs w:val="21"/>
              </w:rPr>
              <w:t>、28路</w:t>
            </w:r>
            <w:r>
              <w:rPr>
                <w:rFonts w:hint="eastAsia" w:ascii="宋体" w:hAnsi="宋体" w:eastAsia="宋体" w:cs="宋体"/>
                <w:color w:val="000000"/>
                <w:kern w:val="0"/>
                <w:sz w:val="21"/>
                <w:szCs w:val="21"/>
                <w:lang w:val="en-US" w:eastAsia="zh-CN"/>
              </w:rPr>
              <w:t>高清</w:t>
            </w:r>
            <w:r>
              <w:rPr>
                <w:rFonts w:hint="eastAsia" w:ascii="宋体" w:hAnsi="宋体" w:eastAsia="宋体" w:cs="宋体"/>
                <w:color w:val="000000"/>
                <w:kern w:val="0"/>
                <w:sz w:val="21"/>
                <w:szCs w:val="21"/>
              </w:rPr>
              <w:t>DVI输出</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highlight w:val="yellow"/>
                <w:lang w:eastAsia="zh-CN"/>
              </w:rPr>
              <w:t>其中至少配置4路4K信号输入。</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支持1920×1200~3840×2160分辨率信号输入显示；</w:t>
            </w:r>
          </w:p>
          <w:p>
            <w:pPr>
              <w:spacing w:line="240" w:lineRule="auto"/>
              <w:jc w:val="left"/>
              <w:rPr>
                <w:rFonts w:hint="eastAsia" w:ascii="宋体" w:hAnsi="宋体" w:cs="宋体"/>
                <w:color w:val="000000"/>
                <w:kern w:val="0"/>
                <w:sz w:val="21"/>
                <w:szCs w:val="21"/>
              </w:rPr>
            </w:pPr>
            <w:r>
              <w:rPr>
                <w:rFonts w:hint="eastAsia" w:ascii="宋体" w:hAnsi="宋体" w:eastAsia="宋体" w:cs="宋体"/>
                <w:color w:val="000000"/>
                <w:kern w:val="0"/>
                <w:sz w:val="21"/>
                <w:szCs w:val="21"/>
              </w:rPr>
              <w:t>包含安装及调试；</w:t>
            </w:r>
          </w:p>
        </w:tc>
        <w:tc>
          <w:tcPr>
            <w:tcW w:w="786" w:type="dxa"/>
            <w:tcBorders>
              <w:top w:val="nil"/>
              <w:left w:val="nil"/>
              <w:bottom w:val="single" w:color="auto" w:sz="4" w:space="0"/>
              <w:right w:val="single" w:color="auto" w:sz="4" w:space="0"/>
            </w:tcBorders>
            <w:noWrap w:val="0"/>
            <w:vAlign w:val="center"/>
          </w:tcPr>
          <w:p>
            <w:pPr>
              <w:spacing w:line="240" w:lineRule="auto"/>
              <w:jc w:val="center"/>
              <w:rPr>
                <w:rFonts w:ascii="宋体" w:hAnsi="宋体" w:cs="宋体"/>
                <w:color w:val="000000"/>
                <w:kern w:val="0"/>
                <w:sz w:val="21"/>
                <w:szCs w:val="21"/>
              </w:rPr>
            </w:pPr>
            <w:r>
              <w:rPr>
                <w:rFonts w:hint="eastAsia" w:ascii="宋体" w:hAnsi="宋体" w:eastAsia="宋体" w:cs="宋体"/>
                <w:color w:val="000000"/>
                <w:kern w:val="0"/>
                <w:sz w:val="21"/>
                <w:szCs w:val="21"/>
              </w:rPr>
              <w:t>套</w:t>
            </w:r>
          </w:p>
        </w:tc>
        <w:tc>
          <w:tcPr>
            <w:tcW w:w="735" w:type="dxa"/>
            <w:tcBorders>
              <w:top w:val="nil"/>
              <w:left w:val="nil"/>
              <w:bottom w:val="single" w:color="auto" w:sz="4" w:space="0"/>
              <w:right w:val="single" w:color="auto" w:sz="4" w:space="0"/>
            </w:tcBorders>
            <w:noWrap w:val="0"/>
            <w:vAlign w:val="center"/>
          </w:tcPr>
          <w:p>
            <w:pPr>
              <w:spacing w:line="240" w:lineRule="auto"/>
              <w:jc w:val="center"/>
              <w:rPr>
                <w:rFonts w:ascii="宋体" w:hAnsi="宋体" w:cs="宋体"/>
                <w:color w:val="000000"/>
                <w:kern w:val="0"/>
                <w:sz w:val="21"/>
                <w:szCs w:val="21"/>
              </w:rPr>
            </w:pPr>
            <w:r>
              <w:rPr>
                <w:rFonts w:hint="eastAsia" w:ascii="宋体" w:hAnsi="宋体" w:eastAsia="宋体" w:cs="宋体"/>
                <w:color w:val="000000"/>
                <w:kern w:val="0"/>
                <w:sz w:val="21"/>
                <w:szCs w:val="21"/>
              </w:rPr>
              <w:t>1</w:t>
            </w:r>
          </w:p>
        </w:tc>
      </w:tr>
      <w:tr>
        <w:tblPrEx>
          <w:tblCellMar>
            <w:top w:w="0" w:type="dxa"/>
            <w:left w:w="108" w:type="dxa"/>
            <w:bottom w:w="0" w:type="dxa"/>
            <w:right w:w="108" w:type="dxa"/>
          </w:tblCellMar>
        </w:tblPrEx>
        <w:trPr>
          <w:trHeight w:val="510" w:hRule="atLeast"/>
          <w:jc w:val="center"/>
        </w:trPr>
        <w:tc>
          <w:tcPr>
            <w:tcW w:w="1818"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cs="宋体"/>
                <w:color w:val="000000"/>
                <w:kern w:val="0"/>
                <w:sz w:val="21"/>
                <w:szCs w:val="21"/>
              </w:rPr>
            </w:pPr>
            <w:r>
              <w:rPr>
                <w:rFonts w:hint="eastAsia" w:ascii="宋体" w:hAnsi="宋体" w:eastAsia="宋体" w:cs="宋体"/>
                <w:color w:val="000000"/>
                <w:kern w:val="0"/>
                <w:sz w:val="21"/>
                <w:szCs w:val="21"/>
              </w:rPr>
              <w:t>条屏</w:t>
            </w:r>
          </w:p>
        </w:tc>
        <w:tc>
          <w:tcPr>
            <w:tcW w:w="5429"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left"/>
              <w:rPr>
                <w:rFonts w:hint="eastAsia" w:hAnsi="宋体" w:eastAsia="宋体"/>
                <w:bCs/>
                <w:sz w:val="21"/>
                <w:szCs w:val="21"/>
                <w:lang w:eastAsia="zh-CN"/>
              </w:rPr>
            </w:pPr>
            <w:r>
              <w:rPr>
                <w:rFonts w:hint="eastAsia" w:ascii="宋体" w:hAnsi="宋体" w:eastAsia="宋体" w:cs="宋体"/>
                <w:color w:val="000000"/>
                <w:kern w:val="0"/>
                <w:sz w:val="21"/>
                <w:szCs w:val="21"/>
              </w:rPr>
              <w:t>P2.5全彩，与屏同宽，高度≥300mm</w:t>
            </w:r>
            <w:r>
              <w:rPr>
                <w:rFonts w:hint="eastAsia" w:ascii="宋体" w:hAnsi="宋体" w:eastAsia="宋体" w:cs="宋体"/>
                <w:color w:val="000000"/>
                <w:kern w:val="0"/>
                <w:sz w:val="21"/>
                <w:szCs w:val="21"/>
                <w:lang w:eastAsia="zh-CN"/>
              </w:rPr>
              <w:t>；</w:t>
            </w:r>
          </w:p>
        </w:tc>
        <w:tc>
          <w:tcPr>
            <w:tcW w:w="786"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cs="宋体"/>
                <w:color w:val="000000"/>
                <w:kern w:val="0"/>
                <w:sz w:val="21"/>
                <w:szCs w:val="21"/>
              </w:rPr>
            </w:pPr>
            <w:r>
              <w:rPr>
                <w:rFonts w:hint="eastAsia" w:ascii="宋体" w:hAnsi="宋体" w:eastAsia="宋体" w:cs="宋体"/>
                <w:color w:val="000000"/>
                <w:kern w:val="0"/>
                <w:sz w:val="21"/>
                <w:szCs w:val="21"/>
              </w:rPr>
              <w:t>套</w:t>
            </w:r>
          </w:p>
        </w:tc>
        <w:tc>
          <w:tcPr>
            <w:tcW w:w="73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cs="宋体"/>
                <w:color w:val="000000"/>
                <w:kern w:val="0"/>
                <w:sz w:val="21"/>
                <w:szCs w:val="21"/>
              </w:rPr>
            </w:pPr>
            <w:r>
              <w:rPr>
                <w:rFonts w:hint="eastAsia" w:ascii="宋体" w:hAnsi="宋体" w:eastAsia="宋体" w:cs="宋体"/>
                <w:color w:val="000000"/>
                <w:kern w:val="0"/>
                <w:sz w:val="21"/>
                <w:szCs w:val="21"/>
              </w:rPr>
              <w:t>1</w:t>
            </w:r>
          </w:p>
        </w:tc>
      </w:tr>
      <w:tr>
        <w:tblPrEx>
          <w:tblCellMar>
            <w:top w:w="0" w:type="dxa"/>
            <w:left w:w="108" w:type="dxa"/>
            <w:bottom w:w="0" w:type="dxa"/>
            <w:right w:w="108" w:type="dxa"/>
          </w:tblCellMar>
        </w:tblPrEx>
        <w:trPr>
          <w:trHeight w:val="510" w:hRule="atLeast"/>
          <w:jc w:val="center"/>
        </w:trPr>
        <w:tc>
          <w:tcPr>
            <w:tcW w:w="1818"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cs="宋体"/>
                <w:color w:val="000000"/>
                <w:kern w:val="0"/>
                <w:sz w:val="21"/>
                <w:szCs w:val="21"/>
                <w:lang w:val="en-US" w:eastAsia="zh-CN" w:bidi="ar-SA"/>
              </w:rPr>
            </w:pPr>
            <w:r>
              <w:rPr>
                <w:rFonts w:hint="eastAsia" w:ascii="宋体" w:hAnsi="宋体" w:eastAsia="宋体" w:cs="宋体"/>
                <w:color w:val="000000"/>
                <w:kern w:val="0"/>
                <w:sz w:val="21"/>
                <w:szCs w:val="21"/>
              </w:rPr>
              <w:t>配套线缆及附件</w:t>
            </w:r>
          </w:p>
        </w:tc>
        <w:tc>
          <w:tcPr>
            <w:tcW w:w="5429"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视频线缆、网络线缆、控制线缆、电源线缆、接地线等所有配套安装线缆及附件，以满足大屏幕系统安装为准，不含外部信号源接入线缆</w:t>
            </w:r>
            <w:r>
              <w:rPr>
                <w:rFonts w:hint="eastAsia" w:ascii="宋体" w:hAnsi="宋体" w:eastAsia="宋体" w:cs="宋体"/>
                <w:color w:val="000000"/>
                <w:kern w:val="0"/>
                <w:sz w:val="21"/>
                <w:szCs w:val="21"/>
                <w:lang w:eastAsia="zh-CN"/>
              </w:rPr>
              <w:t>；</w:t>
            </w:r>
          </w:p>
        </w:tc>
        <w:tc>
          <w:tcPr>
            <w:tcW w:w="786"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cs="宋体"/>
                <w:color w:val="000000"/>
                <w:kern w:val="0"/>
                <w:sz w:val="21"/>
                <w:szCs w:val="21"/>
                <w:lang w:val="en-US" w:eastAsia="zh-CN" w:bidi="ar-SA"/>
              </w:rPr>
            </w:pPr>
            <w:r>
              <w:rPr>
                <w:rFonts w:hint="eastAsia" w:ascii="宋体" w:hAnsi="宋体" w:eastAsia="宋体" w:cs="宋体"/>
                <w:color w:val="000000"/>
                <w:kern w:val="0"/>
                <w:sz w:val="21"/>
                <w:szCs w:val="21"/>
              </w:rPr>
              <w:t>套</w:t>
            </w:r>
          </w:p>
        </w:tc>
        <w:tc>
          <w:tcPr>
            <w:tcW w:w="73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cs="宋体"/>
                <w:color w:val="000000"/>
                <w:kern w:val="0"/>
                <w:sz w:val="21"/>
                <w:szCs w:val="21"/>
                <w:lang w:val="en-US" w:eastAsia="zh-CN" w:bidi="ar-SA"/>
              </w:rPr>
            </w:pPr>
            <w:r>
              <w:rPr>
                <w:rFonts w:hint="eastAsia" w:ascii="宋体" w:hAnsi="宋体" w:eastAsia="宋体" w:cs="宋体"/>
                <w:color w:val="000000"/>
                <w:kern w:val="0"/>
                <w:sz w:val="21"/>
                <w:szCs w:val="21"/>
              </w:rPr>
              <w:t>1</w:t>
            </w:r>
          </w:p>
        </w:tc>
      </w:tr>
      <w:tr>
        <w:tblPrEx>
          <w:tblCellMar>
            <w:top w:w="0" w:type="dxa"/>
            <w:left w:w="108" w:type="dxa"/>
            <w:bottom w:w="0" w:type="dxa"/>
            <w:right w:w="108" w:type="dxa"/>
          </w:tblCellMar>
        </w:tblPrEx>
        <w:trPr>
          <w:trHeight w:val="510" w:hRule="atLeast"/>
          <w:jc w:val="center"/>
        </w:trPr>
        <w:tc>
          <w:tcPr>
            <w:tcW w:w="1818"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cs="宋体"/>
                <w:color w:val="000000"/>
                <w:kern w:val="0"/>
                <w:sz w:val="21"/>
                <w:szCs w:val="21"/>
              </w:rPr>
            </w:pPr>
            <w:r>
              <w:rPr>
                <w:rFonts w:hint="eastAsia" w:ascii="宋体" w:hAnsi="宋体" w:eastAsia="宋体" w:cs="宋体"/>
                <w:kern w:val="0"/>
                <w:sz w:val="21"/>
                <w:szCs w:val="21"/>
              </w:rPr>
              <w:t>设备安装及装修工程</w:t>
            </w:r>
          </w:p>
        </w:tc>
        <w:tc>
          <w:tcPr>
            <w:tcW w:w="5429"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left"/>
              <w:rPr>
                <w:rFonts w:hint="eastAsia" w:ascii="宋体" w:hAnsi="宋体" w:eastAsia="宋体" w:cs="宋体"/>
                <w:kern w:val="0"/>
                <w:sz w:val="21"/>
                <w:szCs w:val="21"/>
                <w:lang w:eastAsia="zh-CN"/>
              </w:rPr>
            </w:pPr>
            <w:r>
              <w:rPr>
                <w:rFonts w:hint="eastAsia" w:ascii="宋体" w:hAnsi="宋体" w:eastAsia="宋体" w:cs="宋体"/>
                <w:kern w:val="0"/>
                <w:sz w:val="21"/>
                <w:szCs w:val="21"/>
              </w:rPr>
              <w:t>采购设备的上架安装、系统调试、综合布线（含光纤、线缆、标签等耗材）等工程实施</w:t>
            </w:r>
            <w:r>
              <w:rPr>
                <w:rFonts w:hint="eastAsia" w:ascii="宋体" w:hAnsi="宋体" w:eastAsia="宋体" w:cs="宋体"/>
                <w:kern w:val="0"/>
                <w:sz w:val="21"/>
                <w:szCs w:val="21"/>
                <w:lang w:eastAsia="zh-CN"/>
              </w:rPr>
              <w:t>；</w:t>
            </w:r>
          </w:p>
          <w:p>
            <w:pPr>
              <w:spacing w:line="240" w:lineRule="auto"/>
              <w:jc w:val="left"/>
              <w:rPr>
                <w:rFonts w:hint="eastAsia" w:ascii="宋体" w:hAnsi="宋体" w:eastAsia="宋体" w:cs="宋体"/>
                <w:kern w:val="0"/>
                <w:sz w:val="21"/>
                <w:szCs w:val="21"/>
                <w:lang w:eastAsia="zh-CN"/>
              </w:rPr>
            </w:pPr>
            <w:r>
              <w:rPr>
                <w:rFonts w:hint="eastAsia" w:ascii="宋体" w:hAnsi="宋体" w:eastAsia="宋体" w:cs="宋体"/>
                <w:kern w:val="0"/>
                <w:sz w:val="21"/>
                <w:szCs w:val="21"/>
              </w:rPr>
              <w:t>老旧设备的拆除工作</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并运送到指定地点</w:t>
            </w:r>
            <w:r>
              <w:rPr>
                <w:rFonts w:hint="eastAsia" w:ascii="宋体" w:hAnsi="宋体" w:eastAsia="宋体" w:cs="宋体"/>
                <w:kern w:val="0"/>
                <w:sz w:val="21"/>
                <w:szCs w:val="21"/>
                <w:lang w:eastAsia="zh-CN"/>
              </w:rPr>
              <w:t>；</w:t>
            </w:r>
          </w:p>
          <w:p>
            <w:pPr>
              <w:spacing w:line="240" w:lineRule="auto"/>
              <w:jc w:val="left"/>
              <w:rPr>
                <w:rFonts w:hint="default" w:hAnsi="宋体" w:eastAsia="宋体"/>
                <w:bCs/>
                <w:sz w:val="21"/>
                <w:szCs w:val="21"/>
                <w:lang w:val="en-US" w:eastAsia="zh-CN"/>
              </w:rPr>
            </w:pPr>
            <w:r>
              <w:rPr>
                <w:rFonts w:hint="eastAsia" w:hAnsi="宋体" w:eastAsia="宋体"/>
                <w:bCs/>
                <w:sz w:val="21"/>
                <w:szCs w:val="21"/>
                <w:lang w:val="en-US" w:eastAsia="zh-CN"/>
              </w:rPr>
              <w:t>大屏幕装饰墙体整体改造，改造面积约13*6.5平方米，大屏幕装饰墙整体装修风格需要与原调度大厅装修风格保持一致；</w:t>
            </w:r>
          </w:p>
        </w:tc>
        <w:tc>
          <w:tcPr>
            <w:tcW w:w="786"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cs="宋体"/>
                <w:color w:val="000000"/>
                <w:kern w:val="0"/>
                <w:sz w:val="21"/>
                <w:szCs w:val="21"/>
              </w:rPr>
            </w:pPr>
            <w:r>
              <w:rPr>
                <w:rFonts w:hint="eastAsia" w:ascii="宋体" w:hAnsi="宋体" w:eastAsia="宋体" w:cs="宋体"/>
                <w:kern w:val="0"/>
                <w:sz w:val="21"/>
                <w:szCs w:val="21"/>
              </w:rPr>
              <w:t>项</w:t>
            </w:r>
          </w:p>
        </w:tc>
        <w:tc>
          <w:tcPr>
            <w:tcW w:w="73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cs="宋体"/>
                <w:color w:val="000000"/>
                <w:kern w:val="0"/>
                <w:sz w:val="21"/>
                <w:szCs w:val="21"/>
              </w:rPr>
            </w:pPr>
            <w:r>
              <w:rPr>
                <w:rFonts w:hint="eastAsia" w:ascii="宋体" w:hAnsi="宋体" w:eastAsia="宋体" w:cs="宋体"/>
                <w:kern w:val="0"/>
                <w:sz w:val="21"/>
                <w:szCs w:val="21"/>
              </w:rPr>
              <w:t>1</w:t>
            </w:r>
          </w:p>
        </w:tc>
      </w:tr>
    </w:tbl>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rFonts w:hint="eastAsia" w:ascii="宋体" w:hAnsi="宋体" w:cs="宋体"/>
          <w:color w:val="000000"/>
          <w:kern w:val="0"/>
          <w:sz w:val="24"/>
          <w:szCs w:val="18"/>
        </w:rPr>
      </w:pPr>
      <w:r>
        <w:rPr>
          <w:rFonts w:ascii="宋体" w:hAnsi="宋体"/>
          <w:color w:val="000000"/>
          <w:sz w:val="24"/>
        </w:rPr>
        <w:t>投标方应确保供货范围完整，以能满足用户安装、运行要求为原则，</w:t>
      </w:r>
      <w:r>
        <w:rPr>
          <w:rFonts w:hint="eastAsia"/>
          <w:sz w:val="24"/>
        </w:rPr>
        <w:t>如有系统建设必需而未在招标技术规范书中列出的设备（包含备品备件）等</w:t>
      </w:r>
      <w:r>
        <w:rPr>
          <w:rFonts w:hint="eastAsia" w:ascii="宋体" w:hAnsi="宋体"/>
          <w:sz w:val="24"/>
        </w:rPr>
        <w:t>，投标方应在响应文件中详细列出，</w:t>
      </w:r>
      <w:r>
        <w:rPr>
          <w:rFonts w:hint="eastAsia" w:ascii="宋体" w:hAnsi="宋体" w:cs="宋体"/>
          <w:color w:val="000000"/>
          <w:kern w:val="0"/>
          <w:sz w:val="24"/>
          <w:szCs w:val="18"/>
        </w:rPr>
        <w:t>采购费用计入投标总价。</w:t>
      </w:r>
    </w:p>
    <w:p>
      <w:pPr>
        <w:adjustRightInd w:val="0"/>
        <w:snapToGrid w:val="0"/>
        <w:spacing w:line="360" w:lineRule="auto"/>
        <w:ind w:firstLine="480" w:firstLineChars="200"/>
        <w:rPr>
          <w:rFonts w:hint="eastAsia" w:ascii="宋体" w:hAnsi="宋体" w:cs="宋体"/>
          <w:color w:val="000000"/>
          <w:kern w:val="0"/>
          <w:sz w:val="24"/>
          <w:szCs w:val="18"/>
        </w:rPr>
      </w:pPr>
    </w:p>
    <w:p>
      <w:pPr>
        <w:pStyle w:val="2"/>
        <w:spacing w:before="120" w:after="120" w:line="240" w:lineRule="auto"/>
        <w:ind w:left="425" w:hanging="425"/>
        <w:rPr>
          <w:rFonts w:hint="default" w:ascii="黑体" w:hAnsi="黑体" w:eastAsia="黑体" w:cs="Times New Roman"/>
          <w:sz w:val="32"/>
        </w:rPr>
      </w:pPr>
      <w:r>
        <w:rPr>
          <w:rFonts w:hint="default" w:ascii="黑体" w:hAnsi="黑体" w:eastAsia="黑体" w:cs="Times New Roman"/>
          <w:sz w:val="32"/>
        </w:rPr>
        <w:t>设备参数要求</w:t>
      </w:r>
    </w:p>
    <w:p>
      <w:pPr>
        <w:pStyle w:val="3"/>
        <w:spacing w:before="120" w:after="120"/>
        <w:rPr>
          <w:rFonts w:hint="eastAsia" w:ascii="黑体" w:hAnsi="黑体" w:eastAsia="黑体" w:cs="Times New Roman"/>
          <w:sz w:val="28"/>
          <w:szCs w:val="32"/>
        </w:rPr>
      </w:pPr>
      <w:r>
        <w:rPr>
          <w:rFonts w:hint="eastAsia" w:ascii="黑体" w:hAnsi="黑体" w:eastAsia="黑体" w:cs="Times New Roman"/>
          <w:sz w:val="28"/>
          <w:szCs w:val="32"/>
          <w:lang w:val="en-US" w:eastAsia="zh-CN"/>
        </w:rPr>
        <w:t>总体要求</w:t>
      </w:r>
    </w:p>
    <w:p>
      <w:pPr>
        <w:numPr>
          <w:ilvl w:val="0"/>
          <w:numId w:val="12"/>
        </w:numPr>
        <w:spacing w:line="360" w:lineRule="auto"/>
        <w:ind w:right="-1"/>
        <w:jc w:val="left"/>
        <w:rPr>
          <w:rFonts w:ascii="宋体" w:hAnsi="宋体" w:eastAsia="宋体"/>
          <w:color w:val="000000"/>
          <w:sz w:val="24"/>
          <w:szCs w:val="24"/>
          <w:highlight w:val="none"/>
        </w:rPr>
      </w:pPr>
      <w:r>
        <w:rPr>
          <w:rFonts w:ascii="宋体" w:hAnsi="宋体" w:eastAsia="宋体"/>
          <w:color w:val="000000"/>
          <w:sz w:val="24"/>
          <w:szCs w:val="24"/>
          <w:highlight w:val="none"/>
        </w:rPr>
        <w:t>为了保证整套系统的兼容性，本项目所提供的</w:t>
      </w:r>
      <w:r>
        <w:rPr>
          <w:rFonts w:hint="eastAsia" w:ascii="宋体" w:hAnsi="宋体" w:eastAsia="宋体"/>
          <w:color w:val="000000"/>
          <w:sz w:val="24"/>
          <w:szCs w:val="24"/>
          <w:highlight w:val="none"/>
          <w:lang w:val="en-US" w:eastAsia="zh-CN"/>
        </w:rPr>
        <w:t>显示单位、多屏拼接处理器、控制软件等</w:t>
      </w:r>
      <w:r>
        <w:rPr>
          <w:rFonts w:ascii="宋体" w:hAnsi="宋体" w:eastAsia="宋体"/>
          <w:color w:val="000000"/>
          <w:sz w:val="24"/>
          <w:szCs w:val="24"/>
          <w:highlight w:val="none"/>
        </w:rPr>
        <w:t>核心产品</w:t>
      </w:r>
      <w:r>
        <w:rPr>
          <w:rFonts w:hint="eastAsia" w:ascii="宋体" w:hAnsi="宋体" w:eastAsia="宋体"/>
          <w:color w:val="000000"/>
          <w:sz w:val="24"/>
          <w:szCs w:val="24"/>
          <w:highlight w:val="none"/>
          <w:lang w:val="en-US" w:eastAsia="zh-CN"/>
        </w:rPr>
        <w:t>应</w:t>
      </w:r>
      <w:r>
        <w:rPr>
          <w:rFonts w:ascii="宋体" w:hAnsi="宋体" w:eastAsia="宋体"/>
          <w:color w:val="000000"/>
          <w:sz w:val="24"/>
          <w:szCs w:val="24"/>
          <w:highlight w:val="none"/>
        </w:rPr>
        <w:t>采用同一个</w:t>
      </w:r>
      <w:r>
        <w:rPr>
          <w:rFonts w:hint="eastAsia" w:ascii="宋体" w:hAnsi="宋体" w:eastAsia="宋体"/>
          <w:color w:val="000000"/>
          <w:sz w:val="24"/>
          <w:szCs w:val="24"/>
          <w:highlight w:val="none"/>
          <w:lang w:val="en-US" w:eastAsia="zh-CN"/>
        </w:rPr>
        <w:t>生产商品牌</w:t>
      </w:r>
      <w:r>
        <w:rPr>
          <w:rFonts w:ascii="宋体" w:hAnsi="宋体" w:eastAsia="宋体"/>
          <w:color w:val="000000"/>
          <w:sz w:val="24"/>
          <w:szCs w:val="24"/>
          <w:highlight w:val="none"/>
        </w:rPr>
        <w:t>产品</w:t>
      </w:r>
      <w:r>
        <w:rPr>
          <w:rFonts w:hint="eastAsia" w:ascii="宋体" w:hAnsi="宋体" w:eastAsia="宋体"/>
          <w:color w:val="000000"/>
          <w:sz w:val="24"/>
          <w:szCs w:val="24"/>
          <w:highlight w:val="none"/>
        </w:rPr>
        <w:t>。</w:t>
      </w:r>
    </w:p>
    <w:p>
      <w:pPr>
        <w:numPr>
          <w:ilvl w:val="0"/>
          <w:numId w:val="12"/>
        </w:numPr>
        <w:spacing w:line="360" w:lineRule="auto"/>
        <w:ind w:right="-1"/>
        <w:jc w:val="left"/>
        <w:rPr>
          <w:rFonts w:ascii="宋体" w:hAnsi="宋体" w:eastAsia="宋体"/>
          <w:color w:val="000000"/>
          <w:sz w:val="24"/>
          <w:szCs w:val="24"/>
        </w:rPr>
      </w:pPr>
      <w:r>
        <w:rPr>
          <w:rFonts w:hint="eastAsia" w:ascii="宋体" w:hAnsi="宋体" w:eastAsia="宋体"/>
          <w:color w:val="000000"/>
          <w:sz w:val="24"/>
          <w:szCs w:val="24"/>
          <w:lang w:val="en-US" w:eastAsia="zh-CN"/>
        </w:rPr>
        <w:t>为保障</w:t>
      </w:r>
      <w:r>
        <w:rPr>
          <w:rFonts w:hint="eastAsia" w:ascii="宋体" w:hAnsi="宋体" w:eastAsia="宋体"/>
          <w:color w:val="000000"/>
          <w:sz w:val="24"/>
          <w:szCs w:val="24"/>
        </w:rPr>
        <w:t>系统稳定性</w:t>
      </w:r>
      <w:r>
        <w:rPr>
          <w:rFonts w:hint="eastAsia" w:ascii="宋体" w:hAnsi="宋体" w:eastAsia="宋体"/>
          <w:color w:val="000000"/>
          <w:sz w:val="24"/>
          <w:szCs w:val="24"/>
          <w:lang w:eastAsia="zh-CN"/>
        </w:rPr>
        <w:t>，</w:t>
      </w:r>
      <w:r>
        <w:rPr>
          <w:rFonts w:ascii="宋体" w:hAnsi="宋体" w:eastAsia="宋体"/>
          <w:color w:val="000000"/>
          <w:sz w:val="24"/>
          <w:szCs w:val="24"/>
        </w:rPr>
        <w:t>系统</w:t>
      </w:r>
      <w:r>
        <w:rPr>
          <w:rFonts w:hint="eastAsia" w:ascii="宋体" w:hAnsi="宋体" w:eastAsia="宋体"/>
          <w:color w:val="000000"/>
          <w:sz w:val="24"/>
          <w:szCs w:val="24"/>
        </w:rPr>
        <w:t>板卡</w:t>
      </w:r>
      <w:r>
        <w:rPr>
          <w:rFonts w:hint="eastAsia" w:ascii="宋体" w:hAnsi="宋体" w:eastAsia="宋体"/>
          <w:color w:val="000000"/>
          <w:sz w:val="24"/>
          <w:szCs w:val="24"/>
          <w:lang w:val="en-US" w:eastAsia="zh-CN"/>
        </w:rPr>
        <w:t>支持</w:t>
      </w:r>
      <w:r>
        <w:rPr>
          <w:rFonts w:ascii="宋体" w:hAnsi="宋体" w:eastAsia="宋体"/>
          <w:color w:val="000000"/>
          <w:sz w:val="24"/>
          <w:szCs w:val="24"/>
        </w:rPr>
        <w:t>热插拔</w:t>
      </w:r>
      <w:r>
        <w:rPr>
          <w:rFonts w:hint="eastAsia" w:ascii="宋体" w:hAnsi="宋体" w:eastAsia="宋体"/>
          <w:color w:val="000000"/>
          <w:sz w:val="24"/>
          <w:szCs w:val="24"/>
          <w:lang w:eastAsia="zh-CN"/>
        </w:rPr>
        <w:t>，</w:t>
      </w:r>
      <w:r>
        <w:rPr>
          <w:rFonts w:hint="eastAsia" w:ascii="宋体" w:hAnsi="宋体" w:eastAsia="宋体"/>
          <w:color w:val="000000"/>
          <w:sz w:val="24"/>
          <w:szCs w:val="24"/>
        </w:rPr>
        <w:t>以</w:t>
      </w:r>
      <w:r>
        <w:rPr>
          <w:rFonts w:ascii="宋体" w:hAnsi="宋体" w:eastAsia="宋体"/>
          <w:color w:val="000000"/>
          <w:sz w:val="24"/>
          <w:szCs w:val="24"/>
        </w:rPr>
        <w:t>满足</w:t>
      </w:r>
      <w:r>
        <w:rPr>
          <w:rFonts w:hint="eastAsia" w:ascii="宋体" w:hAnsi="宋体" w:eastAsia="宋体"/>
          <w:color w:val="000000"/>
          <w:sz w:val="24"/>
          <w:szCs w:val="24"/>
        </w:rPr>
        <w:t>7×24小时</w:t>
      </w:r>
      <w:r>
        <w:rPr>
          <w:rFonts w:ascii="宋体" w:hAnsi="宋体" w:eastAsia="宋体"/>
          <w:color w:val="000000"/>
          <w:sz w:val="24"/>
          <w:szCs w:val="24"/>
        </w:rPr>
        <w:t>不间断工作。</w:t>
      </w:r>
    </w:p>
    <w:p>
      <w:pPr>
        <w:numPr>
          <w:ilvl w:val="0"/>
          <w:numId w:val="12"/>
        </w:numPr>
        <w:spacing w:line="360" w:lineRule="auto"/>
        <w:ind w:right="-1"/>
        <w:jc w:val="left"/>
        <w:rPr>
          <w:rFonts w:ascii="宋体" w:hAnsi="宋体" w:eastAsia="宋体"/>
          <w:color w:val="000000"/>
          <w:sz w:val="24"/>
          <w:szCs w:val="24"/>
        </w:rPr>
      </w:pPr>
      <w:r>
        <w:rPr>
          <w:rFonts w:hint="eastAsia" w:ascii="宋体" w:hAnsi="宋体" w:eastAsia="宋体"/>
          <w:color w:val="000000"/>
          <w:sz w:val="24"/>
          <w:szCs w:val="24"/>
        </w:rPr>
        <w:t>系统应能满足不低于8度烈度抗震设计。</w:t>
      </w:r>
    </w:p>
    <w:p>
      <w:pPr>
        <w:numPr>
          <w:ilvl w:val="0"/>
          <w:numId w:val="12"/>
        </w:numPr>
        <w:spacing w:line="360" w:lineRule="auto"/>
        <w:ind w:right="-1"/>
        <w:jc w:val="left"/>
        <w:rPr>
          <w:rFonts w:ascii="宋体" w:hAnsi="宋体" w:eastAsia="宋体"/>
          <w:color w:val="000000"/>
          <w:sz w:val="24"/>
          <w:szCs w:val="24"/>
        </w:rPr>
      </w:pPr>
      <w:r>
        <w:rPr>
          <w:rFonts w:hint="eastAsia" w:ascii="宋体" w:hAnsi="宋体" w:eastAsia="宋体"/>
          <w:color w:val="000000"/>
          <w:sz w:val="24"/>
          <w:szCs w:val="24"/>
        </w:rPr>
        <w:t>设备软硬件应遵循工业标准要求，所设计的设备软件应能与操作系统兼容，并能支持不同供货商所使用的硬件或软件。</w:t>
      </w:r>
    </w:p>
    <w:p>
      <w:pPr>
        <w:numPr>
          <w:ilvl w:val="0"/>
          <w:numId w:val="12"/>
        </w:numPr>
        <w:spacing w:line="360" w:lineRule="auto"/>
        <w:ind w:right="-1"/>
        <w:jc w:val="left"/>
        <w:rPr>
          <w:rFonts w:hint="eastAsia" w:ascii="宋体" w:hAnsi="宋体" w:eastAsia="宋体" w:cs="Times New Roman"/>
          <w:color w:val="000000"/>
          <w:sz w:val="24"/>
          <w:szCs w:val="24"/>
          <w:highlight w:val="yellow"/>
        </w:rPr>
      </w:pPr>
      <w:r>
        <w:rPr>
          <w:rFonts w:hint="eastAsia" w:ascii="宋体" w:hAnsi="宋体"/>
          <w:color w:val="000000"/>
          <w:sz w:val="24"/>
          <w:highlight w:val="yellow"/>
        </w:rPr>
        <w:t>其中</w:t>
      </w:r>
      <w:r>
        <w:rPr>
          <w:rFonts w:hint="eastAsia" w:ascii="微软雅黑" w:hAnsi="微软雅黑" w:eastAsia="微软雅黑" w:cs="微软雅黑"/>
          <w:b w:val="0"/>
          <w:bCs/>
          <w:sz w:val="24"/>
          <w:szCs w:val="24"/>
          <w:highlight w:val="yellow"/>
        </w:rPr>
        <w:t>★</w:t>
      </w:r>
      <w:r>
        <w:rPr>
          <w:rFonts w:hint="eastAsia" w:ascii="宋体" w:hAnsi="宋体"/>
          <w:color w:val="000000"/>
          <w:sz w:val="24"/>
          <w:highlight w:val="yellow"/>
        </w:rPr>
        <w:t>为</w:t>
      </w:r>
      <w:r>
        <w:rPr>
          <w:rFonts w:hint="eastAsia" w:ascii="宋体" w:hAnsi="宋体"/>
          <w:color w:val="000000"/>
          <w:sz w:val="24"/>
          <w:highlight w:val="yellow"/>
          <w:lang w:val="en-US" w:eastAsia="zh-CN"/>
        </w:rPr>
        <w:t>必要条款</w:t>
      </w:r>
      <w:r>
        <w:rPr>
          <w:rFonts w:hint="eastAsia" w:ascii="宋体" w:hAnsi="宋体"/>
          <w:color w:val="000000"/>
          <w:sz w:val="24"/>
          <w:highlight w:val="yellow"/>
        </w:rPr>
        <w:t>，</w:t>
      </w:r>
      <w:r>
        <w:rPr>
          <w:rFonts w:hint="eastAsia" w:ascii="宋体" w:hAnsi="宋体"/>
          <w:color w:val="000000"/>
          <w:sz w:val="24"/>
          <w:highlight w:val="yellow"/>
          <w:lang w:val="en-US" w:eastAsia="zh-CN"/>
        </w:rPr>
        <w:t>不满足则不予通过初步评审</w:t>
      </w:r>
      <w:r>
        <w:rPr>
          <w:rFonts w:hint="eastAsia" w:ascii="宋体" w:hAnsi="宋体"/>
          <w:color w:val="000000"/>
          <w:sz w:val="24"/>
          <w:highlight w:val="yellow"/>
        </w:rPr>
        <w:t>。</w:t>
      </w:r>
    </w:p>
    <w:p>
      <w:pPr>
        <w:pStyle w:val="3"/>
        <w:spacing w:before="120" w:after="120"/>
        <w:rPr>
          <w:rFonts w:hint="eastAsia" w:ascii="黑体" w:hAnsi="黑体" w:eastAsia="黑体" w:cs="Times New Roman"/>
          <w:sz w:val="28"/>
          <w:szCs w:val="32"/>
          <w:highlight w:val="none"/>
        </w:rPr>
      </w:pPr>
      <w:r>
        <w:rPr>
          <w:rFonts w:hint="eastAsia" w:ascii="黑体" w:hAnsi="黑体" w:eastAsia="黑体" w:cs="Times New Roman"/>
          <w:sz w:val="28"/>
          <w:szCs w:val="32"/>
          <w:highlight w:val="none"/>
        </w:rPr>
        <w:t>显示单元</w:t>
      </w:r>
    </w:p>
    <w:p>
      <w:pPr>
        <w:numPr>
          <w:ilvl w:val="0"/>
          <w:numId w:val="13"/>
        </w:numPr>
        <w:spacing w:line="360" w:lineRule="auto"/>
        <w:ind w:left="845" w:leftChars="0" w:right="-1" w:hanging="425" w:firstLineChars="0"/>
        <w:jc w:val="left"/>
        <w:rPr>
          <w:rFonts w:hint="eastAsia" w:ascii="宋体" w:hAnsi="宋体" w:eastAsia="宋体" w:cs="宋体"/>
          <w:b w:val="0"/>
          <w:bCs/>
          <w:sz w:val="24"/>
          <w:szCs w:val="24"/>
        </w:rPr>
      </w:pPr>
      <w:r>
        <w:rPr>
          <w:rFonts w:hint="eastAsia" w:ascii="微软雅黑" w:hAnsi="微软雅黑" w:eastAsia="微软雅黑" w:cs="微软雅黑"/>
          <w:b w:val="0"/>
          <w:bCs/>
          <w:sz w:val="24"/>
          <w:szCs w:val="24"/>
        </w:rPr>
        <w:t>★</w:t>
      </w:r>
      <w:r>
        <w:rPr>
          <w:rFonts w:hint="eastAsia" w:ascii="宋体" w:hAnsi="宋体" w:eastAsia="宋体" w:cs="宋体"/>
          <w:b w:val="0"/>
          <w:bCs/>
          <w:sz w:val="24"/>
          <w:szCs w:val="24"/>
        </w:rPr>
        <w:t>采用DLP投影技术</w:t>
      </w:r>
      <w:r>
        <w:rPr>
          <w:rFonts w:hint="eastAsia" w:ascii="宋体" w:hAnsi="宋体" w:eastAsia="宋体" w:cs="宋体"/>
          <w:b w:val="0"/>
          <w:bCs/>
          <w:sz w:val="24"/>
          <w:szCs w:val="24"/>
          <w:lang w:eastAsia="zh-CN"/>
        </w:rPr>
        <w:t>，</w:t>
      </w:r>
      <w:r>
        <w:rPr>
          <w:rFonts w:hint="eastAsia" w:ascii="宋体" w:hAnsi="宋体" w:eastAsia="宋体" w:cs="Times New Roman"/>
          <w:color w:val="000000"/>
          <w:sz w:val="24"/>
          <w:szCs w:val="24"/>
          <w:highlight w:val="none"/>
        </w:rPr>
        <w:t>核心光源采用3×6点阵式冗余</w:t>
      </w:r>
      <w:r>
        <w:rPr>
          <w:rFonts w:hint="eastAsia" w:ascii="宋体" w:hAnsi="宋体" w:eastAsia="宋体" w:cs="Times New Roman"/>
          <w:color w:val="000000"/>
          <w:sz w:val="24"/>
          <w:szCs w:val="24"/>
          <w:highlight w:val="none"/>
          <w:lang w:val="en-US" w:eastAsia="zh-CN"/>
        </w:rPr>
        <w:t>LED光源或</w:t>
      </w:r>
      <w:r>
        <w:rPr>
          <w:rFonts w:hint="eastAsia" w:ascii="宋体" w:hAnsi="宋体" w:eastAsia="宋体" w:cs="宋体"/>
          <w:b w:val="0"/>
          <w:bCs/>
          <w:sz w:val="24"/>
          <w:szCs w:val="24"/>
          <w:lang w:val="en-US" w:eastAsia="zh-CN"/>
        </w:rPr>
        <w:t>用</w:t>
      </w:r>
      <w:r>
        <w:rPr>
          <w:rFonts w:hint="eastAsia" w:ascii="宋体" w:hAnsi="宋体" w:eastAsia="宋体" w:cs="宋体"/>
          <w:b w:val="0"/>
          <w:bCs/>
          <w:sz w:val="24"/>
          <w:szCs w:val="24"/>
        </w:rPr>
        <w:t>三基色激光光源（光路结构无色轮模块），分辨率≥1920×1080。</w:t>
      </w:r>
      <w:r>
        <w:rPr>
          <w:rFonts w:hint="eastAsia" w:ascii="宋体" w:hAnsi="宋体"/>
          <w:color w:val="000000"/>
          <w:sz w:val="24"/>
          <w:highlight w:val="yellow"/>
        </w:rPr>
        <w:t>需提供专业机构的检测报告（</w:t>
      </w:r>
      <w:r>
        <w:rPr>
          <w:rFonts w:hint="eastAsia" w:ascii="宋体" w:hAnsi="宋体"/>
          <w:color w:val="000000"/>
          <w:sz w:val="24"/>
          <w:highlight w:val="yellow"/>
          <w:lang w:val="en-US" w:eastAsia="zh-CN"/>
        </w:rPr>
        <w:t>至少包括CMA、IlAC-MRA、CNAS等认证之一</w:t>
      </w:r>
      <w:r>
        <w:rPr>
          <w:rFonts w:hint="eastAsia" w:ascii="宋体" w:hAnsi="宋体"/>
          <w:color w:val="000000"/>
          <w:sz w:val="24"/>
          <w:highlight w:val="yellow"/>
        </w:rPr>
        <w:t>）</w:t>
      </w:r>
      <w:r>
        <w:rPr>
          <w:rFonts w:hint="eastAsia" w:ascii="宋体" w:hAnsi="宋体" w:eastAsia="宋体" w:cs="Times New Roman"/>
          <w:color w:val="000000"/>
          <w:sz w:val="24"/>
          <w:szCs w:val="24"/>
          <w:highlight w:val="yellow"/>
          <w:lang w:val="en-US" w:eastAsia="zh-CN"/>
        </w:rPr>
        <w:t>。</w:t>
      </w:r>
    </w:p>
    <w:p>
      <w:pPr>
        <w:numPr>
          <w:ilvl w:val="0"/>
          <w:numId w:val="13"/>
        </w:numPr>
        <w:spacing w:line="360" w:lineRule="auto"/>
        <w:ind w:left="845" w:leftChars="0" w:right="-1" w:hanging="425" w:firstLineChars="0"/>
        <w:jc w:val="left"/>
        <w:rPr>
          <w:rFonts w:hint="eastAsia" w:ascii="宋体" w:hAnsi="宋体" w:eastAsia="宋体" w:cs="宋体"/>
          <w:b w:val="0"/>
          <w:bCs/>
          <w:sz w:val="24"/>
          <w:szCs w:val="24"/>
        </w:rPr>
      </w:pPr>
      <w:r>
        <w:rPr>
          <w:rFonts w:hint="eastAsia" w:ascii="微软雅黑" w:hAnsi="微软雅黑" w:eastAsia="微软雅黑" w:cs="微软雅黑"/>
          <w:b w:val="0"/>
          <w:bCs/>
          <w:sz w:val="24"/>
          <w:szCs w:val="24"/>
        </w:rPr>
        <w:t>★</w:t>
      </w:r>
      <w:r>
        <w:rPr>
          <w:rFonts w:hint="eastAsia" w:ascii="宋体" w:hAnsi="宋体" w:eastAsia="宋体" w:cs="宋体"/>
          <w:b w:val="0"/>
          <w:bCs/>
          <w:sz w:val="24"/>
          <w:szCs w:val="24"/>
        </w:rPr>
        <w:t>投影机的光输出亮度不低于2300ANSI流明</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无眩光及太阳效应</w:t>
      </w:r>
      <w:r>
        <w:rPr>
          <w:rFonts w:hint="eastAsia" w:ascii="宋体" w:hAnsi="宋体" w:eastAsia="宋体" w:cs="宋体"/>
          <w:b w:val="0"/>
          <w:bCs/>
          <w:sz w:val="24"/>
          <w:szCs w:val="24"/>
          <w:lang w:eastAsia="zh-CN"/>
        </w:rPr>
        <w:t>，</w:t>
      </w:r>
      <w:r>
        <w:rPr>
          <w:rFonts w:hint="eastAsia" w:ascii="宋体" w:hAnsi="宋体" w:eastAsia="宋体" w:cs="Times New Roman"/>
          <w:color w:val="000000"/>
          <w:sz w:val="24"/>
          <w:szCs w:val="24"/>
        </w:rPr>
        <w:t>色温动态可调</w:t>
      </w:r>
      <w:r>
        <w:rPr>
          <w:rFonts w:hint="eastAsia" w:ascii="宋体" w:hAnsi="宋体" w:eastAsia="宋体" w:cs="Times New Roman"/>
          <w:color w:val="000000"/>
          <w:sz w:val="24"/>
          <w:szCs w:val="24"/>
          <w:lang w:eastAsia="zh-CN"/>
        </w:rPr>
        <w:t>。</w:t>
      </w:r>
      <w:r>
        <w:rPr>
          <w:rFonts w:hint="eastAsia" w:ascii="宋体" w:hAnsi="宋体"/>
          <w:color w:val="000000"/>
          <w:sz w:val="24"/>
          <w:highlight w:val="yellow"/>
        </w:rPr>
        <w:t>需提供专业机构的检测报告（</w:t>
      </w:r>
      <w:r>
        <w:rPr>
          <w:rFonts w:hint="eastAsia" w:ascii="宋体" w:hAnsi="宋体"/>
          <w:color w:val="000000"/>
          <w:sz w:val="24"/>
          <w:highlight w:val="yellow"/>
          <w:lang w:val="en-US" w:eastAsia="zh-CN"/>
        </w:rPr>
        <w:t>例如</w:t>
      </w:r>
      <w:r>
        <w:rPr>
          <w:rFonts w:hint="eastAsia" w:ascii="宋体" w:hAnsi="宋体"/>
          <w:color w:val="000000"/>
          <w:sz w:val="24"/>
          <w:highlight w:val="yellow"/>
        </w:rPr>
        <w:t>CMA、IlAC-MRA、CNAS认证等）</w:t>
      </w:r>
      <w:r>
        <w:rPr>
          <w:rFonts w:hint="eastAsia" w:ascii="宋体" w:hAnsi="宋体" w:eastAsia="宋体" w:cs="Times New Roman"/>
          <w:color w:val="000000"/>
          <w:sz w:val="24"/>
          <w:szCs w:val="24"/>
          <w:highlight w:val="yellow"/>
          <w:lang w:val="en-US" w:eastAsia="zh-CN"/>
        </w:rPr>
        <w:t>。</w:t>
      </w:r>
    </w:p>
    <w:p>
      <w:pPr>
        <w:numPr>
          <w:ilvl w:val="0"/>
          <w:numId w:val="13"/>
        </w:numPr>
        <w:spacing w:line="360" w:lineRule="auto"/>
        <w:ind w:left="845" w:leftChars="0" w:right="-1" w:hanging="425" w:firstLineChars="0"/>
        <w:jc w:val="left"/>
        <w:rPr>
          <w:rFonts w:hint="eastAsia" w:ascii="宋体" w:hAnsi="宋体" w:eastAsia="宋体" w:cs="Times New Roman"/>
          <w:color w:val="000000"/>
          <w:sz w:val="24"/>
          <w:szCs w:val="24"/>
        </w:rPr>
      </w:pPr>
      <w:r>
        <w:rPr>
          <w:rFonts w:hint="eastAsia" w:ascii="微软雅黑" w:hAnsi="微软雅黑" w:eastAsia="微软雅黑" w:cs="微软雅黑"/>
          <w:b w:val="0"/>
          <w:bCs/>
          <w:sz w:val="24"/>
          <w:szCs w:val="24"/>
        </w:rPr>
        <w:t>★</w:t>
      </w:r>
      <w:r>
        <w:rPr>
          <w:rFonts w:hint="eastAsia" w:ascii="宋体" w:hAnsi="宋体" w:eastAsia="宋体" w:cs="Times New Roman"/>
          <w:color w:val="000000"/>
          <w:sz w:val="24"/>
          <w:szCs w:val="24"/>
        </w:rPr>
        <w:t>屏幕采用无缝拼接技术，拼接缝隙小于0.</w:t>
      </w:r>
      <w:r>
        <w:rPr>
          <w:rFonts w:hint="eastAsia" w:ascii="宋体" w:hAnsi="宋体" w:eastAsia="宋体" w:cs="Times New Roman"/>
          <w:color w:val="000000"/>
          <w:sz w:val="24"/>
          <w:szCs w:val="24"/>
          <w:lang w:val="en-US" w:eastAsia="zh-CN"/>
        </w:rPr>
        <w:t>25</w:t>
      </w:r>
      <w:r>
        <w:rPr>
          <w:rFonts w:hint="eastAsia" w:ascii="宋体" w:hAnsi="宋体" w:eastAsia="宋体" w:cs="Times New Roman"/>
          <w:color w:val="000000"/>
          <w:sz w:val="24"/>
          <w:szCs w:val="24"/>
        </w:rPr>
        <w:t>mm。</w:t>
      </w:r>
      <w:r>
        <w:rPr>
          <w:rFonts w:hint="eastAsia" w:ascii="宋体" w:hAnsi="宋体"/>
          <w:color w:val="000000"/>
          <w:sz w:val="24"/>
          <w:highlight w:val="yellow"/>
        </w:rPr>
        <w:t>需提供专业机构的检测报告（</w:t>
      </w:r>
      <w:r>
        <w:rPr>
          <w:rFonts w:hint="eastAsia" w:ascii="宋体" w:hAnsi="宋体"/>
          <w:color w:val="000000"/>
          <w:sz w:val="24"/>
          <w:highlight w:val="yellow"/>
          <w:lang w:val="en-US" w:eastAsia="zh-CN"/>
        </w:rPr>
        <w:t>至少包括CMA、IlAC-MRA、CNAS等认证之一</w:t>
      </w:r>
      <w:r>
        <w:rPr>
          <w:rFonts w:hint="eastAsia" w:ascii="宋体" w:hAnsi="宋体"/>
          <w:color w:val="000000"/>
          <w:sz w:val="24"/>
          <w:highlight w:val="yellow"/>
        </w:rPr>
        <w:t>）</w:t>
      </w:r>
      <w:r>
        <w:rPr>
          <w:rFonts w:hint="eastAsia" w:ascii="宋体" w:hAnsi="宋体" w:eastAsia="宋体" w:cs="Times New Roman"/>
          <w:color w:val="000000"/>
          <w:sz w:val="24"/>
          <w:szCs w:val="24"/>
          <w:highlight w:val="yellow"/>
          <w:lang w:val="en-US" w:eastAsia="zh-CN"/>
        </w:rPr>
        <w:t>。</w:t>
      </w:r>
    </w:p>
    <w:p>
      <w:pPr>
        <w:numPr>
          <w:ilvl w:val="0"/>
          <w:numId w:val="13"/>
        </w:numPr>
        <w:spacing w:line="360" w:lineRule="auto"/>
        <w:ind w:left="845" w:leftChars="0" w:right="-1" w:hanging="425" w:firstLineChars="0"/>
        <w:jc w:val="left"/>
        <w:rPr>
          <w:rFonts w:hint="eastAsia" w:ascii="宋体" w:hAnsi="宋体" w:eastAsia="宋体" w:cs="宋体"/>
          <w:b w:val="0"/>
          <w:bCs/>
          <w:sz w:val="24"/>
          <w:szCs w:val="24"/>
          <w:highlight w:val="none"/>
        </w:rPr>
      </w:pPr>
      <w:r>
        <w:rPr>
          <w:rFonts w:hint="eastAsia" w:ascii="微软雅黑" w:hAnsi="微软雅黑" w:eastAsia="微软雅黑" w:cs="微软雅黑"/>
          <w:b w:val="0"/>
          <w:bCs/>
          <w:sz w:val="24"/>
          <w:szCs w:val="24"/>
        </w:rPr>
        <w:t>★</w:t>
      </w:r>
      <w:r>
        <w:rPr>
          <w:rFonts w:hint="eastAsia" w:ascii="宋体" w:hAnsi="宋体" w:eastAsia="宋体" w:cs="Times New Roman"/>
          <w:color w:val="000000"/>
          <w:sz w:val="24"/>
          <w:szCs w:val="24"/>
        </w:rPr>
        <w:t>投影机的对比度≥3000：1，照度均匀性≥</w:t>
      </w:r>
      <w:r>
        <w:rPr>
          <w:rFonts w:hint="eastAsia" w:ascii="宋体" w:hAnsi="宋体" w:eastAsia="宋体" w:cs="Times New Roman"/>
          <w:color w:val="000000"/>
          <w:sz w:val="24"/>
          <w:szCs w:val="24"/>
          <w:lang w:val="en-US" w:eastAsia="zh-CN"/>
        </w:rPr>
        <w:t>99</w:t>
      </w: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色度不均匀性≤0.01。</w:t>
      </w:r>
      <w:r>
        <w:rPr>
          <w:rFonts w:hint="eastAsia" w:ascii="宋体" w:hAnsi="宋体"/>
          <w:color w:val="000000"/>
          <w:sz w:val="24"/>
          <w:highlight w:val="yellow"/>
        </w:rPr>
        <w:t>需提供专业机构的检测报告（</w:t>
      </w:r>
      <w:r>
        <w:rPr>
          <w:rFonts w:hint="eastAsia" w:ascii="宋体" w:hAnsi="宋体"/>
          <w:color w:val="000000"/>
          <w:sz w:val="24"/>
          <w:highlight w:val="yellow"/>
          <w:lang w:val="en-US" w:eastAsia="zh-CN"/>
        </w:rPr>
        <w:t>至少包括CMA、IlAC-MRA、CNAS等认证之一</w:t>
      </w:r>
      <w:r>
        <w:rPr>
          <w:rFonts w:hint="eastAsia" w:ascii="宋体" w:hAnsi="宋体"/>
          <w:color w:val="000000"/>
          <w:sz w:val="24"/>
          <w:highlight w:val="yellow"/>
        </w:rPr>
        <w:t>）</w:t>
      </w:r>
      <w:r>
        <w:rPr>
          <w:rFonts w:hint="eastAsia" w:ascii="宋体" w:hAnsi="宋体" w:eastAsia="宋体" w:cs="Times New Roman"/>
          <w:color w:val="000000"/>
          <w:sz w:val="24"/>
          <w:szCs w:val="24"/>
          <w:highlight w:val="yellow"/>
          <w:lang w:val="en-US" w:eastAsia="zh-CN"/>
        </w:rPr>
        <w:t>。</w:t>
      </w:r>
    </w:p>
    <w:p>
      <w:pPr>
        <w:numPr>
          <w:ilvl w:val="0"/>
          <w:numId w:val="13"/>
        </w:numPr>
        <w:spacing w:line="360" w:lineRule="auto"/>
        <w:ind w:left="845" w:leftChars="0" w:right="-1" w:hanging="425" w:firstLineChars="0"/>
        <w:jc w:val="left"/>
        <w:rPr>
          <w:rFonts w:hint="eastAsia" w:ascii="宋体" w:hAnsi="宋体" w:eastAsia="宋体" w:cs="宋体"/>
          <w:b w:val="0"/>
          <w:bCs/>
          <w:sz w:val="24"/>
          <w:szCs w:val="24"/>
          <w:highlight w:val="none"/>
        </w:rPr>
      </w:pPr>
      <w:r>
        <w:rPr>
          <w:rFonts w:hint="eastAsia" w:ascii="微软雅黑" w:hAnsi="微软雅黑" w:eastAsia="微软雅黑" w:cs="微软雅黑"/>
          <w:b w:val="0"/>
          <w:bCs/>
          <w:sz w:val="24"/>
          <w:szCs w:val="24"/>
        </w:rPr>
        <w:t>★</w:t>
      </w:r>
      <w:r>
        <w:rPr>
          <w:rFonts w:hint="eastAsia" w:ascii="宋体" w:hAnsi="宋体" w:eastAsia="宋体" w:cs="Times New Roman"/>
          <w:color w:val="000000"/>
          <w:sz w:val="24"/>
          <w:szCs w:val="24"/>
          <w:highlight w:val="none"/>
        </w:rPr>
        <w:t>显示单元采用纯树脂屏幕，屏幕的水平半增益视角≥37°，垂直半增益视角≥33°，屏幕</w:t>
      </w:r>
      <w:r>
        <w:rPr>
          <w:rFonts w:hint="eastAsia" w:ascii="宋体" w:hAnsi="宋体" w:eastAsia="宋体" w:cs="Times New Roman"/>
          <w:color w:val="000000"/>
          <w:sz w:val="24"/>
          <w:szCs w:val="24"/>
          <w:highlight w:val="none"/>
          <w:lang w:val="en-US" w:eastAsia="zh-CN"/>
        </w:rPr>
        <w:t>不能出现明显形变</w:t>
      </w:r>
      <w:r>
        <w:rPr>
          <w:rFonts w:hint="eastAsia" w:ascii="宋体" w:hAnsi="宋体" w:eastAsia="宋体" w:cs="Times New Roman"/>
          <w:color w:val="000000"/>
          <w:sz w:val="24"/>
          <w:szCs w:val="24"/>
          <w:highlight w:val="none"/>
        </w:rPr>
        <w:t>。需提供</w:t>
      </w:r>
      <w:r>
        <w:rPr>
          <w:rFonts w:hint="eastAsia" w:ascii="宋体" w:hAnsi="宋体" w:eastAsia="宋体" w:cs="Times New Roman"/>
          <w:color w:val="000000"/>
          <w:sz w:val="24"/>
          <w:szCs w:val="24"/>
          <w:highlight w:val="none"/>
          <w:lang w:val="en-US" w:eastAsia="zh-CN"/>
        </w:rPr>
        <w:t>屏幕原厂</w:t>
      </w:r>
      <w:r>
        <w:rPr>
          <w:rFonts w:hint="eastAsia" w:ascii="宋体" w:hAnsi="宋体" w:eastAsia="宋体" w:cs="Times New Roman"/>
          <w:color w:val="000000"/>
          <w:sz w:val="24"/>
          <w:szCs w:val="24"/>
          <w:highlight w:val="none"/>
        </w:rPr>
        <w:t>出具的授权证书。</w:t>
      </w:r>
    </w:p>
    <w:p>
      <w:pPr>
        <w:numPr>
          <w:ilvl w:val="0"/>
          <w:numId w:val="13"/>
        </w:numPr>
        <w:spacing w:line="360" w:lineRule="auto"/>
        <w:ind w:left="845" w:leftChars="0" w:right="-1" w:hanging="425" w:firstLineChars="0"/>
        <w:jc w:val="left"/>
        <w:rPr>
          <w:rFonts w:hint="eastAsia" w:ascii="宋体" w:hAnsi="宋体" w:eastAsia="宋体" w:cs="Times New Roman"/>
          <w:strike/>
          <w:dstrike w:val="0"/>
          <w:color w:val="000000"/>
          <w:sz w:val="24"/>
          <w:szCs w:val="24"/>
          <w:highlight w:val="yellow"/>
        </w:rPr>
      </w:pPr>
      <w:r>
        <w:rPr>
          <w:rFonts w:hint="eastAsia" w:ascii="宋体" w:hAnsi="宋体" w:eastAsia="宋体" w:cs="Times New Roman"/>
          <w:color w:val="000000"/>
          <w:sz w:val="24"/>
          <w:szCs w:val="24"/>
          <w:highlight w:val="yellow"/>
        </w:rPr>
        <w:t>具备双电源冗余供电模块，可实现故障自动切换和不停机的状况下更换电源模块；</w:t>
      </w:r>
    </w:p>
    <w:p>
      <w:pPr>
        <w:numPr>
          <w:ilvl w:val="0"/>
          <w:numId w:val="13"/>
        </w:numPr>
        <w:spacing w:line="360" w:lineRule="auto"/>
        <w:ind w:left="845" w:leftChars="0" w:right="-1" w:hanging="425" w:firstLineChars="0"/>
        <w:jc w:val="left"/>
        <w:rPr>
          <w:rFonts w:hint="eastAsia" w:ascii="宋体" w:hAnsi="宋体" w:eastAsia="宋体" w:cs="Times New Roman"/>
          <w:strike/>
          <w:dstrike w:val="0"/>
          <w:color w:val="000000"/>
          <w:sz w:val="24"/>
          <w:szCs w:val="24"/>
        </w:rPr>
      </w:pPr>
      <w:r>
        <w:rPr>
          <w:rFonts w:hint="eastAsia" w:ascii="宋体" w:hAnsi="宋体" w:eastAsia="宋体" w:cs="Times New Roman"/>
          <w:color w:val="000000"/>
          <w:sz w:val="24"/>
          <w:szCs w:val="24"/>
        </w:rPr>
        <w:t>投影机防尘结构设计达到IP5X等级</w:t>
      </w:r>
      <w:r>
        <w:rPr>
          <w:rFonts w:hint="eastAsia" w:ascii="宋体" w:hAnsi="宋体" w:eastAsia="宋体" w:cs="Times New Roman"/>
          <w:color w:val="000000"/>
          <w:sz w:val="24"/>
          <w:szCs w:val="24"/>
          <w:lang w:eastAsia="zh-CN"/>
        </w:rPr>
        <w:t>。</w:t>
      </w:r>
    </w:p>
    <w:p>
      <w:pPr>
        <w:numPr>
          <w:ilvl w:val="0"/>
          <w:numId w:val="13"/>
        </w:numPr>
        <w:spacing w:line="360" w:lineRule="auto"/>
        <w:ind w:left="845" w:leftChars="0" w:right="-1" w:hanging="425" w:firstLineChars="0"/>
        <w:jc w:val="left"/>
        <w:rPr>
          <w:rFonts w:hint="eastAsia" w:ascii="宋体" w:hAnsi="宋体" w:eastAsia="宋体" w:cs="Times New Roman"/>
          <w:strike/>
          <w:dstrike w:val="0"/>
          <w:color w:val="000000"/>
          <w:sz w:val="24"/>
          <w:szCs w:val="24"/>
        </w:rPr>
      </w:pPr>
      <w:bookmarkStart w:id="10" w:name="_Toc357085262"/>
      <w:bookmarkStart w:id="11" w:name="_Toc239047138"/>
      <w:bookmarkStart w:id="12" w:name="_Toc266872727"/>
      <w:bookmarkStart w:id="13" w:name="_Toc327449405"/>
      <w:bookmarkStart w:id="14" w:name="_Toc240941930"/>
      <w:bookmarkStart w:id="15" w:name="_Toc286152277"/>
      <w:bookmarkStart w:id="16" w:name="_Toc357601399"/>
      <w:bookmarkStart w:id="17" w:name="_Toc380974116"/>
      <w:bookmarkStart w:id="18" w:name="_Toc327449093"/>
      <w:bookmarkStart w:id="19" w:name="_Toc327434707"/>
      <w:bookmarkStart w:id="20" w:name="_Toc325213306"/>
      <w:bookmarkStart w:id="21" w:name="_Toc248898470"/>
      <w:bookmarkStart w:id="22" w:name="_Toc240859556"/>
      <w:bookmarkStart w:id="23" w:name="_Toc325394250"/>
      <w:bookmarkStart w:id="24" w:name="_Toc214960687"/>
      <w:bookmarkStart w:id="25" w:name="_Toc327380994"/>
      <w:bookmarkStart w:id="26" w:name="_Toc380952422"/>
      <w:bookmarkStart w:id="27" w:name="_Toc241399106"/>
      <w:bookmarkStart w:id="28" w:name="_Toc357169878"/>
      <w:r>
        <w:rPr>
          <w:rFonts w:hint="eastAsia" w:ascii="宋体" w:hAnsi="宋体" w:eastAsia="宋体" w:cs="Times New Roman"/>
          <w:color w:val="000000"/>
          <w:sz w:val="24"/>
          <w:szCs w:val="24"/>
        </w:rPr>
        <w:t>显示单元具有亮度自动均衡调整功能。系统在长期运行过程中自动检测整墙亮度，并自动校准色亮度偏差，调整保证整墙一致</w:t>
      </w:r>
      <w:r>
        <w:rPr>
          <w:rFonts w:hint="eastAsia" w:ascii="宋体" w:hAnsi="宋体" w:eastAsia="宋体" w:cs="Times New Roman"/>
          <w:color w:val="000000"/>
          <w:sz w:val="24"/>
          <w:szCs w:val="24"/>
          <w:lang w:eastAsia="zh-CN"/>
        </w:rPr>
        <w:t>。</w:t>
      </w:r>
    </w:p>
    <w:p>
      <w:pPr>
        <w:numPr>
          <w:ilvl w:val="0"/>
          <w:numId w:val="13"/>
        </w:numPr>
        <w:spacing w:line="360" w:lineRule="auto"/>
        <w:ind w:left="845" w:leftChars="0" w:right="-1" w:hanging="425" w:firstLineChars="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显示单元采用网络接口（RJ45）进行并发控制</w:t>
      </w:r>
      <w:r>
        <w:rPr>
          <w:rFonts w:hint="eastAsia" w:ascii="宋体" w:hAnsi="宋体" w:eastAsia="宋体" w:cs="Times New Roman"/>
          <w:color w:val="000000"/>
          <w:sz w:val="24"/>
          <w:szCs w:val="24"/>
          <w:lang w:eastAsia="zh-CN"/>
        </w:rPr>
        <w:t>。</w:t>
      </w:r>
    </w:p>
    <w:p>
      <w:pPr>
        <w:numPr>
          <w:ilvl w:val="0"/>
          <w:numId w:val="13"/>
        </w:numPr>
        <w:spacing w:line="360" w:lineRule="auto"/>
        <w:ind w:left="845" w:leftChars="0" w:right="-1" w:hanging="425" w:firstLineChars="0"/>
        <w:jc w:val="left"/>
        <w:rPr>
          <w:rFonts w:hint="eastAsia" w:ascii="宋体" w:hAnsi="宋体" w:eastAsia="宋体" w:cs="Times New Roman"/>
          <w:color w:val="000000"/>
          <w:sz w:val="24"/>
          <w:szCs w:val="24"/>
        </w:rPr>
      </w:pPr>
      <w:r>
        <w:rPr>
          <w:rFonts w:hint="eastAsia" w:ascii="宋体" w:hAnsi="宋体" w:eastAsia="宋体" w:cs="宋体"/>
          <w:b w:val="0"/>
          <w:bCs/>
          <w:sz w:val="24"/>
          <w:szCs w:val="24"/>
        </w:rPr>
        <w:t>显示单元具有运行状态自监控功能，支持对支持对投影机芯温度、亮度、电源状态、风扇转速</w:t>
      </w:r>
      <w:r>
        <w:rPr>
          <w:rFonts w:hint="eastAsia" w:ascii="宋体" w:hAnsi="宋体" w:eastAsia="宋体" w:cs="宋体"/>
          <w:b w:val="0"/>
          <w:bCs/>
          <w:sz w:val="24"/>
          <w:szCs w:val="24"/>
          <w:lang w:val="en-US" w:eastAsia="zh-CN"/>
        </w:rPr>
        <w:t>等的</w:t>
      </w:r>
      <w:r>
        <w:rPr>
          <w:rFonts w:hint="eastAsia" w:ascii="宋体" w:hAnsi="宋体" w:eastAsia="宋体" w:cs="宋体"/>
          <w:b w:val="0"/>
          <w:bCs/>
          <w:sz w:val="24"/>
          <w:szCs w:val="24"/>
        </w:rPr>
        <w:t>实时监测</w:t>
      </w:r>
      <w:r>
        <w:rPr>
          <w:rFonts w:hint="eastAsia" w:ascii="宋体" w:hAnsi="宋体" w:eastAsia="宋体" w:cs="Times New Roman"/>
          <w:color w:val="000000"/>
          <w:sz w:val="24"/>
          <w:szCs w:val="24"/>
        </w:rPr>
        <w:t>。</w:t>
      </w:r>
    </w:p>
    <w:p>
      <w:pPr>
        <w:numPr>
          <w:ilvl w:val="0"/>
          <w:numId w:val="13"/>
        </w:numPr>
        <w:spacing w:line="360" w:lineRule="auto"/>
        <w:ind w:left="845" w:leftChars="0" w:right="-1" w:hanging="425" w:firstLineChars="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显示单元屏前1米噪音＜27dB。</w:t>
      </w:r>
    </w:p>
    <w:p>
      <w:pPr>
        <w:numPr>
          <w:ilvl w:val="0"/>
          <w:numId w:val="13"/>
        </w:numPr>
        <w:spacing w:line="360" w:lineRule="auto"/>
        <w:ind w:left="845" w:leftChars="0" w:right="-1" w:hanging="425" w:firstLineChars="0"/>
        <w:jc w:val="left"/>
        <w:rPr>
          <w:rFonts w:ascii="宋体" w:hAnsi="宋体" w:eastAsia="宋体"/>
          <w:b/>
          <w:vanish/>
          <w:sz w:val="24"/>
          <w:szCs w:val="24"/>
        </w:rPr>
      </w:pPr>
      <w:r>
        <w:rPr>
          <w:rFonts w:hint="eastAsia" w:ascii="宋体" w:hAnsi="宋体" w:eastAsia="宋体" w:cs="Times New Roman"/>
          <w:color w:val="000000"/>
          <w:sz w:val="24"/>
          <w:szCs w:val="24"/>
        </w:rPr>
        <w:t>显示单元平均无故障时间MTBF＞150，000小时，平均修复时间MTTR＜30分钟，可用度达99</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rPr>
        <w:t>%。</w:t>
      </w:r>
    </w:p>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Pr>
        <w:numPr>
          <w:ilvl w:val="0"/>
          <w:numId w:val="0"/>
        </w:numPr>
        <w:rPr>
          <w:rFonts w:hint="eastAsia"/>
        </w:rPr>
      </w:pPr>
    </w:p>
    <w:p>
      <w:pPr>
        <w:pStyle w:val="3"/>
        <w:spacing w:before="120" w:after="120"/>
        <w:rPr>
          <w:rFonts w:hint="eastAsia" w:ascii="黑体" w:hAnsi="黑体" w:eastAsia="黑体" w:cs="Times New Roman"/>
          <w:sz w:val="28"/>
          <w:szCs w:val="32"/>
        </w:rPr>
      </w:pPr>
      <w:r>
        <w:rPr>
          <w:rFonts w:hint="eastAsia" w:ascii="黑体" w:hAnsi="黑体" w:eastAsia="黑体" w:cs="Times New Roman"/>
          <w:sz w:val="28"/>
          <w:szCs w:val="32"/>
        </w:rPr>
        <w:t>多屏拼接处理器</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★单机箱信号背板信号带宽≥2000Gbps，所有信号均能实时处理显示，单路信号窗口开窗时间小于30ms，72路信号开窗速度≤2秒。</w:t>
      </w:r>
      <w:r>
        <w:rPr>
          <w:rFonts w:hint="eastAsia" w:ascii="宋体" w:hAnsi="宋体" w:eastAsia="宋体" w:cs="宋体"/>
          <w:b w:val="0"/>
          <w:bCs/>
          <w:sz w:val="24"/>
          <w:szCs w:val="24"/>
          <w:highlight w:val="yellow"/>
          <w:lang w:val="en-US" w:eastAsia="zh-CN"/>
        </w:rPr>
        <w:t>需提供专业机构的检测报告（至少包括CMA、IlAC-MRA、CNAS等认证之一）。</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★所有输的输入板卡、输出板卡以及控制板卡均支持热插拔功能，热插拔业务自动回复时间≤30s。</w:t>
      </w:r>
      <w:r>
        <w:rPr>
          <w:rFonts w:hint="eastAsia" w:ascii="宋体" w:hAnsi="宋体" w:eastAsia="宋体" w:cs="宋体"/>
          <w:b w:val="0"/>
          <w:bCs/>
          <w:sz w:val="24"/>
          <w:szCs w:val="24"/>
          <w:highlight w:val="yellow"/>
          <w:lang w:val="en-US" w:eastAsia="zh-CN"/>
        </w:rPr>
        <w:t>需提供专业机构的检测报告（至少包括CMA、IlAC-MRA、CNAS等认证之一）。</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★提供不低于18路高清DVI信号、28路高清HDMI信号输入、28路高清DVI输出。</w:t>
      </w:r>
      <w:r>
        <w:rPr>
          <w:rFonts w:hint="eastAsia" w:ascii="宋体" w:hAnsi="宋体" w:eastAsia="宋体" w:cs="宋体"/>
          <w:b w:val="0"/>
          <w:bCs/>
          <w:sz w:val="24"/>
          <w:szCs w:val="24"/>
          <w:highlight w:val="yellow"/>
          <w:lang w:val="en-US" w:eastAsia="zh-CN"/>
        </w:rPr>
        <w:t>其中至少配置4路4K信号输入。</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★支持DVI/HDMI/SDI/DP等各种信号输入，</w:t>
      </w:r>
      <w:r>
        <w:rPr>
          <w:rFonts w:hint="eastAsia" w:ascii="宋体" w:hAnsi="宋体" w:eastAsia="宋体" w:cs="宋体"/>
          <w:b w:val="0"/>
          <w:bCs/>
          <w:sz w:val="24"/>
          <w:szCs w:val="24"/>
        </w:rPr>
        <w:t>支持1920×1200~3840×2160分辨率信号输入显示</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highlight w:val="yellow"/>
          <w:lang w:val="en-US" w:eastAsia="zh-CN"/>
        </w:rPr>
        <w:t>需提供专业机构的检测报告（至少包括CMA、IlAC-MRA、CNAS等认证之一）。</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★具备双电源冗余供电模块，可实现故障自动切换和不停机的状况下更换电源模块。</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风扇、板卡支持热插拔维护功能。</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提供</w:t>
      </w:r>
      <w:r>
        <w:rPr>
          <w:rFonts w:hint="eastAsia" w:ascii="宋体" w:hAnsi="宋体" w:eastAsia="宋体" w:cs="宋体"/>
          <w:b w:val="0"/>
          <w:bCs/>
          <w:sz w:val="24"/>
          <w:szCs w:val="24"/>
        </w:rPr>
        <w:t>第三方控制系统集成接口。</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支持对接入的信号重新编码，通过网络送给其他设备显示。</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系统具有快速开启功能，开机时间≤5秒。</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要求整墙显示同步，运动图像无撕裂。</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支持信号预览显示，最大支持32路输入信号预览显示。</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支持全墙回显显示，回显帧率不低于30帧/秒。</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支持信号无缝切换，窗口切换顺畅，不漏底图，支持信号0帧切换，窗口切换顺畅，切换过程无停顿。</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trike/>
          <w:dstrike w:val="0"/>
          <w:sz w:val="24"/>
          <w:szCs w:val="24"/>
        </w:rPr>
      </w:pPr>
      <w:r>
        <w:rPr>
          <w:rFonts w:hint="eastAsia" w:ascii="宋体" w:hAnsi="宋体" w:eastAsia="宋体" w:cs="宋体"/>
          <w:b w:val="0"/>
          <w:bCs/>
          <w:sz w:val="24"/>
          <w:szCs w:val="24"/>
        </w:rPr>
        <w:t>一套处理器可支持不同拼接组合；不同显示技术单元拼接显示或不同规模拼接进行分组拼接或拼接墙+单屏监视混搭方式组合拼接。</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trike/>
          <w:dstrike w:val="0"/>
          <w:sz w:val="24"/>
          <w:szCs w:val="24"/>
          <w:highlight w:val="none"/>
        </w:rPr>
      </w:pPr>
      <w:r>
        <w:rPr>
          <w:rFonts w:hint="eastAsia" w:ascii="宋体" w:hAnsi="宋体" w:eastAsia="宋体" w:cs="宋体"/>
          <w:b w:val="0"/>
          <w:bCs/>
          <w:sz w:val="24"/>
          <w:szCs w:val="24"/>
          <w:highlight w:val="none"/>
        </w:rPr>
        <w:t>系统自带液晶显示面板，实现设备运行状态可视化，对处理器的机箱内部温度、电源电压、风扇转速等进行实时监控并显示，非正常状态进行报警。</w:t>
      </w:r>
    </w:p>
    <w:p>
      <w:pPr>
        <w:pStyle w:val="17"/>
        <w:numPr>
          <w:ilvl w:val="0"/>
          <w:numId w:val="14"/>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系统具备7×24小时的连续工作能力，具备高可靠性和高维护性的特点。</w:t>
      </w:r>
    </w:p>
    <w:p>
      <w:pPr>
        <w:pStyle w:val="3"/>
        <w:spacing w:before="120" w:after="120"/>
        <w:rPr>
          <w:rFonts w:hint="eastAsia" w:ascii="黑体" w:hAnsi="黑体" w:eastAsia="黑体" w:cs="Times New Roman"/>
          <w:sz w:val="28"/>
          <w:szCs w:val="32"/>
        </w:rPr>
      </w:pPr>
      <w:r>
        <w:rPr>
          <w:rFonts w:hint="eastAsia" w:ascii="黑体" w:hAnsi="黑体" w:eastAsia="黑体" w:cs="Times New Roman"/>
          <w:sz w:val="28"/>
          <w:szCs w:val="32"/>
          <w:lang w:val="en-US" w:eastAsia="zh-CN"/>
        </w:rPr>
        <w:t>大屏幕控制软件</w:t>
      </w:r>
    </w:p>
    <w:p>
      <w:pPr>
        <w:pStyle w:val="17"/>
        <w:numPr>
          <w:ilvl w:val="0"/>
          <w:numId w:val="15"/>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highlight w:val="yellow"/>
        </w:rPr>
      </w:pPr>
      <w:r>
        <w:rPr>
          <w:rFonts w:hint="eastAsia" w:ascii="微软雅黑" w:hAnsi="微软雅黑" w:eastAsia="微软雅黑" w:cs="微软雅黑"/>
          <w:b w:val="0"/>
          <w:bCs/>
          <w:sz w:val="24"/>
          <w:szCs w:val="24"/>
          <w:highlight w:val="yellow"/>
        </w:rPr>
        <w:t>★</w:t>
      </w:r>
      <w:r>
        <w:rPr>
          <w:rFonts w:hint="eastAsia" w:ascii="宋体" w:hAnsi="宋体" w:eastAsia="宋体" w:cs="宋体"/>
          <w:b w:val="0"/>
          <w:bCs/>
          <w:sz w:val="24"/>
          <w:szCs w:val="24"/>
          <w:highlight w:val="yellow"/>
        </w:rPr>
        <w:t>支持多端控制,支持触控操作和键盘鼠标操作两种方式供选择,</w:t>
      </w:r>
      <w:r>
        <w:rPr>
          <w:rFonts w:hint="eastAsia" w:ascii="宋体" w:hAnsi="宋体" w:eastAsia="宋体" w:cs="宋体"/>
          <w:b w:val="0"/>
          <w:bCs/>
          <w:sz w:val="24"/>
          <w:szCs w:val="24"/>
          <w:highlight w:val="yellow"/>
          <w:lang w:val="en-US" w:eastAsia="zh-CN"/>
        </w:rPr>
        <w:t>支撑</w:t>
      </w:r>
      <w:r>
        <w:rPr>
          <w:rFonts w:hint="eastAsia" w:ascii="宋体" w:hAnsi="宋体" w:eastAsia="宋体" w:cs="宋体"/>
          <w:b w:val="0"/>
          <w:bCs/>
          <w:sz w:val="24"/>
          <w:szCs w:val="24"/>
          <w:highlight w:val="yellow"/>
        </w:rPr>
        <w:t>鸿蒙、UOS</w:t>
      </w:r>
      <w:r>
        <w:rPr>
          <w:rFonts w:hint="eastAsia" w:ascii="宋体" w:hAnsi="宋体" w:eastAsia="宋体" w:cs="宋体"/>
          <w:b w:val="0"/>
          <w:bCs/>
          <w:sz w:val="24"/>
          <w:szCs w:val="24"/>
          <w:highlight w:val="yellow"/>
          <w:lang w:val="en-US" w:eastAsia="zh-CN"/>
        </w:rPr>
        <w:t>等国产化操作系统</w:t>
      </w:r>
      <w:r>
        <w:rPr>
          <w:rFonts w:hint="eastAsia" w:ascii="宋体" w:hAnsi="宋体" w:eastAsia="宋体" w:cs="宋体"/>
          <w:b w:val="0"/>
          <w:bCs/>
          <w:sz w:val="24"/>
          <w:szCs w:val="24"/>
          <w:highlight w:val="yellow"/>
          <w:lang w:eastAsia="zh-CN"/>
        </w:rPr>
        <w:t>。</w:t>
      </w:r>
    </w:p>
    <w:p>
      <w:pPr>
        <w:pStyle w:val="17"/>
        <w:numPr>
          <w:ilvl w:val="0"/>
          <w:numId w:val="15"/>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微软雅黑" w:hAnsi="微软雅黑" w:eastAsia="微软雅黑" w:cs="微软雅黑"/>
          <w:b w:val="0"/>
          <w:bCs/>
          <w:sz w:val="24"/>
          <w:szCs w:val="24"/>
        </w:rPr>
        <w:t>★</w:t>
      </w:r>
      <w:r>
        <w:rPr>
          <w:rFonts w:hint="eastAsia" w:ascii="宋体" w:hAnsi="宋体" w:eastAsia="宋体" w:cs="宋体"/>
          <w:b w:val="0"/>
          <w:bCs/>
          <w:sz w:val="24"/>
          <w:szCs w:val="24"/>
        </w:rPr>
        <w:t>系统必须具有严格的权限控制：根据系统对象的不同，可提供三类用户权限：包括但不限于：系统管理员权限、普通管理员权限、操作员权限，并支持对墙、资源、模式、拼墙区域、应用场景按照不同权限分配给不同用户</w:t>
      </w:r>
      <w:r>
        <w:rPr>
          <w:rFonts w:hint="eastAsia" w:ascii="宋体" w:hAnsi="宋体" w:eastAsia="宋体" w:cs="宋体"/>
          <w:b w:val="0"/>
          <w:bCs/>
          <w:sz w:val="24"/>
          <w:szCs w:val="24"/>
          <w:lang w:eastAsia="zh-CN"/>
        </w:rPr>
        <w:t>。</w:t>
      </w:r>
    </w:p>
    <w:p>
      <w:pPr>
        <w:pStyle w:val="17"/>
        <w:numPr>
          <w:ilvl w:val="0"/>
          <w:numId w:val="15"/>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支持通过WEB对大屏显示系统进行控制。</w:t>
      </w:r>
    </w:p>
    <w:p>
      <w:pPr>
        <w:pStyle w:val="17"/>
        <w:numPr>
          <w:ilvl w:val="0"/>
          <w:numId w:val="15"/>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具备方便直观的中文界面，可实现多用户操作管理。允许同一用户账号在多台工作站同时在线对大屏幕进行操作。</w:t>
      </w:r>
    </w:p>
    <w:p>
      <w:pPr>
        <w:pStyle w:val="17"/>
        <w:numPr>
          <w:ilvl w:val="0"/>
          <w:numId w:val="15"/>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系统具备资源池以及场景库列表，分别对资源、场景进行自动归类，方便用户进行快速查找，接入系统的资源可自动根据资源池分为信号、文件、元件等资源类别，场景库支持多级分组，可按照分组形式展示场景的组织结构。</w:t>
      </w:r>
    </w:p>
    <w:p>
      <w:pPr>
        <w:pStyle w:val="17"/>
        <w:numPr>
          <w:ilvl w:val="0"/>
          <w:numId w:val="15"/>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采用所见即所得的控制方式，提供良好交互体验，所有功能支持通过鼠标/触控操作完成，通过拖拽方式将系统内的资源、场景推送到不同显示终端的任意区域显示，信号、文件、元件等资源上墙响应时间≤0.5s，场景切换时间响应≤0.5秒；</w:t>
      </w:r>
    </w:p>
    <w:p>
      <w:pPr>
        <w:pStyle w:val="17"/>
        <w:numPr>
          <w:ilvl w:val="0"/>
          <w:numId w:val="15"/>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在操控终端上，支持一键切换拼墙场景的功能，拼墙场景切换后，对应的拼墙须实时同步更新整个拼墙的显示内容，场景切换过程中各资源显示流畅，实时刷新。</w:t>
      </w:r>
    </w:p>
    <w:p>
      <w:pPr>
        <w:pStyle w:val="17"/>
        <w:numPr>
          <w:ilvl w:val="0"/>
          <w:numId w:val="15"/>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提供资源检索功能，可以根据信号的关键字搜索需要的信号。</w:t>
      </w:r>
    </w:p>
    <w:p>
      <w:pPr>
        <w:pStyle w:val="17"/>
        <w:numPr>
          <w:ilvl w:val="0"/>
          <w:numId w:val="15"/>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系统支持日志管理，可查询系统日志和用户日志，记录用户轨迹。</w:t>
      </w:r>
    </w:p>
    <w:p>
      <w:pPr>
        <w:pStyle w:val="17"/>
        <w:numPr>
          <w:ilvl w:val="0"/>
          <w:numId w:val="15"/>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rPr>
      </w:pPr>
      <w:r>
        <w:rPr>
          <w:rFonts w:hint="eastAsia" w:ascii="宋体" w:hAnsi="宋体" w:eastAsia="宋体" w:cs="宋体"/>
          <w:b w:val="0"/>
          <w:bCs/>
          <w:sz w:val="24"/>
          <w:szCs w:val="24"/>
        </w:rPr>
        <w:t>通过配置，支持直接读取拼接墙系统的设备状态。</w:t>
      </w:r>
    </w:p>
    <w:p>
      <w:pPr>
        <w:pStyle w:val="3"/>
        <w:spacing w:before="120" w:after="120"/>
        <w:rPr>
          <w:rFonts w:hint="eastAsia" w:ascii="黑体" w:hAnsi="黑体" w:eastAsia="黑体" w:cs="Times New Roman"/>
          <w:b/>
          <w:bCs/>
          <w:sz w:val="28"/>
          <w:szCs w:val="32"/>
          <w:lang w:val="en-US" w:eastAsia="zh-CN"/>
        </w:rPr>
      </w:pPr>
      <w:r>
        <w:rPr>
          <w:rFonts w:hint="eastAsia" w:ascii="黑体" w:hAnsi="黑体" w:eastAsia="黑体" w:cs="Times New Roman"/>
          <w:b/>
          <w:bCs/>
          <w:sz w:val="28"/>
          <w:szCs w:val="32"/>
          <w:lang w:val="en-US" w:eastAsia="zh-CN"/>
        </w:rPr>
        <w:t>LED条屏技术要求</w:t>
      </w:r>
    </w:p>
    <w:p>
      <w:pPr>
        <w:pStyle w:val="17"/>
        <w:numPr>
          <w:ilvl w:val="0"/>
          <w:numId w:val="16"/>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尺寸要求：宽度约10800mm，高度约337.5mm。</w:t>
      </w:r>
    </w:p>
    <w:p>
      <w:pPr>
        <w:pStyle w:val="17"/>
        <w:numPr>
          <w:ilvl w:val="0"/>
          <w:numId w:val="16"/>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表贴3合1灯珠，铜线，像素间距：2.5mm；单元分辨率240(宽)×135(高)；</w:t>
      </w:r>
    </w:p>
    <w:p>
      <w:pPr>
        <w:pStyle w:val="17"/>
        <w:numPr>
          <w:ilvl w:val="0"/>
          <w:numId w:val="16"/>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单个箱体尺寸(宽)600mm×(高)337.5mm×(厚)≤58mm；</w:t>
      </w:r>
    </w:p>
    <w:p>
      <w:pPr>
        <w:pStyle w:val="17"/>
        <w:numPr>
          <w:ilvl w:val="0"/>
          <w:numId w:val="16"/>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前维护；</w:t>
      </w:r>
    </w:p>
    <w:p>
      <w:pPr>
        <w:pStyle w:val="17"/>
        <w:numPr>
          <w:ilvl w:val="0"/>
          <w:numId w:val="16"/>
        </w:numPr>
        <w:tabs>
          <w:tab w:val="left" w:pos="340"/>
          <w:tab w:val="clear" w:pos="420"/>
        </w:tabs>
        <w:spacing w:after="0" w:line="360" w:lineRule="auto"/>
        <w:ind w:left="845" w:leftChars="0" w:hanging="425" w:firstLineChars="0"/>
        <w:jc w:val="both"/>
        <w:textAlignment w:val="baseline"/>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全彩LED屏，含屏体、主控器、接收卡、安装结构、包边等系统组件；</w:t>
      </w:r>
    </w:p>
    <w:p>
      <w:pPr>
        <w:pStyle w:val="2"/>
        <w:spacing w:before="120" w:after="120" w:line="360" w:lineRule="auto"/>
        <w:rPr>
          <w:rFonts w:ascii="黑体" w:hAnsi="黑体" w:eastAsia="黑体"/>
          <w:sz w:val="32"/>
        </w:rPr>
      </w:pPr>
      <w:r>
        <w:rPr>
          <w:rFonts w:hint="eastAsia" w:ascii="黑体" w:hAnsi="黑体" w:eastAsia="黑体"/>
          <w:sz w:val="32"/>
          <w:lang w:val="en-US" w:eastAsia="zh-CN"/>
        </w:rPr>
        <w:t>施工要求</w:t>
      </w:r>
      <w:bookmarkEnd w:id="9"/>
    </w:p>
    <w:p>
      <w:pPr>
        <w:pStyle w:val="70"/>
        <w:keepNext/>
        <w:keepLines/>
        <w:numPr>
          <w:ilvl w:val="0"/>
          <w:numId w:val="17"/>
        </w:numPr>
        <w:adjustRightInd w:val="0"/>
        <w:snapToGrid w:val="0"/>
        <w:spacing w:before="72" w:beforeLines="30"/>
        <w:ind w:firstLineChars="0"/>
        <w:outlineLvl w:val="1"/>
        <w:rPr>
          <w:rFonts w:ascii="宋体" w:hAnsi="宋体" w:eastAsia="楷体_GB2312"/>
          <w:b/>
          <w:bCs/>
          <w:vanish/>
          <w:sz w:val="24"/>
          <w:szCs w:val="30"/>
        </w:rPr>
      </w:pPr>
      <w:bookmarkStart w:id="29" w:name="_Toc451093500"/>
      <w:bookmarkEnd w:id="29"/>
      <w:bookmarkStart w:id="30" w:name="_Toc450170363"/>
      <w:bookmarkEnd w:id="30"/>
      <w:bookmarkStart w:id="31" w:name="_Toc451074289"/>
      <w:bookmarkEnd w:id="31"/>
      <w:bookmarkStart w:id="32" w:name="_Toc450167208"/>
      <w:bookmarkEnd w:id="32"/>
      <w:bookmarkStart w:id="33" w:name="_Toc450167409"/>
      <w:bookmarkEnd w:id="33"/>
      <w:bookmarkStart w:id="34" w:name="_Toc450171550"/>
      <w:bookmarkEnd w:id="34"/>
      <w:bookmarkStart w:id="35" w:name="_Toc450167798"/>
      <w:bookmarkEnd w:id="35"/>
      <w:bookmarkStart w:id="36" w:name="_Toc450166850"/>
      <w:bookmarkEnd w:id="36"/>
      <w:bookmarkStart w:id="37" w:name="_Toc451093302"/>
      <w:bookmarkEnd w:id="37"/>
      <w:bookmarkStart w:id="38" w:name="_Toc450167550"/>
      <w:bookmarkEnd w:id="38"/>
      <w:bookmarkStart w:id="39" w:name="_Toc450167506"/>
      <w:bookmarkEnd w:id="39"/>
      <w:bookmarkStart w:id="40" w:name="_Toc450167365"/>
      <w:bookmarkEnd w:id="40"/>
      <w:bookmarkStart w:id="41" w:name="_Toc451676598"/>
      <w:bookmarkEnd w:id="41"/>
      <w:bookmarkStart w:id="42" w:name="_Toc450167462"/>
      <w:bookmarkEnd w:id="42"/>
      <w:bookmarkStart w:id="43" w:name="_Toc451093236"/>
      <w:bookmarkEnd w:id="43"/>
      <w:bookmarkStart w:id="44" w:name="_Toc451676532"/>
      <w:bookmarkEnd w:id="44"/>
      <w:bookmarkStart w:id="45" w:name="_Toc451757620"/>
      <w:bookmarkEnd w:id="45"/>
      <w:bookmarkStart w:id="46" w:name="_Toc451074411"/>
      <w:bookmarkEnd w:id="46"/>
      <w:bookmarkStart w:id="47" w:name="_Toc450167729"/>
      <w:bookmarkEnd w:id="47"/>
      <w:bookmarkStart w:id="48" w:name="_Toc450167275"/>
      <w:bookmarkEnd w:id="48"/>
      <w:bookmarkStart w:id="49" w:name="_Toc450914854"/>
      <w:bookmarkEnd w:id="49"/>
      <w:bookmarkStart w:id="50" w:name="_Toc451074343"/>
      <w:bookmarkEnd w:id="50"/>
    </w:p>
    <w:p>
      <w:pPr>
        <w:pStyle w:val="70"/>
        <w:keepNext/>
        <w:keepLines/>
        <w:numPr>
          <w:ilvl w:val="0"/>
          <w:numId w:val="18"/>
        </w:numPr>
        <w:tabs>
          <w:tab w:val="left" w:pos="420"/>
        </w:tabs>
        <w:ind w:firstLineChars="0"/>
        <w:outlineLvl w:val="1"/>
        <w:rPr>
          <w:rFonts w:ascii="宋体" w:hAnsi="宋体"/>
          <w:b/>
          <w:bCs/>
          <w:vanish/>
          <w:sz w:val="24"/>
          <w:szCs w:val="30"/>
        </w:rPr>
      </w:pPr>
      <w:bookmarkStart w:id="51" w:name="_Toc450167730"/>
      <w:bookmarkEnd w:id="51"/>
      <w:bookmarkStart w:id="52" w:name="_Toc451074412"/>
      <w:bookmarkEnd w:id="52"/>
      <w:bookmarkStart w:id="53" w:name="_Toc450167276"/>
      <w:bookmarkEnd w:id="53"/>
      <w:bookmarkStart w:id="54" w:name="_Toc451093237"/>
      <w:bookmarkEnd w:id="54"/>
      <w:bookmarkStart w:id="55" w:name="_Toc451093501"/>
      <w:bookmarkEnd w:id="55"/>
      <w:bookmarkStart w:id="56" w:name="_Toc450167410"/>
      <w:bookmarkEnd w:id="56"/>
      <w:bookmarkStart w:id="57" w:name="_Toc451093303"/>
      <w:bookmarkEnd w:id="57"/>
      <w:bookmarkStart w:id="58" w:name="_Toc450171551"/>
      <w:bookmarkEnd w:id="58"/>
      <w:bookmarkStart w:id="59" w:name="_Toc451757621"/>
      <w:bookmarkEnd w:id="59"/>
      <w:bookmarkStart w:id="60" w:name="_Toc451074290"/>
      <w:bookmarkEnd w:id="60"/>
      <w:bookmarkStart w:id="61" w:name="_Toc451074344"/>
      <w:bookmarkEnd w:id="61"/>
      <w:bookmarkStart w:id="62" w:name="_Toc450167463"/>
      <w:bookmarkEnd w:id="62"/>
      <w:bookmarkStart w:id="63" w:name="_Toc450167551"/>
      <w:bookmarkEnd w:id="63"/>
      <w:bookmarkStart w:id="64" w:name="_Toc451676533"/>
      <w:bookmarkEnd w:id="64"/>
      <w:bookmarkStart w:id="65" w:name="_Toc450167507"/>
      <w:bookmarkEnd w:id="65"/>
      <w:bookmarkStart w:id="66" w:name="_Toc450166851"/>
      <w:bookmarkEnd w:id="66"/>
      <w:bookmarkStart w:id="67" w:name="_Toc450167799"/>
      <w:bookmarkEnd w:id="67"/>
      <w:bookmarkStart w:id="68" w:name="_Toc450170364"/>
      <w:bookmarkEnd w:id="68"/>
      <w:bookmarkStart w:id="69" w:name="_Toc450167209"/>
      <w:bookmarkEnd w:id="69"/>
      <w:bookmarkStart w:id="70" w:name="_Toc450167366"/>
      <w:bookmarkEnd w:id="70"/>
      <w:bookmarkStart w:id="71" w:name="_Toc451676599"/>
      <w:bookmarkEnd w:id="71"/>
      <w:bookmarkStart w:id="72" w:name="_Toc450914855"/>
      <w:bookmarkEnd w:id="72"/>
    </w:p>
    <w:p>
      <w:pPr>
        <w:pStyle w:val="70"/>
        <w:keepNext/>
        <w:keepLines/>
        <w:numPr>
          <w:ilvl w:val="0"/>
          <w:numId w:val="18"/>
        </w:numPr>
        <w:tabs>
          <w:tab w:val="left" w:pos="420"/>
        </w:tabs>
        <w:ind w:firstLineChars="0"/>
        <w:outlineLvl w:val="1"/>
        <w:rPr>
          <w:rFonts w:ascii="宋体" w:hAnsi="宋体"/>
          <w:b/>
          <w:bCs/>
          <w:vanish/>
          <w:sz w:val="24"/>
          <w:szCs w:val="30"/>
        </w:rPr>
      </w:pPr>
      <w:bookmarkStart w:id="73" w:name="_Toc451676534"/>
      <w:bookmarkEnd w:id="73"/>
      <w:bookmarkStart w:id="74" w:name="_Toc451093238"/>
      <w:bookmarkEnd w:id="74"/>
      <w:bookmarkStart w:id="75" w:name="_Toc451093304"/>
      <w:bookmarkEnd w:id="75"/>
      <w:bookmarkStart w:id="76" w:name="_Toc451676600"/>
      <w:bookmarkEnd w:id="76"/>
      <w:bookmarkStart w:id="77" w:name="_Toc451757622"/>
      <w:bookmarkEnd w:id="77"/>
      <w:bookmarkStart w:id="78" w:name="_Toc451093502"/>
      <w:bookmarkEnd w:id="78"/>
    </w:p>
    <w:p>
      <w:pPr>
        <w:pStyle w:val="70"/>
        <w:numPr>
          <w:ilvl w:val="0"/>
          <w:numId w:val="19"/>
        </w:numPr>
        <w:ind w:firstLineChars="0"/>
        <w:outlineLvl w:val="1"/>
        <w:rPr>
          <w:b/>
          <w:vanish/>
          <w:sz w:val="28"/>
        </w:rPr>
      </w:pPr>
      <w:bookmarkStart w:id="79" w:name="_Toc451676601"/>
      <w:bookmarkEnd w:id="79"/>
      <w:bookmarkStart w:id="80" w:name="_Toc451093503"/>
      <w:bookmarkEnd w:id="80"/>
      <w:bookmarkStart w:id="81" w:name="_Toc451093305"/>
      <w:bookmarkEnd w:id="81"/>
      <w:bookmarkStart w:id="82" w:name="_Toc451093239"/>
      <w:bookmarkEnd w:id="82"/>
      <w:bookmarkStart w:id="83" w:name="_Toc451757623"/>
      <w:bookmarkEnd w:id="83"/>
      <w:bookmarkStart w:id="84" w:name="_Toc451676535"/>
      <w:bookmarkEnd w:id="84"/>
    </w:p>
    <w:p>
      <w:pPr>
        <w:pStyle w:val="70"/>
        <w:numPr>
          <w:ilvl w:val="0"/>
          <w:numId w:val="20"/>
        </w:numPr>
        <w:tabs>
          <w:tab w:val="left" w:pos="432"/>
        </w:tabs>
        <w:ind w:firstLineChars="0"/>
        <w:outlineLvl w:val="1"/>
        <w:rPr>
          <w:b/>
          <w:vanish/>
          <w:sz w:val="28"/>
        </w:rPr>
      </w:pPr>
      <w:bookmarkStart w:id="85" w:name="_Toc451093240"/>
      <w:bookmarkEnd w:id="85"/>
      <w:bookmarkStart w:id="86" w:name="_Toc451676536"/>
      <w:bookmarkEnd w:id="86"/>
      <w:bookmarkStart w:id="87" w:name="_Toc451093306"/>
      <w:bookmarkEnd w:id="87"/>
      <w:bookmarkStart w:id="88" w:name="_Toc451676602"/>
      <w:bookmarkEnd w:id="88"/>
      <w:bookmarkStart w:id="89" w:name="_Toc451757624"/>
      <w:bookmarkEnd w:id="89"/>
      <w:bookmarkStart w:id="90" w:name="_Toc451093504"/>
      <w:bookmarkEnd w:id="90"/>
    </w:p>
    <w:p>
      <w:pPr>
        <w:pStyle w:val="70"/>
        <w:numPr>
          <w:ilvl w:val="0"/>
          <w:numId w:val="20"/>
        </w:numPr>
        <w:tabs>
          <w:tab w:val="left" w:pos="432"/>
        </w:tabs>
        <w:ind w:firstLineChars="0"/>
        <w:outlineLvl w:val="1"/>
        <w:rPr>
          <w:b/>
          <w:vanish/>
          <w:sz w:val="28"/>
        </w:rPr>
      </w:pPr>
      <w:bookmarkStart w:id="91" w:name="_Toc451093505"/>
      <w:bookmarkEnd w:id="91"/>
      <w:bookmarkStart w:id="92" w:name="_Toc451757625"/>
      <w:bookmarkEnd w:id="92"/>
      <w:bookmarkStart w:id="93" w:name="_Toc451676537"/>
      <w:bookmarkEnd w:id="93"/>
      <w:bookmarkStart w:id="94" w:name="_Toc451093241"/>
      <w:bookmarkEnd w:id="94"/>
      <w:bookmarkStart w:id="95" w:name="_Toc451676603"/>
      <w:bookmarkEnd w:id="95"/>
      <w:bookmarkStart w:id="96" w:name="_Toc451093307"/>
      <w:bookmarkEnd w:id="96"/>
    </w:p>
    <w:p>
      <w:pPr>
        <w:pStyle w:val="70"/>
        <w:numPr>
          <w:ilvl w:val="0"/>
          <w:numId w:val="20"/>
        </w:numPr>
        <w:tabs>
          <w:tab w:val="left" w:pos="432"/>
        </w:tabs>
        <w:ind w:firstLineChars="0"/>
        <w:outlineLvl w:val="1"/>
        <w:rPr>
          <w:b/>
          <w:vanish/>
          <w:sz w:val="28"/>
        </w:rPr>
      </w:pPr>
      <w:bookmarkStart w:id="97" w:name="_Toc451093242"/>
      <w:bookmarkEnd w:id="97"/>
      <w:bookmarkStart w:id="98" w:name="_Toc451093308"/>
      <w:bookmarkEnd w:id="98"/>
      <w:bookmarkStart w:id="99" w:name="_Toc451676604"/>
      <w:bookmarkEnd w:id="99"/>
      <w:bookmarkStart w:id="100" w:name="_Toc451757626"/>
      <w:bookmarkEnd w:id="100"/>
      <w:bookmarkStart w:id="101" w:name="_Toc451093506"/>
      <w:bookmarkEnd w:id="101"/>
      <w:bookmarkStart w:id="102" w:name="_Toc451676538"/>
      <w:bookmarkEnd w:id="102"/>
    </w:p>
    <w:p>
      <w:pPr>
        <w:pStyle w:val="70"/>
        <w:numPr>
          <w:ilvl w:val="0"/>
          <w:numId w:val="20"/>
        </w:numPr>
        <w:tabs>
          <w:tab w:val="left" w:pos="432"/>
        </w:tabs>
        <w:ind w:firstLineChars="0"/>
        <w:outlineLvl w:val="1"/>
        <w:rPr>
          <w:b/>
          <w:vanish/>
          <w:sz w:val="28"/>
        </w:rPr>
      </w:pPr>
      <w:bookmarkStart w:id="103" w:name="_Toc451757627"/>
      <w:bookmarkEnd w:id="103"/>
      <w:bookmarkStart w:id="104" w:name="_Toc451093507"/>
      <w:bookmarkEnd w:id="104"/>
      <w:bookmarkStart w:id="105" w:name="_Toc451093309"/>
      <w:bookmarkEnd w:id="105"/>
      <w:bookmarkStart w:id="106" w:name="_Toc451093243"/>
      <w:bookmarkEnd w:id="106"/>
      <w:bookmarkStart w:id="107" w:name="_Toc451676605"/>
      <w:bookmarkEnd w:id="107"/>
      <w:bookmarkStart w:id="108" w:name="_Toc451676539"/>
      <w:bookmarkEnd w:id="108"/>
    </w:p>
    <w:p>
      <w:pPr>
        <w:pStyle w:val="3"/>
        <w:spacing w:before="120" w:after="120" w:line="360" w:lineRule="auto"/>
        <w:rPr>
          <w:rFonts w:ascii="黑体" w:hAnsi="黑体" w:eastAsia="黑体"/>
          <w:sz w:val="28"/>
        </w:rPr>
      </w:pPr>
      <w:bookmarkStart w:id="109" w:name="_Toc451757628"/>
      <w:r>
        <w:rPr>
          <w:rFonts w:hint="eastAsia" w:ascii="黑体" w:hAnsi="黑体" w:eastAsia="黑体"/>
          <w:sz w:val="28"/>
        </w:rPr>
        <w:t>一般要求</w:t>
      </w:r>
      <w:bookmarkEnd w:id="109"/>
    </w:p>
    <w:p>
      <w:pPr>
        <w:adjustRightInd w:val="0"/>
        <w:snapToGrid w:val="0"/>
        <w:spacing w:line="360" w:lineRule="auto"/>
        <w:ind w:left="420" w:leftChars="200"/>
        <w:rPr>
          <w:rFonts w:ascii="宋体" w:hAnsi="宋体"/>
          <w:color w:val="000000"/>
          <w:sz w:val="24"/>
        </w:rPr>
      </w:pPr>
      <w:r>
        <w:rPr>
          <w:rFonts w:hint="eastAsia" w:ascii="宋体" w:hAnsi="宋体"/>
          <w:color w:val="000000"/>
          <w:sz w:val="24"/>
        </w:rPr>
        <w:t>1）投标方应根据以下供货范围一览表进行供货，为确保工程整体效果，在不改变其它功能要求情况下，投标方应补充清单中遗漏的产品。</w:t>
      </w:r>
    </w:p>
    <w:p>
      <w:pPr>
        <w:adjustRightInd w:val="0"/>
        <w:snapToGrid w:val="0"/>
        <w:spacing w:line="360" w:lineRule="auto"/>
        <w:ind w:left="420" w:leftChars="200"/>
        <w:rPr>
          <w:rFonts w:ascii="宋体" w:hAnsi="宋体"/>
          <w:color w:val="000000"/>
          <w:sz w:val="24"/>
        </w:rPr>
      </w:pPr>
      <w:r>
        <w:rPr>
          <w:rFonts w:hint="eastAsia" w:ascii="宋体" w:hAnsi="宋体"/>
          <w:color w:val="000000"/>
          <w:sz w:val="24"/>
        </w:rPr>
        <w:t>2）投标方可根据总体功能进行方案优化，对优化方案进行报价作为招标方参考。</w:t>
      </w:r>
    </w:p>
    <w:p>
      <w:pPr>
        <w:adjustRightInd w:val="0"/>
        <w:snapToGrid w:val="0"/>
        <w:spacing w:line="360" w:lineRule="auto"/>
        <w:ind w:left="420" w:leftChars="200"/>
        <w:rPr>
          <w:rFonts w:ascii="宋体" w:hAnsi="宋体"/>
          <w:color w:val="000000"/>
          <w:sz w:val="24"/>
        </w:rPr>
      </w:pPr>
      <w:r>
        <w:rPr>
          <w:rFonts w:hint="eastAsia" w:ascii="宋体" w:hAnsi="宋体"/>
          <w:color w:val="000000"/>
          <w:sz w:val="24"/>
        </w:rPr>
        <w:t>3）投标方提供的设备应包含所有安装的辅助材料，投标方可根据功能及现场情况确定材料的多少。</w:t>
      </w:r>
    </w:p>
    <w:p>
      <w:pPr>
        <w:adjustRightInd w:val="0"/>
        <w:snapToGrid w:val="0"/>
        <w:spacing w:line="360" w:lineRule="auto"/>
        <w:ind w:left="420" w:leftChars="200"/>
        <w:rPr>
          <w:rFonts w:ascii="宋体" w:hAnsi="宋体"/>
          <w:color w:val="000000"/>
          <w:sz w:val="24"/>
        </w:rPr>
      </w:pPr>
      <w:r>
        <w:rPr>
          <w:rFonts w:hint="eastAsia" w:ascii="宋体" w:hAnsi="宋体"/>
          <w:color w:val="000000"/>
          <w:sz w:val="24"/>
        </w:rPr>
        <w:t>4）为确保方案整体功能的完整性，投标方可根据实际需要增加或减少所必须的设备和材料，但必须对原有方案进行详细说明。若出现功能性的差异，投标方在中标后应无条件免费补充。</w:t>
      </w:r>
    </w:p>
    <w:p>
      <w:pPr>
        <w:adjustRightInd w:val="0"/>
        <w:snapToGrid w:val="0"/>
        <w:spacing w:line="360" w:lineRule="auto"/>
        <w:ind w:left="420" w:leftChars="200"/>
        <w:rPr>
          <w:rFonts w:ascii="宋体" w:hAnsi="宋体"/>
          <w:color w:val="000000"/>
          <w:sz w:val="24"/>
        </w:rPr>
      </w:pPr>
      <w:r>
        <w:rPr>
          <w:rFonts w:hint="eastAsia" w:ascii="宋体" w:hAnsi="宋体"/>
          <w:color w:val="000000"/>
          <w:sz w:val="24"/>
        </w:rPr>
        <w:t>5）投标方所报设备价格包括了相应的材料、设备运输、安装和调试费用。</w:t>
      </w:r>
    </w:p>
    <w:p>
      <w:pPr>
        <w:pStyle w:val="3"/>
        <w:spacing w:before="120" w:after="120" w:line="360" w:lineRule="auto"/>
        <w:rPr>
          <w:rFonts w:ascii="黑体" w:hAnsi="黑体" w:eastAsia="黑体"/>
          <w:sz w:val="28"/>
        </w:rPr>
      </w:pPr>
      <w:bookmarkStart w:id="110" w:name="_Toc451757630"/>
      <w:r>
        <w:rPr>
          <w:rFonts w:hint="eastAsia" w:ascii="黑体" w:hAnsi="黑体" w:eastAsia="黑体"/>
          <w:sz w:val="28"/>
        </w:rPr>
        <w:t>安装和现场服务要求</w:t>
      </w:r>
      <w:bookmarkEnd w:id="110"/>
    </w:p>
    <w:p>
      <w:pPr>
        <w:numPr>
          <w:ilvl w:val="0"/>
          <w:numId w:val="2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投标方应根据买方提供的安装环境、做出安装方案，经双方讨论，确认后，作为安装的依据。</w:t>
      </w:r>
    </w:p>
    <w:p>
      <w:pPr>
        <w:numPr>
          <w:ilvl w:val="0"/>
          <w:numId w:val="2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投标方负责提供设备在用户现场安装、调试，招标方给予必要的合作。</w:t>
      </w:r>
    </w:p>
    <w:p>
      <w:pPr>
        <w:numPr>
          <w:ilvl w:val="0"/>
          <w:numId w:val="2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投标方应指定足够的现场服务人员，负责设备安装调试工作。投标方应对所有安装工作的正确性负责。</w:t>
      </w:r>
    </w:p>
    <w:p>
      <w:pPr>
        <w:numPr>
          <w:ilvl w:val="0"/>
          <w:numId w:val="2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投标方指定的工地代表，应在合同范围内全面与买方工地代表充分合作与协商，以解决合同有关的技术和工作问题。双方的工地代表，未经双方授权，无权变更和修改合同。</w:t>
      </w:r>
    </w:p>
    <w:p>
      <w:pPr>
        <w:numPr>
          <w:ilvl w:val="0"/>
          <w:numId w:val="2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投标方技术人员代表投标方，完成合同规定有关设备的技术服务，安装、调试和验收试验。</w:t>
      </w:r>
    </w:p>
    <w:p>
      <w:pPr>
        <w:numPr>
          <w:ilvl w:val="0"/>
          <w:numId w:val="2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投标方应对买方人员详细地解释技术文件、图纸、运行和维护手册、设备特性、分析方法和有关的注意事项等，解答和解决买方在合同范围内提出的技术问题。</w:t>
      </w:r>
    </w:p>
    <w:p>
      <w:pPr>
        <w:numPr>
          <w:ilvl w:val="0"/>
          <w:numId w:val="2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投标方安装流程应是正确的，如因错误安装而引起设备和材料的损坏，投标方应负责修复、更换和（或）补充，其费用由投标方承担，该费用还包括进行修补期间所发生的服务费。</w:t>
      </w:r>
    </w:p>
    <w:p>
      <w:pPr>
        <w:numPr>
          <w:ilvl w:val="0"/>
          <w:numId w:val="2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代表应充分理解买方对安装、调试工作提出的技术和质量方面的意见和建议，使设备的安装、调试达到双方都满意的质量。如因投标方原因造成安装或试验工作拖期，买方有权要求投标方人员继续留在现场服务，且费用由投标方自理。</w:t>
      </w:r>
    </w:p>
    <w:p>
      <w:pPr>
        <w:pStyle w:val="3"/>
        <w:spacing w:before="120" w:after="120" w:line="360" w:lineRule="auto"/>
        <w:rPr>
          <w:rFonts w:ascii="黑体" w:hAnsi="黑体" w:eastAsia="黑体"/>
          <w:sz w:val="28"/>
        </w:rPr>
      </w:pPr>
      <w:bookmarkStart w:id="111" w:name="_Toc451757631"/>
      <w:r>
        <w:rPr>
          <w:rFonts w:hint="eastAsia" w:ascii="黑体" w:hAnsi="黑体" w:eastAsia="黑体"/>
          <w:sz w:val="28"/>
        </w:rPr>
        <w:t>包装、运输、贮存和质量保证</w:t>
      </w:r>
      <w:bookmarkEnd w:id="111"/>
    </w:p>
    <w:p>
      <w:pPr>
        <w:numPr>
          <w:ilvl w:val="0"/>
          <w:numId w:val="22"/>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设备制造完成并通过试验后应及时包装，否则应得到切实的保护，确保其不受污损。</w:t>
      </w:r>
    </w:p>
    <w:p>
      <w:pPr>
        <w:numPr>
          <w:ilvl w:val="0"/>
          <w:numId w:val="22"/>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所有部件经妥善包装或装箱后，运输过程中尚应采取其它防护措施，以免散失损坏或被盗。</w:t>
      </w:r>
    </w:p>
    <w:p>
      <w:pPr>
        <w:numPr>
          <w:ilvl w:val="0"/>
          <w:numId w:val="22"/>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在包装箱外应标明需方的订货号、发货号。</w:t>
      </w:r>
    </w:p>
    <w:p>
      <w:pPr>
        <w:numPr>
          <w:ilvl w:val="0"/>
          <w:numId w:val="22"/>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各种包装应能确保各零部件在运输过程中不致遭到损坏、丢失、变形、受潮和腐蚀。</w:t>
      </w:r>
    </w:p>
    <w:p>
      <w:pPr>
        <w:numPr>
          <w:ilvl w:val="0"/>
          <w:numId w:val="22"/>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包装箱上应有明显的包装储运图示标志(按GB191)。</w:t>
      </w:r>
    </w:p>
    <w:p>
      <w:pPr>
        <w:numPr>
          <w:ilvl w:val="0"/>
          <w:numId w:val="22"/>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整体产品或分别运输的部件都要适合运输和装载的要求。</w:t>
      </w:r>
    </w:p>
    <w:p>
      <w:pPr>
        <w:numPr>
          <w:ilvl w:val="0"/>
          <w:numId w:val="22"/>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随产品提供的技术资料应完整无缺，提供份额符合GB11032的要求。</w:t>
      </w:r>
    </w:p>
    <w:p>
      <w:pPr>
        <w:numPr>
          <w:ilvl w:val="0"/>
          <w:numId w:val="22"/>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包装、运输和贮存均由投标方负责，运输的目的地为安装地点，设备抵达目的地后，投标方组织开箱验收。如果发现任一设备有偏差、损坏、损失、遗漏或数量、质量、技术规范因投标方的责任与合同不符，招标方有权向投标方提出索赔。</w:t>
      </w:r>
    </w:p>
    <w:p>
      <w:pPr>
        <w:numPr>
          <w:ilvl w:val="0"/>
          <w:numId w:val="22"/>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订购的新产品除应满足本条件书外，投标方还应提供产品的合格证书。</w:t>
      </w:r>
    </w:p>
    <w:p>
      <w:pPr>
        <w:numPr>
          <w:ilvl w:val="0"/>
          <w:numId w:val="22"/>
        </w:numPr>
        <w:adjustRightInd w:val="0"/>
        <w:snapToGrid w:val="0"/>
        <w:spacing w:line="360" w:lineRule="auto"/>
        <w:ind w:left="0"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投标方应保证制造过程中的所有工艺、材料等（包括投标方的外构件在内）均应符合规范书的规定。若招标方根据运行经验指定投标方提供某种外购零部件，投标方应积极配合。</w:t>
      </w:r>
    </w:p>
    <w:p>
      <w:pPr>
        <w:numPr>
          <w:ilvl w:val="0"/>
          <w:numId w:val="22"/>
        </w:numPr>
        <w:adjustRightInd w:val="0"/>
        <w:snapToGrid w:val="0"/>
        <w:spacing w:line="360" w:lineRule="auto"/>
        <w:ind w:left="0"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投标方应遵守本条件书中各条款和工作项目的ISO9000  GB/T1900 质量保证体系，该质量保证体系经过国家认证和正常运转。</w:t>
      </w:r>
    </w:p>
    <w:p>
      <w:pPr>
        <w:pStyle w:val="3"/>
        <w:spacing w:before="120" w:after="120" w:line="360" w:lineRule="auto"/>
        <w:rPr>
          <w:rFonts w:hint="eastAsia" w:ascii="黑体" w:hAnsi="黑体" w:eastAsia="黑体" w:cs="Times New Roman"/>
          <w:b/>
          <w:bCs/>
          <w:sz w:val="28"/>
        </w:rPr>
      </w:pPr>
      <w:bookmarkStart w:id="112" w:name="_Toc451757643"/>
      <w:r>
        <w:rPr>
          <w:rFonts w:hint="default" w:ascii="黑体" w:hAnsi="黑体" w:eastAsia="黑体" w:cs="Times New Roman"/>
          <w:b/>
          <w:bCs/>
          <w:sz w:val="28"/>
        </w:rPr>
        <w:t>验收</w:t>
      </w:r>
      <w:bookmarkEnd w:id="112"/>
    </w:p>
    <w:p>
      <w:pPr>
        <w:pStyle w:val="70"/>
        <w:numPr>
          <w:ilvl w:val="0"/>
          <w:numId w:val="23"/>
        </w:numPr>
        <w:overflowPunct w:val="0"/>
        <w:autoSpaceDE w:val="0"/>
        <w:autoSpaceDN w:val="0"/>
        <w:adjustRightInd w:val="0"/>
        <w:snapToGrid w:val="0"/>
        <w:spacing w:before="72" w:beforeLines="30" w:after="120" w:afterLines="50"/>
        <w:ind w:firstLineChars="0"/>
        <w:textAlignment w:val="baseline"/>
        <w:outlineLvl w:val="1"/>
        <w:rPr>
          <w:rFonts w:ascii="宋体" w:hAnsi="宋体"/>
          <w:b/>
          <w:vanish/>
          <w:kern w:val="0"/>
        </w:rPr>
      </w:pPr>
      <w:bookmarkStart w:id="113" w:name="_Toc450167220"/>
      <w:bookmarkEnd w:id="113"/>
      <w:bookmarkStart w:id="114" w:name="_Toc450166862"/>
      <w:bookmarkEnd w:id="114"/>
      <w:bookmarkStart w:id="115" w:name="_Toc451757644"/>
      <w:bookmarkEnd w:id="115"/>
      <w:bookmarkStart w:id="116" w:name="_Toc450167421"/>
      <w:bookmarkEnd w:id="116"/>
      <w:bookmarkStart w:id="117" w:name="_Toc451074301"/>
      <w:bookmarkEnd w:id="117"/>
      <w:bookmarkStart w:id="118" w:name="_Toc445921665"/>
      <w:bookmarkEnd w:id="118"/>
      <w:bookmarkStart w:id="119" w:name="_Toc451093322"/>
      <w:bookmarkEnd w:id="119"/>
      <w:bookmarkStart w:id="120" w:name="_Toc451074423"/>
      <w:bookmarkEnd w:id="120"/>
      <w:bookmarkStart w:id="121" w:name="_Toc451676618"/>
      <w:bookmarkEnd w:id="121"/>
      <w:bookmarkStart w:id="122" w:name="_Toc451074355"/>
      <w:bookmarkEnd w:id="122"/>
      <w:bookmarkStart w:id="123" w:name="_Toc450167741"/>
      <w:bookmarkEnd w:id="123"/>
      <w:bookmarkStart w:id="124" w:name="_Toc450167377"/>
      <w:bookmarkEnd w:id="124"/>
      <w:bookmarkStart w:id="125" w:name="_Toc450167518"/>
      <w:bookmarkEnd w:id="125"/>
      <w:bookmarkStart w:id="126" w:name="_Toc450167562"/>
      <w:bookmarkEnd w:id="126"/>
      <w:bookmarkStart w:id="127" w:name="_Toc450167810"/>
      <w:bookmarkEnd w:id="127"/>
      <w:bookmarkStart w:id="128" w:name="_Toc451093256"/>
      <w:bookmarkEnd w:id="128"/>
      <w:bookmarkStart w:id="129" w:name="_Toc448994735"/>
      <w:bookmarkEnd w:id="129"/>
      <w:bookmarkStart w:id="130" w:name="_Toc450167287"/>
      <w:bookmarkEnd w:id="130"/>
      <w:bookmarkStart w:id="131" w:name="_Toc445737439"/>
      <w:bookmarkEnd w:id="131"/>
      <w:bookmarkStart w:id="132" w:name="_Toc446599551"/>
      <w:bookmarkEnd w:id="132"/>
      <w:bookmarkStart w:id="133" w:name="_Toc451093520"/>
      <w:bookmarkEnd w:id="133"/>
      <w:bookmarkStart w:id="134" w:name="_Toc450170375"/>
      <w:bookmarkEnd w:id="134"/>
      <w:bookmarkStart w:id="135" w:name="_Toc450914866"/>
      <w:bookmarkEnd w:id="135"/>
      <w:bookmarkStart w:id="136" w:name="_Toc451676552"/>
      <w:bookmarkEnd w:id="136"/>
      <w:bookmarkStart w:id="137" w:name="_Toc450167474"/>
      <w:bookmarkEnd w:id="137"/>
      <w:bookmarkStart w:id="138" w:name="_Toc445921435"/>
      <w:bookmarkEnd w:id="138"/>
      <w:bookmarkStart w:id="139" w:name="_Toc446599691"/>
      <w:bookmarkEnd w:id="139"/>
      <w:bookmarkStart w:id="140" w:name="_Toc450163740"/>
      <w:bookmarkEnd w:id="140"/>
      <w:bookmarkStart w:id="141" w:name="_Toc445716102"/>
      <w:bookmarkEnd w:id="141"/>
      <w:bookmarkStart w:id="142" w:name="_Toc450171562"/>
      <w:bookmarkEnd w:id="142"/>
      <w:r>
        <w:rPr>
          <w:rFonts w:hint="eastAsia" w:ascii="宋体" w:hAnsi="宋体"/>
          <w:b/>
          <w:vanish/>
          <w:kern w:val="0"/>
          <w:lang w:val="en-US" w:eastAsia="zh-CN"/>
        </w:rPr>
        <w:t>工程工厂</w:t>
      </w:r>
    </w:p>
    <w:p>
      <w:pPr>
        <w:pStyle w:val="70"/>
        <w:numPr>
          <w:ilvl w:val="0"/>
          <w:numId w:val="23"/>
        </w:numPr>
        <w:overflowPunct w:val="0"/>
        <w:autoSpaceDE w:val="0"/>
        <w:autoSpaceDN w:val="0"/>
        <w:adjustRightInd w:val="0"/>
        <w:snapToGrid w:val="0"/>
        <w:spacing w:before="72" w:beforeLines="30" w:after="120" w:afterLines="50"/>
        <w:ind w:firstLineChars="0"/>
        <w:textAlignment w:val="baseline"/>
        <w:outlineLvl w:val="1"/>
        <w:rPr>
          <w:rFonts w:ascii="宋体" w:hAnsi="宋体"/>
          <w:b/>
          <w:vanish/>
          <w:kern w:val="0"/>
        </w:rPr>
      </w:pPr>
      <w:bookmarkStart w:id="143" w:name="_Toc445921666"/>
      <w:bookmarkEnd w:id="143"/>
      <w:bookmarkStart w:id="144" w:name="_Toc451093257"/>
      <w:bookmarkEnd w:id="144"/>
      <w:bookmarkStart w:id="145" w:name="_Toc451093323"/>
      <w:bookmarkEnd w:id="145"/>
      <w:bookmarkStart w:id="146" w:name="_Toc450914867"/>
      <w:bookmarkEnd w:id="146"/>
      <w:bookmarkStart w:id="147" w:name="_Toc445921436"/>
      <w:bookmarkEnd w:id="147"/>
      <w:bookmarkStart w:id="148" w:name="_Toc450167378"/>
      <w:bookmarkEnd w:id="148"/>
      <w:bookmarkStart w:id="149" w:name="_Toc451676553"/>
      <w:bookmarkEnd w:id="149"/>
      <w:bookmarkStart w:id="150" w:name="_Toc446599692"/>
      <w:bookmarkEnd w:id="150"/>
      <w:bookmarkStart w:id="151" w:name="_Toc450167519"/>
      <w:bookmarkEnd w:id="151"/>
      <w:bookmarkStart w:id="152" w:name="_Toc445737440"/>
      <w:bookmarkEnd w:id="152"/>
      <w:bookmarkStart w:id="153" w:name="_Toc450170376"/>
      <w:bookmarkEnd w:id="153"/>
      <w:bookmarkStart w:id="154" w:name="_Toc450166863"/>
      <w:bookmarkEnd w:id="154"/>
      <w:bookmarkStart w:id="155" w:name="_Toc450167742"/>
      <w:bookmarkEnd w:id="155"/>
      <w:bookmarkStart w:id="156" w:name="_Toc450171563"/>
      <w:bookmarkEnd w:id="156"/>
      <w:bookmarkStart w:id="157" w:name="_Toc450167563"/>
      <w:bookmarkEnd w:id="157"/>
      <w:bookmarkStart w:id="158" w:name="_Toc450167422"/>
      <w:bookmarkEnd w:id="158"/>
      <w:bookmarkStart w:id="159" w:name="_Toc450167221"/>
      <w:bookmarkEnd w:id="159"/>
      <w:bookmarkStart w:id="160" w:name="_Toc451074302"/>
      <w:bookmarkEnd w:id="160"/>
      <w:bookmarkStart w:id="161" w:name="_Toc451074356"/>
      <w:bookmarkEnd w:id="161"/>
      <w:bookmarkStart w:id="162" w:name="_Toc451093521"/>
      <w:bookmarkEnd w:id="162"/>
      <w:bookmarkStart w:id="163" w:name="_Toc451757645"/>
      <w:bookmarkEnd w:id="163"/>
      <w:bookmarkStart w:id="164" w:name="_Toc450163741"/>
      <w:bookmarkEnd w:id="164"/>
      <w:bookmarkStart w:id="165" w:name="_Toc450167475"/>
      <w:bookmarkEnd w:id="165"/>
      <w:bookmarkStart w:id="166" w:name="_Toc448994736"/>
      <w:bookmarkEnd w:id="166"/>
      <w:bookmarkStart w:id="167" w:name="_Toc446599552"/>
      <w:bookmarkEnd w:id="167"/>
      <w:bookmarkStart w:id="168" w:name="_Toc450167811"/>
      <w:bookmarkEnd w:id="168"/>
      <w:bookmarkStart w:id="169" w:name="_Toc451676619"/>
      <w:bookmarkEnd w:id="169"/>
      <w:bookmarkStart w:id="170" w:name="_Toc451074424"/>
      <w:bookmarkEnd w:id="170"/>
      <w:bookmarkStart w:id="171" w:name="_Toc445716103"/>
      <w:bookmarkEnd w:id="171"/>
      <w:bookmarkStart w:id="172" w:name="_Toc450167288"/>
      <w:bookmarkEnd w:id="172"/>
    </w:p>
    <w:p>
      <w:pPr>
        <w:pStyle w:val="70"/>
        <w:numPr>
          <w:ilvl w:val="0"/>
          <w:numId w:val="23"/>
        </w:numPr>
        <w:overflowPunct w:val="0"/>
        <w:autoSpaceDE w:val="0"/>
        <w:autoSpaceDN w:val="0"/>
        <w:adjustRightInd w:val="0"/>
        <w:snapToGrid w:val="0"/>
        <w:spacing w:before="72" w:beforeLines="30" w:after="120" w:afterLines="50"/>
        <w:ind w:firstLineChars="0"/>
        <w:textAlignment w:val="baseline"/>
        <w:outlineLvl w:val="1"/>
        <w:rPr>
          <w:rFonts w:ascii="宋体" w:hAnsi="宋体"/>
          <w:b/>
          <w:vanish/>
          <w:kern w:val="0"/>
        </w:rPr>
      </w:pPr>
      <w:bookmarkStart w:id="173" w:name="_Toc450166864"/>
      <w:bookmarkEnd w:id="173"/>
      <w:bookmarkStart w:id="174" w:name="_Toc451074357"/>
      <w:bookmarkEnd w:id="174"/>
      <w:bookmarkStart w:id="175" w:name="_Toc445737441"/>
      <w:bookmarkEnd w:id="175"/>
      <w:bookmarkStart w:id="176" w:name="_Toc450171564"/>
      <w:bookmarkEnd w:id="176"/>
      <w:bookmarkStart w:id="177" w:name="_Toc445716104"/>
      <w:bookmarkEnd w:id="177"/>
      <w:bookmarkStart w:id="178" w:name="_Toc450914868"/>
      <w:bookmarkEnd w:id="178"/>
      <w:bookmarkStart w:id="179" w:name="_Toc450167520"/>
      <w:bookmarkEnd w:id="179"/>
      <w:bookmarkStart w:id="180" w:name="_Toc450167289"/>
      <w:bookmarkEnd w:id="180"/>
      <w:bookmarkStart w:id="181" w:name="_Toc450167379"/>
      <w:bookmarkEnd w:id="181"/>
      <w:bookmarkStart w:id="182" w:name="_Toc446599553"/>
      <w:bookmarkEnd w:id="182"/>
      <w:bookmarkStart w:id="183" w:name="_Toc448994737"/>
      <w:bookmarkEnd w:id="183"/>
      <w:bookmarkStart w:id="184" w:name="_Toc450167423"/>
      <w:bookmarkEnd w:id="184"/>
      <w:bookmarkStart w:id="185" w:name="_Toc450170377"/>
      <w:bookmarkEnd w:id="185"/>
      <w:bookmarkStart w:id="186" w:name="_Toc445921667"/>
      <w:bookmarkEnd w:id="186"/>
      <w:bookmarkStart w:id="187" w:name="_Toc451093324"/>
      <w:bookmarkEnd w:id="187"/>
      <w:bookmarkStart w:id="188" w:name="_Toc451093522"/>
      <w:bookmarkEnd w:id="188"/>
      <w:bookmarkStart w:id="189" w:name="_Toc450167812"/>
      <w:bookmarkEnd w:id="189"/>
      <w:bookmarkStart w:id="190" w:name="_Toc451074425"/>
      <w:bookmarkEnd w:id="190"/>
      <w:bookmarkStart w:id="191" w:name="_Toc451093258"/>
      <w:bookmarkEnd w:id="191"/>
      <w:bookmarkStart w:id="192" w:name="_Toc450167564"/>
      <w:bookmarkEnd w:id="192"/>
      <w:bookmarkStart w:id="193" w:name="_Toc446599693"/>
      <w:bookmarkEnd w:id="193"/>
      <w:bookmarkStart w:id="194" w:name="_Toc450163742"/>
      <w:bookmarkEnd w:id="194"/>
      <w:bookmarkStart w:id="195" w:name="_Toc450167743"/>
      <w:bookmarkEnd w:id="195"/>
      <w:bookmarkStart w:id="196" w:name="_Toc450167476"/>
      <w:bookmarkEnd w:id="196"/>
      <w:bookmarkStart w:id="197" w:name="_Toc450167222"/>
      <w:bookmarkEnd w:id="197"/>
      <w:bookmarkStart w:id="198" w:name="_Toc451074303"/>
      <w:bookmarkEnd w:id="198"/>
      <w:bookmarkStart w:id="199" w:name="_Toc445921437"/>
      <w:bookmarkEnd w:id="199"/>
      <w:bookmarkStart w:id="200" w:name="_Toc451757646"/>
      <w:bookmarkEnd w:id="200"/>
      <w:bookmarkStart w:id="201" w:name="_Toc451676554"/>
      <w:bookmarkEnd w:id="201"/>
      <w:bookmarkStart w:id="202" w:name="_Toc451676620"/>
      <w:bookmarkEnd w:id="202"/>
    </w:p>
    <w:p>
      <w:pPr>
        <w:pStyle w:val="70"/>
        <w:keepNext/>
        <w:keepLines/>
        <w:numPr>
          <w:ilvl w:val="0"/>
          <w:numId w:val="18"/>
        </w:numPr>
        <w:tabs>
          <w:tab w:val="left" w:pos="420"/>
        </w:tabs>
        <w:ind w:firstLineChars="0"/>
        <w:outlineLvl w:val="1"/>
        <w:rPr>
          <w:rFonts w:ascii="宋体" w:hAnsi="宋体"/>
          <w:b/>
          <w:bCs/>
          <w:vanish/>
          <w:szCs w:val="30"/>
        </w:rPr>
      </w:pPr>
      <w:bookmarkStart w:id="203" w:name="_Toc450167565"/>
      <w:bookmarkEnd w:id="203"/>
      <w:bookmarkStart w:id="204" w:name="_Toc450167521"/>
      <w:bookmarkEnd w:id="204"/>
      <w:bookmarkStart w:id="205" w:name="_Toc450171565"/>
      <w:bookmarkEnd w:id="205"/>
      <w:bookmarkStart w:id="206" w:name="_Toc451093325"/>
      <w:bookmarkEnd w:id="206"/>
      <w:bookmarkStart w:id="207" w:name="_Toc451093523"/>
      <w:bookmarkEnd w:id="207"/>
      <w:bookmarkStart w:id="208" w:name="_Toc450914869"/>
      <w:bookmarkEnd w:id="208"/>
      <w:bookmarkStart w:id="209" w:name="_Toc451074358"/>
      <w:bookmarkEnd w:id="209"/>
      <w:bookmarkStart w:id="210" w:name="_Toc451676555"/>
      <w:bookmarkEnd w:id="210"/>
      <w:bookmarkStart w:id="211" w:name="_Toc450170378"/>
      <w:bookmarkEnd w:id="211"/>
      <w:bookmarkStart w:id="212" w:name="_Toc450167290"/>
      <w:bookmarkEnd w:id="212"/>
      <w:bookmarkStart w:id="213" w:name="_Toc451093259"/>
      <w:bookmarkEnd w:id="213"/>
      <w:bookmarkStart w:id="214" w:name="_Toc451757647"/>
      <w:bookmarkEnd w:id="214"/>
      <w:bookmarkStart w:id="215" w:name="_Toc450167744"/>
      <w:bookmarkEnd w:id="215"/>
      <w:bookmarkStart w:id="216" w:name="_Toc450167380"/>
      <w:bookmarkEnd w:id="216"/>
      <w:bookmarkStart w:id="217" w:name="_Toc451074426"/>
      <w:bookmarkEnd w:id="217"/>
      <w:bookmarkStart w:id="218" w:name="_Toc451676621"/>
      <w:bookmarkEnd w:id="218"/>
      <w:bookmarkStart w:id="219" w:name="_Toc450167424"/>
      <w:bookmarkEnd w:id="219"/>
      <w:bookmarkStart w:id="220" w:name="_Toc450167223"/>
      <w:bookmarkEnd w:id="220"/>
      <w:bookmarkStart w:id="221" w:name="_Toc450167813"/>
      <w:bookmarkEnd w:id="221"/>
      <w:bookmarkStart w:id="222" w:name="_Toc450166865"/>
      <w:bookmarkEnd w:id="222"/>
      <w:bookmarkStart w:id="223" w:name="_Toc450167477"/>
      <w:bookmarkEnd w:id="223"/>
      <w:bookmarkStart w:id="224" w:name="_Toc451074304"/>
      <w:bookmarkEnd w:id="224"/>
    </w:p>
    <w:p>
      <w:pPr>
        <w:pStyle w:val="70"/>
        <w:numPr>
          <w:ilvl w:val="0"/>
          <w:numId w:val="20"/>
        </w:numPr>
        <w:tabs>
          <w:tab w:val="left" w:pos="432"/>
        </w:tabs>
        <w:ind w:firstLineChars="0"/>
        <w:outlineLvl w:val="1"/>
        <w:rPr>
          <w:b/>
          <w:vanish/>
        </w:rPr>
      </w:pPr>
      <w:bookmarkStart w:id="225" w:name="_Toc451757648"/>
      <w:bookmarkEnd w:id="225"/>
      <w:bookmarkStart w:id="226" w:name="_Toc451676622"/>
      <w:bookmarkEnd w:id="226"/>
      <w:bookmarkStart w:id="227" w:name="_Toc451093260"/>
      <w:bookmarkEnd w:id="227"/>
      <w:bookmarkStart w:id="228" w:name="_Toc451093326"/>
      <w:bookmarkEnd w:id="228"/>
      <w:bookmarkStart w:id="229" w:name="_Toc451093524"/>
      <w:bookmarkEnd w:id="229"/>
      <w:bookmarkStart w:id="230" w:name="_Toc451676556"/>
      <w:bookmarkEnd w:id="230"/>
    </w:p>
    <w:p>
      <w:pPr>
        <w:pStyle w:val="4"/>
        <w:spacing w:before="0" w:after="0" w:line="360" w:lineRule="auto"/>
        <w:ind w:left="0" w:firstLine="562" w:firstLineChars="200"/>
        <w:rPr>
          <w:rFonts w:hint="eastAsia" w:ascii="黑体" w:hAnsi="黑体" w:eastAsia="黑体" w:cs="黑体"/>
          <w:sz w:val="28"/>
          <w:szCs w:val="28"/>
        </w:rPr>
      </w:pPr>
      <w:bookmarkStart w:id="231" w:name="_Toc451757649"/>
      <w:r>
        <w:rPr>
          <w:rFonts w:hint="eastAsia" w:ascii="黑体" w:hAnsi="黑体" w:eastAsia="黑体" w:cs="黑体"/>
          <w:sz w:val="28"/>
          <w:szCs w:val="28"/>
        </w:rPr>
        <w:t>验收要求</w:t>
      </w:r>
    </w:p>
    <w:p>
      <w:pPr>
        <w:numPr>
          <w:ilvl w:val="0"/>
          <w:numId w:val="24"/>
        </w:numPr>
        <w:tabs>
          <w:tab w:val="left" w:pos="425"/>
        </w:tabs>
        <w:adjustRightInd w:val="0"/>
        <w:snapToGrid w:val="0"/>
        <w:spacing w:line="360" w:lineRule="auto"/>
        <w:ind w:left="0" w:firstLine="480" w:firstLineChars="200"/>
        <w:jc w:val="left"/>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验收分为两个阶段：现场验收（SAT）和整体考核验收（项目验收）。整体考核验收为项目竣工最终验收，除了以上两个阶段验收外，工厂验收（FAT）由供货方按照要求自行完成并在项目现场验收前应提供符合要求的工厂测试验收报告；</w:t>
      </w:r>
    </w:p>
    <w:p>
      <w:pPr>
        <w:numPr>
          <w:ilvl w:val="0"/>
          <w:numId w:val="24"/>
        </w:numPr>
        <w:tabs>
          <w:tab w:val="left" w:pos="425"/>
        </w:tabs>
        <w:adjustRightInd w:val="0"/>
        <w:snapToGrid w:val="0"/>
        <w:spacing w:line="360" w:lineRule="auto"/>
        <w:ind w:left="0" w:firstLine="480" w:firstLineChars="200"/>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FAT和SAT验收测试大纲根据项目招标技术文件、投标技术应答书、合同技术协议书等技术文件的内容编写，由卖买双方共同制定；整体考核验收测试大纲由上级部门委托测试评估单位根据SAT大纲编写，由卖买双方共同确认。</w:t>
      </w:r>
    </w:p>
    <w:p>
      <w:pPr>
        <w:numPr>
          <w:ilvl w:val="0"/>
          <w:numId w:val="24"/>
        </w:numPr>
        <w:tabs>
          <w:tab w:val="left" w:pos="425"/>
        </w:tabs>
        <w:adjustRightInd w:val="0"/>
        <w:snapToGrid w:val="0"/>
        <w:spacing w:line="360" w:lineRule="auto"/>
        <w:ind w:left="0" w:firstLine="480" w:firstLineChars="200"/>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投标方应在验收测试前</w:t>
      </w:r>
      <w:r>
        <w:rPr>
          <w:rFonts w:hint="eastAsia" w:ascii="宋体" w:hAnsi="宋体" w:eastAsia="宋体" w:cs="Times New Roman"/>
          <w:color w:val="000000"/>
          <w:sz w:val="24"/>
          <w:highlight w:val="none"/>
        </w:rPr>
        <w:t>2</w:t>
      </w:r>
      <w:r>
        <w:rPr>
          <w:rFonts w:hint="default" w:ascii="宋体" w:hAnsi="宋体" w:eastAsia="宋体" w:cs="Times New Roman"/>
          <w:color w:val="000000"/>
          <w:sz w:val="24"/>
          <w:highlight w:val="none"/>
        </w:rPr>
        <w:t>周提供详细的</w:t>
      </w:r>
      <w:r>
        <w:rPr>
          <w:rFonts w:hint="eastAsia" w:ascii="宋体" w:hAnsi="宋体" w:eastAsia="宋体" w:cs="Times New Roman"/>
          <w:color w:val="000000"/>
          <w:sz w:val="24"/>
          <w:highlight w:val="none"/>
        </w:rPr>
        <w:t>FAT</w:t>
      </w:r>
      <w:r>
        <w:rPr>
          <w:rFonts w:hint="default" w:ascii="宋体" w:hAnsi="宋体" w:eastAsia="宋体" w:cs="Times New Roman"/>
          <w:color w:val="000000"/>
          <w:sz w:val="24"/>
          <w:highlight w:val="none"/>
        </w:rPr>
        <w:t>和</w:t>
      </w:r>
      <w:r>
        <w:rPr>
          <w:rFonts w:hint="eastAsia" w:ascii="宋体" w:hAnsi="宋体" w:eastAsia="宋体" w:cs="Times New Roman"/>
          <w:color w:val="000000"/>
          <w:sz w:val="24"/>
          <w:highlight w:val="none"/>
        </w:rPr>
        <w:t>SAT</w:t>
      </w:r>
      <w:r>
        <w:rPr>
          <w:rFonts w:hint="default" w:ascii="宋体" w:hAnsi="宋体" w:eastAsia="宋体" w:cs="Times New Roman"/>
          <w:color w:val="000000"/>
          <w:sz w:val="24"/>
          <w:highlight w:val="none"/>
        </w:rPr>
        <w:t>验收测试大纲，大纲应提供所有工厂验收和现场验收的细则，细则指定的实验项目以及达到的性能指标不得小于本招标文件要求。招标方有权提出一些合理的特殊测试（如大屏接缝），并保留对大纲的修改权力。大纲经双方确认生效以后，招标方人员对验收的认可签字并不解除投标方对合同的保证负责。</w:t>
      </w:r>
    </w:p>
    <w:p>
      <w:pPr>
        <w:numPr>
          <w:ilvl w:val="0"/>
          <w:numId w:val="24"/>
        </w:numPr>
        <w:tabs>
          <w:tab w:val="left" w:pos="425"/>
        </w:tabs>
        <w:adjustRightInd w:val="0"/>
        <w:snapToGrid w:val="0"/>
        <w:spacing w:line="360" w:lineRule="auto"/>
        <w:ind w:left="0" w:firstLine="480" w:firstLineChars="200"/>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投标方将负责对现场安装和测试进行指导，投标方的工程师将协助进行现场试验验收。</w:t>
      </w:r>
    </w:p>
    <w:p>
      <w:pPr>
        <w:numPr>
          <w:ilvl w:val="0"/>
          <w:numId w:val="24"/>
        </w:numPr>
        <w:tabs>
          <w:tab w:val="left" w:pos="425"/>
        </w:tabs>
        <w:adjustRightInd w:val="0"/>
        <w:snapToGrid w:val="0"/>
        <w:spacing w:line="360" w:lineRule="auto"/>
        <w:ind w:left="0" w:firstLine="480" w:firstLineChars="200"/>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系统至少应在现场验收后具有至少3个月的试运行期。</w:t>
      </w:r>
    </w:p>
    <w:p>
      <w:pPr>
        <w:numPr>
          <w:ilvl w:val="0"/>
          <w:numId w:val="24"/>
        </w:numPr>
        <w:tabs>
          <w:tab w:val="left" w:pos="425"/>
        </w:tabs>
        <w:adjustRightInd w:val="0"/>
        <w:snapToGrid w:val="0"/>
        <w:spacing w:line="360" w:lineRule="auto"/>
        <w:ind w:left="0" w:firstLine="480" w:firstLineChars="200"/>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在现场验收完成后</w:t>
      </w:r>
      <w:r>
        <w:rPr>
          <w:rFonts w:hint="eastAsia" w:ascii="宋体" w:hAnsi="宋体" w:eastAsia="宋体" w:cs="Times New Roman"/>
          <w:color w:val="000000"/>
          <w:sz w:val="24"/>
          <w:highlight w:val="none"/>
        </w:rPr>
        <w:t>20</w:t>
      </w:r>
      <w:r>
        <w:rPr>
          <w:rFonts w:hint="default" w:ascii="宋体" w:hAnsi="宋体" w:eastAsia="宋体" w:cs="Times New Roman"/>
          <w:color w:val="000000"/>
          <w:sz w:val="24"/>
          <w:highlight w:val="none"/>
        </w:rPr>
        <w:t>天内，双方的代表将签署验收报告。</w:t>
      </w:r>
    </w:p>
    <w:p>
      <w:pPr>
        <w:numPr>
          <w:ilvl w:val="0"/>
          <w:numId w:val="24"/>
        </w:numPr>
        <w:tabs>
          <w:tab w:val="left" w:pos="425"/>
        </w:tabs>
        <w:adjustRightInd w:val="0"/>
        <w:snapToGrid w:val="0"/>
        <w:spacing w:line="360" w:lineRule="auto"/>
        <w:ind w:left="0" w:firstLine="480" w:firstLineChars="200"/>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验收计划由投标方准备，交给招标方审查同意。</w:t>
      </w:r>
    </w:p>
    <w:p>
      <w:pPr>
        <w:numPr>
          <w:ilvl w:val="0"/>
          <w:numId w:val="24"/>
        </w:numPr>
        <w:tabs>
          <w:tab w:val="left" w:pos="425"/>
        </w:tabs>
        <w:adjustRightInd w:val="0"/>
        <w:snapToGrid w:val="0"/>
        <w:spacing w:line="360" w:lineRule="auto"/>
        <w:ind w:left="0" w:firstLine="480" w:firstLineChars="200"/>
        <w:rPr>
          <w:rFonts w:hint="default" w:ascii="宋体" w:hAnsi="宋体" w:eastAsia="宋体" w:cs="Times New Roman"/>
          <w:color w:val="000000"/>
          <w:sz w:val="24"/>
          <w:highlight w:val="none"/>
        </w:rPr>
      </w:pPr>
      <w:r>
        <w:rPr>
          <w:rFonts w:hint="default" w:ascii="宋体" w:hAnsi="宋体" w:eastAsia="宋体" w:cs="Times New Roman"/>
          <w:color w:val="000000"/>
          <w:sz w:val="24"/>
          <w:highlight w:val="none"/>
        </w:rPr>
        <w:t>为有利于系统的安装、投运和测试，投标方将派出有经验的专家提供技术服务。投标方在项目计划书中应对投标方工程师的这一开销进行报价。</w:t>
      </w:r>
    </w:p>
    <w:p>
      <w:pPr>
        <w:numPr>
          <w:ilvl w:val="0"/>
          <w:numId w:val="24"/>
        </w:numPr>
        <w:tabs>
          <w:tab w:val="left" w:pos="425"/>
        </w:tabs>
        <w:adjustRightInd w:val="0"/>
        <w:snapToGrid w:val="0"/>
        <w:spacing w:line="360" w:lineRule="auto"/>
        <w:ind w:left="0" w:firstLine="480" w:firstLineChars="200"/>
        <w:rPr>
          <w:rFonts w:hint="eastAsia" w:ascii="宋体" w:hAnsi="宋体" w:eastAsia="宋体" w:cs="Times New Roman"/>
          <w:color w:val="000000"/>
          <w:sz w:val="24"/>
          <w:highlight w:val="none"/>
        </w:rPr>
      </w:pPr>
      <w:r>
        <w:rPr>
          <w:rFonts w:hint="default" w:ascii="宋体" w:hAnsi="宋体" w:eastAsia="宋体" w:cs="Times New Roman"/>
          <w:color w:val="000000"/>
          <w:sz w:val="24"/>
          <w:highlight w:val="none"/>
        </w:rPr>
        <w:t>在现场安装、投运及验收过程中，投标方应对损坏的设备负责。</w:t>
      </w:r>
    </w:p>
    <w:p>
      <w:pPr>
        <w:numPr>
          <w:ilvl w:val="0"/>
          <w:numId w:val="24"/>
        </w:numPr>
        <w:tabs>
          <w:tab w:val="left" w:pos="425"/>
        </w:tabs>
        <w:adjustRightInd w:val="0"/>
        <w:snapToGrid w:val="0"/>
        <w:spacing w:line="360" w:lineRule="auto"/>
        <w:ind w:left="0" w:firstLine="480" w:firstLineChars="200"/>
        <w:rPr>
          <w:rFonts w:hint="eastAsia"/>
          <w:highlight w:val="none"/>
        </w:rPr>
      </w:pPr>
      <w:r>
        <w:rPr>
          <w:rFonts w:hint="default" w:ascii="宋体" w:hAnsi="宋体" w:eastAsia="宋体" w:cs="Times New Roman"/>
          <w:color w:val="000000"/>
          <w:sz w:val="24"/>
          <w:highlight w:val="none"/>
        </w:rPr>
        <w:t>备品备件、文档资料均作为验收的一部分。</w:t>
      </w:r>
      <w:r>
        <w:rPr>
          <w:rFonts w:hint="eastAsia" w:ascii="宋体" w:hAnsi="宋体" w:eastAsia="宋体" w:cs="Times New Roman"/>
          <w:color w:val="000000"/>
          <w:sz w:val="24"/>
          <w:highlight w:val="none"/>
        </w:rPr>
        <w:t xml:space="preserve"> </w:t>
      </w:r>
      <w:r>
        <w:rPr>
          <w:rFonts w:hint="eastAsia"/>
          <w:highlight w:val="none"/>
        </w:rPr>
        <w:t xml:space="preserve"> </w:t>
      </w:r>
    </w:p>
    <w:p>
      <w:pPr>
        <w:pStyle w:val="4"/>
        <w:spacing w:before="0" w:after="0" w:line="360" w:lineRule="auto"/>
        <w:ind w:left="0" w:firstLine="562" w:firstLineChars="200"/>
        <w:rPr>
          <w:rFonts w:hint="eastAsia" w:ascii="黑体" w:hAnsi="黑体" w:eastAsia="黑体" w:cs="黑体"/>
          <w:b/>
          <w:bCs/>
          <w:sz w:val="28"/>
          <w:szCs w:val="28"/>
        </w:rPr>
      </w:pPr>
      <w:bookmarkStart w:id="232" w:name="_Toc251537678"/>
      <w:r>
        <w:rPr>
          <w:rFonts w:hint="default" w:ascii="黑体" w:hAnsi="黑体" w:eastAsia="黑体" w:cs="黑体"/>
          <w:b/>
          <w:bCs/>
          <w:sz w:val="28"/>
          <w:szCs w:val="28"/>
        </w:rPr>
        <w:t>测试报告</w:t>
      </w:r>
      <w:bookmarkEnd w:id="232"/>
    </w:p>
    <w:p>
      <w:pPr>
        <w:numPr>
          <w:ilvl w:val="0"/>
          <w:numId w:val="0"/>
        </w:numPr>
        <w:adjustRightInd w:val="0"/>
        <w:snapToGrid w:val="0"/>
        <w:spacing w:line="360" w:lineRule="auto"/>
        <w:ind w:left="0" w:leftChars="0" w:firstLine="480" w:firstLineChars="20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在</w:t>
      </w:r>
      <w:r>
        <w:rPr>
          <w:rFonts w:ascii="宋体" w:hAnsi="宋体" w:eastAsia="宋体" w:cs="Times New Roman"/>
          <w:color w:val="000000"/>
          <w:sz w:val="24"/>
          <w:highlight w:val="none"/>
        </w:rPr>
        <w:t>FAT</w:t>
      </w:r>
      <w:r>
        <w:rPr>
          <w:rFonts w:hint="default" w:ascii="宋体" w:hAnsi="宋体" w:eastAsia="宋体" w:cs="Times New Roman"/>
          <w:color w:val="000000"/>
          <w:sz w:val="24"/>
          <w:highlight w:val="none"/>
        </w:rPr>
        <w:t>、</w:t>
      </w:r>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测试完成后的二十天内，投标方应提供四份测试报告的副本，每份报告至少包括以下的内容：</w:t>
      </w:r>
    </w:p>
    <w:p>
      <w:pPr>
        <w:numPr>
          <w:ilvl w:val="0"/>
          <w:numId w:val="25"/>
        </w:numPr>
        <w:tabs>
          <w:tab w:val="left" w:pos="425"/>
        </w:tabs>
        <w:adjustRightInd w:val="0"/>
        <w:snapToGrid w:val="0"/>
        <w:spacing w:line="360" w:lineRule="auto"/>
        <w:ind w:left="0" w:firstLine="480" w:firstLineChars="20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设备说明。</w:t>
      </w:r>
    </w:p>
    <w:p>
      <w:pPr>
        <w:numPr>
          <w:ilvl w:val="0"/>
          <w:numId w:val="25"/>
        </w:numPr>
        <w:tabs>
          <w:tab w:val="left" w:pos="425"/>
        </w:tabs>
        <w:adjustRightInd w:val="0"/>
        <w:snapToGrid w:val="0"/>
        <w:spacing w:line="360" w:lineRule="auto"/>
        <w:ind w:left="0" w:firstLine="480" w:firstLineChars="20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报告编号、日期。</w:t>
      </w:r>
    </w:p>
    <w:p>
      <w:pPr>
        <w:numPr>
          <w:ilvl w:val="0"/>
          <w:numId w:val="25"/>
        </w:numPr>
        <w:tabs>
          <w:tab w:val="left" w:pos="425"/>
        </w:tabs>
        <w:adjustRightInd w:val="0"/>
        <w:snapToGrid w:val="0"/>
        <w:spacing w:line="360" w:lineRule="auto"/>
        <w:ind w:left="0" w:firstLine="480" w:firstLineChars="20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设备的项目编号、数量及顺序号。</w:t>
      </w:r>
    </w:p>
    <w:p>
      <w:pPr>
        <w:numPr>
          <w:ilvl w:val="0"/>
          <w:numId w:val="25"/>
        </w:numPr>
        <w:tabs>
          <w:tab w:val="left" w:pos="425"/>
        </w:tabs>
        <w:adjustRightInd w:val="0"/>
        <w:snapToGrid w:val="0"/>
        <w:spacing w:line="360" w:lineRule="auto"/>
        <w:ind w:left="0" w:firstLine="480" w:firstLineChars="20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测试的时间、地点及方法。</w:t>
      </w:r>
    </w:p>
    <w:p>
      <w:pPr>
        <w:numPr>
          <w:ilvl w:val="0"/>
          <w:numId w:val="25"/>
        </w:numPr>
        <w:tabs>
          <w:tab w:val="left" w:pos="425"/>
        </w:tabs>
        <w:adjustRightInd w:val="0"/>
        <w:snapToGrid w:val="0"/>
        <w:spacing w:line="360" w:lineRule="auto"/>
        <w:ind w:left="0" w:firstLine="480" w:firstLineChars="20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测试环境。</w:t>
      </w:r>
    </w:p>
    <w:p>
      <w:pPr>
        <w:numPr>
          <w:ilvl w:val="0"/>
          <w:numId w:val="25"/>
        </w:numPr>
        <w:tabs>
          <w:tab w:val="left" w:pos="425"/>
        </w:tabs>
        <w:adjustRightInd w:val="0"/>
        <w:snapToGrid w:val="0"/>
        <w:spacing w:line="360" w:lineRule="auto"/>
        <w:ind w:left="0" w:firstLine="480" w:firstLineChars="20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试验数据包括表计型号、读数、测试点的位置、数据打印出的结果及有关图形等</w:t>
      </w:r>
    </w:p>
    <w:p>
      <w:pPr>
        <w:numPr>
          <w:ilvl w:val="0"/>
          <w:numId w:val="25"/>
        </w:numPr>
        <w:tabs>
          <w:tab w:val="left" w:pos="425"/>
        </w:tabs>
        <w:adjustRightInd w:val="0"/>
        <w:snapToGrid w:val="0"/>
        <w:spacing w:line="360" w:lineRule="auto"/>
        <w:ind w:left="0" w:firstLine="480" w:firstLineChars="20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测试合格的标准。</w:t>
      </w:r>
    </w:p>
    <w:p>
      <w:pPr>
        <w:numPr>
          <w:ilvl w:val="0"/>
          <w:numId w:val="25"/>
        </w:numPr>
        <w:tabs>
          <w:tab w:val="left" w:pos="425"/>
        </w:tabs>
        <w:adjustRightInd w:val="0"/>
        <w:snapToGrid w:val="0"/>
        <w:spacing w:line="360" w:lineRule="auto"/>
        <w:ind w:left="0" w:firstLine="480" w:firstLineChars="20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测试人员名单。</w:t>
      </w:r>
    </w:p>
    <w:p>
      <w:pPr>
        <w:numPr>
          <w:ilvl w:val="0"/>
          <w:numId w:val="25"/>
        </w:numPr>
        <w:tabs>
          <w:tab w:val="left" w:pos="425"/>
        </w:tabs>
        <w:adjustRightInd w:val="0"/>
        <w:snapToGrid w:val="0"/>
        <w:spacing w:line="360" w:lineRule="auto"/>
        <w:ind w:left="0" w:firstLine="480" w:firstLineChars="20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负责人签字。</w:t>
      </w:r>
    </w:p>
    <w:p>
      <w:pPr>
        <w:pStyle w:val="4"/>
        <w:spacing w:before="0" w:after="0" w:line="360" w:lineRule="auto"/>
        <w:ind w:left="0" w:firstLine="562" w:firstLineChars="200"/>
        <w:rPr>
          <w:rFonts w:hint="eastAsia" w:ascii="黑体" w:hAnsi="黑体" w:eastAsia="黑体" w:cs="黑体"/>
          <w:b/>
          <w:bCs/>
          <w:sz w:val="28"/>
          <w:szCs w:val="28"/>
        </w:rPr>
      </w:pPr>
      <w:bookmarkStart w:id="233" w:name="_Toc251537679"/>
      <w:r>
        <w:rPr>
          <w:rFonts w:hint="default" w:ascii="黑体" w:hAnsi="黑体" w:eastAsia="黑体" w:cs="黑体"/>
          <w:b/>
          <w:bCs/>
          <w:sz w:val="28"/>
          <w:szCs w:val="28"/>
        </w:rPr>
        <w:t>工厂测试验收（</w:t>
      </w:r>
      <w:r>
        <w:rPr>
          <w:rFonts w:hint="eastAsia" w:ascii="黑体" w:hAnsi="黑体" w:eastAsia="黑体" w:cs="黑体"/>
          <w:b/>
          <w:bCs/>
          <w:sz w:val="28"/>
          <w:szCs w:val="28"/>
        </w:rPr>
        <w:t>FAT</w:t>
      </w:r>
      <w:r>
        <w:rPr>
          <w:rFonts w:hint="default" w:ascii="黑体" w:hAnsi="黑体" w:eastAsia="黑体" w:cs="黑体"/>
          <w:b/>
          <w:bCs/>
          <w:sz w:val="28"/>
          <w:szCs w:val="28"/>
        </w:rPr>
        <w:t>）</w:t>
      </w:r>
      <w:bookmarkEnd w:id="233"/>
    </w:p>
    <w:p>
      <w:pPr>
        <w:numPr>
          <w:ilvl w:val="0"/>
          <w:numId w:val="0"/>
        </w:numPr>
        <w:adjustRightInd w:val="0"/>
        <w:snapToGrid w:val="0"/>
        <w:spacing w:line="360" w:lineRule="auto"/>
        <w:ind w:left="0" w:leftChars="0" w:firstLine="480" w:firstLineChars="200"/>
        <w:rPr>
          <w:rFonts w:ascii="宋体" w:hAnsi="宋体" w:eastAsia="宋体" w:cs="Times New Roman"/>
          <w:color w:val="000000"/>
          <w:sz w:val="24"/>
          <w:highlight w:val="none"/>
        </w:rPr>
      </w:pPr>
      <w:r>
        <w:rPr>
          <w:rFonts w:ascii="宋体" w:hAnsi="宋体" w:eastAsia="宋体" w:cs="Times New Roman"/>
          <w:color w:val="000000"/>
          <w:sz w:val="24"/>
          <w:highlight w:val="none"/>
        </w:rPr>
        <w:t>FAT</w:t>
      </w:r>
      <w:r>
        <w:rPr>
          <w:rFonts w:hint="default" w:ascii="宋体" w:hAnsi="宋体" w:eastAsia="宋体" w:cs="Times New Roman"/>
          <w:color w:val="000000"/>
          <w:sz w:val="24"/>
          <w:highlight w:val="none"/>
        </w:rPr>
        <w:t>包括指定的系统功能测试、稳定性测试和可扩性测试。</w:t>
      </w:r>
      <w:r>
        <w:rPr>
          <w:rFonts w:ascii="宋体" w:hAnsi="宋体" w:eastAsia="宋体" w:cs="Times New Roman"/>
          <w:color w:val="000000"/>
          <w:sz w:val="24"/>
          <w:highlight w:val="none"/>
        </w:rPr>
        <w:t>FAT</w:t>
      </w:r>
      <w:r>
        <w:rPr>
          <w:rFonts w:hint="default" w:ascii="宋体" w:hAnsi="宋体" w:eastAsia="宋体" w:cs="Times New Roman"/>
          <w:color w:val="000000"/>
          <w:sz w:val="24"/>
          <w:highlight w:val="none"/>
        </w:rPr>
        <w:t>按双方在设计联络会上确定的时间由供货方自行进行并在现场验收前提供相应FAT测试报告。工厂测试要求满足以下条件：</w:t>
      </w:r>
    </w:p>
    <w:p>
      <w:pPr>
        <w:numPr>
          <w:ilvl w:val="0"/>
          <w:numId w:val="26"/>
        </w:numPr>
        <w:adjustRightInd w:val="0"/>
        <w:snapToGrid w:val="0"/>
        <w:spacing w:line="360" w:lineRule="auto"/>
        <w:ind w:left="0" w:leftChars="0" w:firstLine="480" w:firstLineChars="200"/>
        <w:rPr>
          <w:rFonts w:ascii="宋体" w:hAnsi="宋体" w:eastAsia="宋体" w:cs="Times New Roman"/>
          <w:color w:val="000000"/>
          <w:sz w:val="24"/>
          <w:highlight w:val="none"/>
        </w:rPr>
      </w:pPr>
      <w:bookmarkStart w:id="234" w:name="_Toc251537680"/>
      <w:r>
        <w:rPr>
          <w:rFonts w:hint="default" w:ascii="宋体" w:hAnsi="宋体" w:eastAsia="宋体" w:cs="Times New Roman"/>
          <w:color w:val="000000"/>
          <w:sz w:val="24"/>
          <w:highlight w:val="none"/>
        </w:rPr>
        <w:t>测试条件</w:t>
      </w:r>
      <w:bookmarkEnd w:id="234"/>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在</w:t>
      </w:r>
      <w:r>
        <w:rPr>
          <w:rFonts w:ascii="宋体" w:hAnsi="宋体" w:eastAsia="宋体" w:cs="Times New Roman"/>
          <w:color w:val="000000"/>
          <w:sz w:val="24"/>
          <w:highlight w:val="none"/>
        </w:rPr>
        <w:t>FAT</w:t>
      </w:r>
      <w:r>
        <w:rPr>
          <w:rFonts w:hint="default" w:ascii="宋体" w:hAnsi="宋体" w:eastAsia="宋体" w:cs="Times New Roman"/>
          <w:color w:val="000000"/>
          <w:sz w:val="24"/>
          <w:highlight w:val="none"/>
        </w:rPr>
        <w:t>时，投标方应具备用于检测、维护测量、试验和记录等必要的设备以及全部的场地设施、模拟的现场环境。</w:t>
      </w:r>
    </w:p>
    <w:p>
      <w:pPr>
        <w:numPr>
          <w:ilvl w:val="0"/>
          <w:numId w:val="26"/>
        </w:numPr>
        <w:adjustRightInd w:val="0"/>
        <w:snapToGrid w:val="0"/>
        <w:spacing w:line="360" w:lineRule="auto"/>
        <w:ind w:left="0" w:leftChars="0" w:firstLine="480" w:firstLineChars="200"/>
        <w:rPr>
          <w:rFonts w:ascii="宋体" w:hAnsi="宋体" w:eastAsia="宋体" w:cs="Times New Roman"/>
          <w:b w:val="0"/>
          <w:color w:val="000000"/>
          <w:sz w:val="24"/>
          <w:highlight w:val="none"/>
        </w:rPr>
      </w:pPr>
      <w:bookmarkStart w:id="235" w:name="_Toc251537681"/>
      <w:r>
        <w:rPr>
          <w:rFonts w:hint="default" w:ascii="宋体" w:hAnsi="宋体" w:eastAsia="宋体" w:cs="Times New Roman"/>
          <w:color w:val="000000"/>
          <w:sz w:val="24"/>
          <w:highlight w:val="none"/>
        </w:rPr>
        <w:t>系统功能及性能测试</w:t>
      </w:r>
      <w:bookmarkEnd w:id="235"/>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在确定的测试条件下，建立完整的系统，确定系统正常运行，在此基础上按照用户的功能要求，逐一测试系统的全部功能及性能，例如亮度均匀测试、亮度测试、网络扩展接口的测试等。如果在测试中出现严重功能失败时，将重新</w:t>
      </w:r>
      <w:r>
        <w:rPr>
          <w:rFonts w:ascii="宋体" w:hAnsi="宋体" w:eastAsia="宋体" w:cs="Times New Roman"/>
          <w:color w:val="000000"/>
          <w:sz w:val="24"/>
          <w:highlight w:val="none"/>
        </w:rPr>
        <w:t>FAT</w:t>
      </w:r>
      <w:r>
        <w:rPr>
          <w:rFonts w:hint="default" w:ascii="宋体" w:hAnsi="宋体" w:eastAsia="宋体" w:cs="Times New Roman"/>
          <w:color w:val="000000"/>
          <w:sz w:val="24"/>
          <w:highlight w:val="none"/>
        </w:rPr>
        <w:t>。</w:t>
      </w:r>
    </w:p>
    <w:p>
      <w:pPr>
        <w:numPr>
          <w:ilvl w:val="0"/>
          <w:numId w:val="26"/>
        </w:numPr>
        <w:adjustRightInd w:val="0"/>
        <w:snapToGrid w:val="0"/>
        <w:spacing w:line="360" w:lineRule="auto"/>
        <w:ind w:left="0" w:leftChars="0" w:firstLine="480" w:firstLineChars="200"/>
        <w:rPr>
          <w:rFonts w:ascii="宋体" w:hAnsi="宋体" w:eastAsia="宋体" w:cs="Times New Roman"/>
          <w:color w:val="000000"/>
          <w:sz w:val="24"/>
          <w:highlight w:val="none"/>
        </w:rPr>
      </w:pPr>
      <w:bookmarkStart w:id="236" w:name="_Toc251537682"/>
      <w:r>
        <w:rPr>
          <w:rFonts w:hint="default" w:ascii="宋体" w:hAnsi="宋体" w:eastAsia="宋体" w:cs="Times New Roman"/>
          <w:color w:val="000000"/>
          <w:sz w:val="24"/>
          <w:highlight w:val="none"/>
        </w:rPr>
        <w:t>稳定性测试</w:t>
      </w:r>
      <w:bookmarkEnd w:id="236"/>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为考验系统稳定性，要进行系统连续</w:t>
      </w:r>
      <w:r>
        <w:rPr>
          <w:rFonts w:ascii="宋体" w:hAnsi="宋体" w:eastAsia="宋体" w:cs="Times New Roman"/>
          <w:color w:val="000000"/>
          <w:sz w:val="24"/>
          <w:highlight w:val="none"/>
        </w:rPr>
        <w:t>72</w:t>
      </w:r>
      <w:r>
        <w:rPr>
          <w:rFonts w:hint="default" w:ascii="宋体" w:hAnsi="宋体" w:eastAsia="宋体" w:cs="Times New Roman"/>
          <w:color w:val="000000"/>
          <w:sz w:val="24"/>
          <w:highlight w:val="none"/>
        </w:rPr>
        <w:t>小时的稳定性测试。在此期间硬件不允许出现故障，不允许设备自启动，否则要重新开始稳定性测试。</w:t>
      </w:r>
    </w:p>
    <w:p>
      <w:pPr>
        <w:numPr>
          <w:ilvl w:val="0"/>
          <w:numId w:val="26"/>
        </w:numPr>
        <w:adjustRightInd w:val="0"/>
        <w:snapToGrid w:val="0"/>
        <w:spacing w:line="360" w:lineRule="auto"/>
        <w:ind w:left="0" w:leftChars="0" w:firstLine="480" w:firstLineChars="200"/>
        <w:rPr>
          <w:rFonts w:ascii="宋体" w:hAnsi="宋体" w:eastAsia="宋体" w:cs="Times New Roman"/>
          <w:b w:val="0"/>
          <w:color w:val="000000"/>
          <w:sz w:val="24"/>
          <w:highlight w:val="none"/>
        </w:rPr>
      </w:pPr>
      <w:bookmarkStart w:id="237" w:name="_Toc251537683"/>
      <w:r>
        <w:rPr>
          <w:rFonts w:hint="default" w:ascii="宋体" w:hAnsi="宋体" w:eastAsia="宋体" w:cs="Times New Roman"/>
          <w:color w:val="000000"/>
          <w:sz w:val="24"/>
          <w:highlight w:val="none"/>
        </w:rPr>
        <w:t>可扩性测试</w:t>
      </w:r>
      <w:bookmarkEnd w:id="237"/>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本测试应确保系统在扩充硬件之后，系统一切功能正常运行。</w:t>
      </w:r>
    </w:p>
    <w:p>
      <w:pPr>
        <w:numPr>
          <w:ilvl w:val="0"/>
          <w:numId w:val="26"/>
        </w:numPr>
        <w:tabs>
          <w:tab w:val="left" w:pos="850"/>
        </w:tabs>
        <w:adjustRightInd w:val="0"/>
        <w:snapToGrid w:val="0"/>
        <w:spacing w:line="360" w:lineRule="auto"/>
        <w:ind w:left="0" w:leftChars="0" w:firstLine="480" w:firstLineChars="200"/>
        <w:rPr>
          <w:rFonts w:ascii="宋体" w:hAnsi="宋体" w:eastAsia="宋体" w:cs="Times New Roman"/>
          <w:color w:val="000000"/>
          <w:sz w:val="24"/>
          <w:highlight w:val="none"/>
        </w:rPr>
      </w:pPr>
      <w:bookmarkStart w:id="238" w:name="_Toc251537684"/>
      <w:r>
        <w:rPr>
          <w:rFonts w:hint="default" w:ascii="宋体" w:hAnsi="宋体" w:eastAsia="宋体" w:cs="Times New Roman"/>
          <w:color w:val="000000"/>
          <w:sz w:val="24"/>
          <w:highlight w:val="none"/>
        </w:rPr>
        <w:t>测试通过条件</w:t>
      </w:r>
      <w:bookmarkEnd w:id="238"/>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所有功能和技术指标应满足招标文件的要求</w:t>
      </w:r>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在连续</w:t>
      </w:r>
      <w:r>
        <w:rPr>
          <w:rFonts w:ascii="宋体" w:hAnsi="宋体" w:eastAsia="宋体" w:cs="Times New Roman"/>
          <w:color w:val="000000"/>
          <w:sz w:val="24"/>
          <w:highlight w:val="none"/>
        </w:rPr>
        <w:t>72</w:t>
      </w:r>
      <w:r>
        <w:rPr>
          <w:rFonts w:hint="default" w:ascii="宋体" w:hAnsi="宋体" w:eastAsia="宋体" w:cs="Times New Roman"/>
          <w:color w:val="000000"/>
          <w:sz w:val="24"/>
          <w:highlight w:val="none"/>
        </w:rPr>
        <w:t>小时稳定性实验内，不允许故障自动切换</w:t>
      </w:r>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若测试结果说明某一设备功能不合格，投标方要更换不合格的设备或修改不合格的功能，所有因此而引起的费用全部由投标方支付。对于第三方提供的设备或功能，本条款同样适用。</w:t>
      </w:r>
    </w:p>
    <w:p>
      <w:pPr>
        <w:numPr>
          <w:ilvl w:val="0"/>
          <w:numId w:val="26"/>
        </w:numPr>
        <w:adjustRightInd w:val="0"/>
        <w:snapToGrid w:val="0"/>
        <w:spacing w:line="360" w:lineRule="auto"/>
        <w:ind w:left="0" w:leftChars="0" w:firstLine="480" w:firstLineChars="200"/>
        <w:rPr>
          <w:rFonts w:ascii="宋体" w:hAnsi="宋体" w:eastAsia="宋体" w:cs="Times New Roman"/>
          <w:color w:val="000000"/>
          <w:sz w:val="24"/>
          <w:highlight w:val="none"/>
        </w:rPr>
      </w:pPr>
      <w:bookmarkStart w:id="239" w:name="_Toc251537685"/>
      <w:r>
        <w:rPr>
          <w:rFonts w:hint="default" w:ascii="宋体" w:hAnsi="宋体" w:eastAsia="宋体" w:cs="Times New Roman"/>
          <w:color w:val="000000"/>
          <w:sz w:val="24"/>
          <w:highlight w:val="none"/>
        </w:rPr>
        <w:t>测试人员要求</w:t>
      </w:r>
      <w:bookmarkEnd w:id="239"/>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投标方应派有经验的工程师参与</w:t>
      </w:r>
      <w:r>
        <w:rPr>
          <w:rFonts w:ascii="宋体" w:hAnsi="宋体" w:eastAsia="宋体" w:cs="Times New Roman"/>
          <w:color w:val="000000"/>
          <w:sz w:val="24"/>
          <w:highlight w:val="none"/>
        </w:rPr>
        <w:t>FAT</w:t>
      </w:r>
      <w:r>
        <w:rPr>
          <w:rFonts w:hint="default" w:ascii="宋体" w:hAnsi="宋体" w:eastAsia="宋体" w:cs="Times New Roman"/>
          <w:color w:val="000000"/>
          <w:sz w:val="24"/>
          <w:highlight w:val="none"/>
        </w:rPr>
        <w:t>。</w:t>
      </w:r>
    </w:p>
    <w:p>
      <w:pPr>
        <w:numPr>
          <w:ilvl w:val="0"/>
          <w:numId w:val="26"/>
        </w:numPr>
        <w:adjustRightInd w:val="0"/>
        <w:snapToGrid w:val="0"/>
        <w:spacing w:line="360" w:lineRule="auto"/>
        <w:ind w:left="0" w:leftChars="0" w:firstLine="480" w:firstLineChars="200"/>
        <w:rPr>
          <w:rFonts w:ascii="宋体" w:hAnsi="宋体" w:eastAsia="宋体" w:cs="Times New Roman"/>
          <w:b w:val="0"/>
          <w:color w:val="000000"/>
          <w:sz w:val="24"/>
          <w:highlight w:val="none"/>
        </w:rPr>
      </w:pPr>
      <w:bookmarkStart w:id="240" w:name="_Toc251537686"/>
      <w:r>
        <w:rPr>
          <w:rFonts w:hint="default" w:ascii="宋体" w:hAnsi="宋体" w:eastAsia="宋体" w:cs="Times New Roman"/>
          <w:color w:val="000000"/>
          <w:sz w:val="24"/>
          <w:highlight w:val="none"/>
        </w:rPr>
        <w:t>招标方的权力</w:t>
      </w:r>
      <w:bookmarkEnd w:id="240"/>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工厂验收通过后，即使招标方已签收，但若在招标方施工现场发现有不按合同供货的全部或部分设备，招标方仍有权拒收。</w:t>
      </w:r>
    </w:p>
    <w:p>
      <w:pPr>
        <w:numPr>
          <w:ilvl w:val="0"/>
          <w:numId w:val="26"/>
        </w:numPr>
        <w:adjustRightInd w:val="0"/>
        <w:snapToGrid w:val="0"/>
        <w:spacing w:line="360" w:lineRule="auto"/>
        <w:ind w:left="0" w:leftChars="0" w:firstLine="480" w:firstLineChars="200"/>
        <w:rPr>
          <w:rFonts w:ascii="宋体" w:hAnsi="宋体" w:eastAsia="宋体" w:cs="Times New Roman"/>
          <w:color w:val="000000"/>
          <w:sz w:val="24"/>
          <w:highlight w:val="none"/>
        </w:rPr>
      </w:pPr>
      <w:bookmarkStart w:id="241" w:name="_Toc251537687"/>
      <w:r>
        <w:rPr>
          <w:rFonts w:hint="default" w:ascii="宋体" w:hAnsi="宋体" w:eastAsia="宋体" w:cs="Times New Roman"/>
          <w:color w:val="000000"/>
          <w:sz w:val="24"/>
          <w:highlight w:val="none"/>
        </w:rPr>
        <w:t>投标方责任</w:t>
      </w:r>
      <w:bookmarkEnd w:id="241"/>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由于投标方责任，</w:t>
      </w:r>
      <w:r>
        <w:rPr>
          <w:rFonts w:ascii="宋体" w:hAnsi="宋体" w:eastAsia="宋体" w:cs="Times New Roman"/>
          <w:color w:val="000000"/>
          <w:sz w:val="24"/>
          <w:highlight w:val="none"/>
        </w:rPr>
        <w:t>FAT</w:t>
      </w:r>
      <w:r>
        <w:rPr>
          <w:rFonts w:hint="default" w:ascii="宋体" w:hAnsi="宋体" w:eastAsia="宋体" w:cs="Times New Roman"/>
          <w:color w:val="000000"/>
          <w:sz w:val="24"/>
          <w:highlight w:val="none"/>
        </w:rPr>
        <w:t>不能按时完成而引起的一切费用及造成的损失由投标方负责。</w:t>
      </w:r>
    </w:p>
    <w:p>
      <w:pPr>
        <w:pStyle w:val="4"/>
        <w:spacing w:before="0" w:after="0" w:line="360" w:lineRule="auto"/>
        <w:ind w:left="0" w:firstLine="562" w:firstLineChars="200"/>
        <w:rPr>
          <w:rFonts w:hint="eastAsia" w:ascii="黑体" w:hAnsi="黑体" w:eastAsia="黑体" w:cs="黑体"/>
          <w:b/>
          <w:bCs/>
          <w:sz w:val="28"/>
          <w:szCs w:val="28"/>
        </w:rPr>
      </w:pPr>
      <w:bookmarkStart w:id="242" w:name="_Toc251537688"/>
      <w:r>
        <w:rPr>
          <w:rFonts w:hint="default" w:ascii="黑体" w:hAnsi="黑体" w:eastAsia="黑体" w:cs="黑体"/>
          <w:b/>
          <w:bCs/>
          <w:sz w:val="28"/>
          <w:szCs w:val="28"/>
        </w:rPr>
        <w:t>现场验收（</w:t>
      </w:r>
      <w:r>
        <w:rPr>
          <w:rFonts w:hint="eastAsia" w:ascii="黑体" w:hAnsi="黑体" w:eastAsia="黑体" w:cs="黑体"/>
          <w:b/>
          <w:bCs/>
          <w:sz w:val="28"/>
          <w:szCs w:val="28"/>
        </w:rPr>
        <w:t>SAT</w:t>
      </w:r>
      <w:r>
        <w:rPr>
          <w:rFonts w:hint="default" w:ascii="黑体" w:hAnsi="黑体" w:eastAsia="黑体" w:cs="黑体"/>
          <w:b/>
          <w:bCs/>
          <w:sz w:val="28"/>
          <w:szCs w:val="28"/>
        </w:rPr>
        <w:t>）</w:t>
      </w:r>
      <w:bookmarkEnd w:id="242"/>
    </w:p>
    <w:p>
      <w:pPr>
        <w:numPr>
          <w:ilvl w:val="0"/>
          <w:numId w:val="0"/>
        </w:numPr>
        <w:adjustRightInd w:val="0"/>
        <w:snapToGrid w:val="0"/>
        <w:spacing w:line="360" w:lineRule="auto"/>
        <w:ind w:left="420" w:leftChars="200" w:firstLine="0" w:firstLineChars="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在现场环境进行。</w:t>
      </w:r>
    </w:p>
    <w:p>
      <w:pPr>
        <w:numPr>
          <w:ilvl w:val="0"/>
          <w:numId w:val="27"/>
        </w:numPr>
        <w:adjustRightInd w:val="0"/>
        <w:snapToGrid w:val="0"/>
        <w:spacing w:line="360" w:lineRule="auto"/>
        <w:ind w:left="0" w:firstLine="480" w:firstLineChars="200"/>
        <w:rPr>
          <w:rFonts w:ascii="宋体" w:hAnsi="宋体" w:eastAsia="宋体" w:cs="Times New Roman"/>
          <w:color w:val="000000"/>
          <w:sz w:val="24"/>
          <w:highlight w:val="none"/>
        </w:rPr>
      </w:pPr>
      <w:bookmarkStart w:id="243" w:name="_Toc251537689"/>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测试条件</w:t>
      </w:r>
      <w:bookmarkEnd w:id="243"/>
      <w:r>
        <w:rPr>
          <w:rFonts w:hint="eastAsia" w:ascii="宋体" w:hAnsi="宋体" w:eastAsia="宋体" w:cs="Times New Roman"/>
          <w:color w:val="000000"/>
          <w:sz w:val="24"/>
          <w:highlight w:val="none"/>
          <w:lang w:val="en-US" w:eastAsia="zh-CN"/>
        </w:rPr>
        <w:t>:</w:t>
      </w:r>
      <w:r>
        <w:rPr>
          <w:rFonts w:hint="default" w:ascii="宋体" w:hAnsi="宋体" w:eastAsia="宋体" w:cs="Times New Roman"/>
          <w:color w:val="000000"/>
          <w:sz w:val="24"/>
          <w:highlight w:val="none"/>
        </w:rPr>
        <w:t>系统安装调试结束并能正常运行后在现场环境下进行。</w:t>
      </w:r>
    </w:p>
    <w:p>
      <w:pPr>
        <w:numPr>
          <w:ilvl w:val="0"/>
          <w:numId w:val="27"/>
        </w:numPr>
        <w:adjustRightInd w:val="0"/>
        <w:snapToGrid w:val="0"/>
        <w:spacing w:line="360" w:lineRule="auto"/>
        <w:ind w:left="0" w:firstLine="480" w:firstLineChars="200"/>
        <w:rPr>
          <w:rFonts w:ascii="宋体" w:hAnsi="宋体" w:eastAsia="宋体" w:cs="Times New Roman"/>
          <w:color w:val="000000"/>
          <w:sz w:val="24"/>
          <w:highlight w:val="none"/>
        </w:rPr>
      </w:pPr>
      <w:bookmarkStart w:id="244" w:name="_Toc251537690"/>
      <w:r>
        <w:rPr>
          <w:rFonts w:hint="default" w:ascii="宋体" w:hAnsi="宋体" w:eastAsia="宋体" w:cs="Times New Roman"/>
          <w:color w:val="000000"/>
          <w:sz w:val="24"/>
          <w:highlight w:val="none"/>
        </w:rPr>
        <w:t>投标方的责任</w:t>
      </w:r>
      <w:bookmarkEnd w:id="244"/>
      <w:r>
        <w:rPr>
          <w:rFonts w:hint="eastAsia" w:ascii="宋体" w:hAnsi="宋体" w:eastAsia="宋体" w:cs="Times New Roman"/>
          <w:color w:val="000000"/>
          <w:sz w:val="24"/>
          <w:highlight w:val="none"/>
          <w:lang w:val="en-US" w:eastAsia="zh-CN"/>
        </w:rPr>
        <w:t>：</w:t>
      </w:r>
      <w:r>
        <w:rPr>
          <w:rFonts w:hint="eastAsia" w:ascii="宋体" w:hAnsi="宋体" w:eastAsia="宋体" w:cs="Times New Roman"/>
          <w:color w:val="000000"/>
          <w:sz w:val="24"/>
          <w:lang w:val="en-US" w:eastAsia="zh-CN"/>
        </w:rPr>
        <w:t>a）</w:t>
      </w:r>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由投标方负责，招标方参加</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lang w:val="en-US" w:eastAsia="zh-CN"/>
        </w:rPr>
        <w:t>b）</w:t>
      </w:r>
      <w:r>
        <w:rPr>
          <w:rFonts w:hint="default" w:ascii="宋体" w:hAnsi="宋体" w:eastAsia="宋体" w:cs="Times New Roman"/>
          <w:color w:val="000000"/>
          <w:sz w:val="24"/>
          <w:highlight w:val="none"/>
        </w:rPr>
        <w:t>为便于系统的调试，投标方应派技术专家到招标方现场做技术支持服务</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lang w:val="en-US" w:eastAsia="zh-CN"/>
        </w:rPr>
        <w:t>c）</w:t>
      </w:r>
      <w:r>
        <w:rPr>
          <w:rFonts w:hint="default" w:ascii="宋体" w:hAnsi="宋体" w:eastAsia="宋体" w:cs="Times New Roman"/>
          <w:color w:val="000000"/>
          <w:sz w:val="24"/>
          <w:highlight w:val="none"/>
        </w:rPr>
        <w:t>由于投标方的责任，</w:t>
      </w:r>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不能按时完成所引起的损失由投标方负责。</w:t>
      </w:r>
    </w:p>
    <w:p>
      <w:pPr>
        <w:numPr>
          <w:ilvl w:val="0"/>
          <w:numId w:val="27"/>
        </w:numPr>
        <w:adjustRightInd w:val="0"/>
        <w:snapToGrid w:val="0"/>
        <w:spacing w:line="360" w:lineRule="auto"/>
        <w:ind w:left="0" w:firstLine="480" w:firstLineChars="200"/>
        <w:rPr>
          <w:rFonts w:ascii="宋体" w:hAnsi="宋体" w:eastAsia="宋体" w:cs="Times New Roman"/>
          <w:color w:val="000000"/>
          <w:sz w:val="24"/>
          <w:highlight w:val="none"/>
        </w:rPr>
      </w:pPr>
      <w:bookmarkStart w:id="245" w:name="_Toc251537691"/>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测试</w:t>
      </w:r>
      <w:bookmarkEnd w:id="245"/>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要求同FAT。</w:t>
      </w:r>
    </w:p>
    <w:p>
      <w:pPr>
        <w:numPr>
          <w:ilvl w:val="0"/>
          <w:numId w:val="27"/>
        </w:numPr>
        <w:adjustRightInd w:val="0"/>
        <w:snapToGrid w:val="0"/>
        <w:spacing w:line="360" w:lineRule="auto"/>
        <w:ind w:left="0" w:firstLine="480" w:firstLineChars="200"/>
        <w:rPr>
          <w:rFonts w:ascii="宋体" w:hAnsi="宋体" w:eastAsia="宋体" w:cs="Times New Roman"/>
          <w:color w:val="000000"/>
          <w:sz w:val="24"/>
          <w:highlight w:val="none"/>
        </w:rPr>
      </w:pPr>
      <w:bookmarkStart w:id="246" w:name="_Toc251537692"/>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通过条件</w:t>
      </w:r>
      <w:bookmarkEnd w:id="246"/>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投标方工程师在现场对系统进行的各项测试，若在规定的时间不能达到测试标准，则</w:t>
      </w:r>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不能通过。</w:t>
      </w:r>
    </w:p>
    <w:p>
      <w:pPr>
        <w:numPr>
          <w:ilvl w:val="0"/>
          <w:numId w:val="27"/>
        </w:numPr>
        <w:adjustRightInd w:val="0"/>
        <w:snapToGrid w:val="0"/>
        <w:spacing w:line="360" w:lineRule="auto"/>
        <w:ind w:left="0" w:firstLine="480" w:firstLineChars="200"/>
        <w:rPr>
          <w:rFonts w:ascii="宋体" w:hAnsi="宋体" w:eastAsia="宋体" w:cs="Times New Roman"/>
          <w:color w:val="000000"/>
          <w:sz w:val="24"/>
          <w:highlight w:val="none"/>
        </w:rPr>
      </w:pPr>
      <w:bookmarkStart w:id="247" w:name="_Toc251537693"/>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测试报告和验收签字</w:t>
      </w:r>
      <w:bookmarkEnd w:id="247"/>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测试报告的内容、格式等要求与</w:t>
      </w:r>
      <w:r>
        <w:rPr>
          <w:rFonts w:ascii="宋体" w:hAnsi="宋体" w:eastAsia="宋体" w:cs="Times New Roman"/>
          <w:color w:val="000000"/>
          <w:sz w:val="24"/>
          <w:highlight w:val="none"/>
        </w:rPr>
        <w:t>FAT</w:t>
      </w:r>
      <w:r>
        <w:rPr>
          <w:rFonts w:hint="default" w:ascii="宋体" w:hAnsi="宋体" w:eastAsia="宋体" w:cs="Times New Roman"/>
          <w:color w:val="000000"/>
          <w:sz w:val="24"/>
          <w:highlight w:val="none"/>
        </w:rPr>
        <w:t>相同，还应包括</w:t>
      </w:r>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增加的内容。</w:t>
      </w:r>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测试通过</w:t>
      </w:r>
      <w:r>
        <w:rPr>
          <w:rFonts w:ascii="宋体" w:hAnsi="宋体" w:eastAsia="宋体" w:cs="Times New Roman"/>
          <w:color w:val="000000"/>
          <w:sz w:val="24"/>
          <w:highlight w:val="none"/>
        </w:rPr>
        <w:t>5</w:t>
      </w:r>
      <w:r>
        <w:rPr>
          <w:rFonts w:hint="default" w:ascii="宋体" w:hAnsi="宋体" w:eastAsia="宋体" w:cs="Times New Roman"/>
          <w:color w:val="000000"/>
          <w:sz w:val="24"/>
          <w:highlight w:val="none"/>
        </w:rPr>
        <w:t>天内，双方代表应在</w:t>
      </w:r>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验收证书上签字。</w:t>
      </w:r>
    </w:p>
    <w:p>
      <w:pPr>
        <w:numPr>
          <w:ilvl w:val="0"/>
          <w:numId w:val="27"/>
        </w:numPr>
        <w:adjustRightInd w:val="0"/>
        <w:snapToGrid w:val="0"/>
        <w:spacing w:line="360" w:lineRule="auto"/>
        <w:ind w:left="0" w:firstLine="480" w:firstLineChars="200"/>
        <w:rPr>
          <w:rFonts w:hint="default" w:ascii="宋体" w:hAnsi="宋体" w:eastAsia="宋体" w:cs="Times New Roman"/>
          <w:color w:val="000000"/>
          <w:sz w:val="24"/>
          <w:highlight w:val="none"/>
        </w:rPr>
      </w:pPr>
      <w:bookmarkStart w:id="248" w:name="_Toc251537694"/>
      <w:r>
        <w:rPr>
          <w:rFonts w:hint="default" w:ascii="宋体" w:hAnsi="宋体" w:eastAsia="宋体" w:cs="Times New Roman"/>
          <w:color w:val="000000"/>
          <w:sz w:val="24"/>
          <w:highlight w:val="none"/>
        </w:rPr>
        <w:t>其它</w:t>
      </w:r>
      <w:bookmarkEnd w:id="248"/>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a）</w:t>
      </w:r>
      <w:r>
        <w:rPr>
          <w:rFonts w:ascii="宋体" w:hAnsi="宋体" w:eastAsia="宋体" w:cs="Times New Roman"/>
          <w:color w:val="000000"/>
          <w:sz w:val="24"/>
          <w:highlight w:val="none"/>
        </w:rPr>
        <w:t>SAT</w:t>
      </w:r>
      <w:r>
        <w:rPr>
          <w:rFonts w:hint="default" w:ascii="宋体" w:hAnsi="宋体" w:eastAsia="宋体" w:cs="Times New Roman"/>
          <w:color w:val="000000"/>
          <w:sz w:val="24"/>
          <w:highlight w:val="none"/>
        </w:rPr>
        <w:t>完成后，中标方在招标方的系统上，保留最新的版本软件，清除其余旧版本软件</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b</w:t>
      </w:r>
      <w:r>
        <w:rPr>
          <w:rFonts w:hint="eastAsia" w:ascii="宋体" w:hAnsi="宋体" w:eastAsia="宋体" w:cs="Times New Roman"/>
          <w:color w:val="000000"/>
          <w:sz w:val="24"/>
          <w:highlight w:val="none"/>
          <w:lang w:eastAsia="zh-CN"/>
        </w:rPr>
        <w:t>）</w:t>
      </w:r>
      <w:r>
        <w:rPr>
          <w:rFonts w:hint="default" w:ascii="宋体" w:hAnsi="宋体" w:eastAsia="宋体" w:cs="Times New Roman"/>
          <w:color w:val="000000"/>
          <w:sz w:val="24"/>
          <w:highlight w:val="none"/>
        </w:rPr>
        <w:t>中标方派往现场技术服务人员的一切费用包含在报价内</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c）</w:t>
      </w:r>
      <w:r>
        <w:rPr>
          <w:rFonts w:hint="default" w:ascii="宋体" w:hAnsi="宋体" w:eastAsia="宋体" w:cs="Times New Roman"/>
          <w:color w:val="000000"/>
          <w:sz w:val="24"/>
          <w:highlight w:val="none"/>
        </w:rPr>
        <w:t>SAT验收证书签订同时中标方应提供说明售后服务期限和售后服务联系方式的质保函。</w:t>
      </w:r>
    </w:p>
    <w:p>
      <w:pPr>
        <w:pStyle w:val="4"/>
        <w:spacing w:before="0" w:after="0" w:line="360" w:lineRule="auto"/>
        <w:ind w:left="0" w:firstLine="562" w:firstLineChars="200"/>
        <w:rPr>
          <w:rFonts w:hint="eastAsia" w:ascii="黑体" w:hAnsi="黑体" w:eastAsia="黑体" w:cs="黑体"/>
          <w:b/>
          <w:bCs/>
          <w:sz w:val="28"/>
          <w:szCs w:val="28"/>
        </w:rPr>
      </w:pPr>
      <w:bookmarkStart w:id="249" w:name="_Toc251537695"/>
      <w:r>
        <w:rPr>
          <w:rFonts w:hint="eastAsia" w:ascii="黑体" w:hAnsi="黑体" w:eastAsia="黑体" w:cs="黑体"/>
          <w:b/>
          <w:bCs/>
          <w:sz w:val="28"/>
          <w:szCs w:val="28"/>
        </w:rPr>
        <w:t>试运行期</w:t>
      </w:r>
      <w:bookmarkEnd w:id="249"/>
    </w:p>
    <w:p>
      <w:pPr>
        <w:numPr>
          <w:ilvl w:val="0"/>
          <w:numId w:val="0"/>
        </w:numPr>
        <w:adjustRightInd w:val="0"/>
        <w:snapToGrid w:val="0"/>
        <w:spacing w:line="360" w:lineRule="auto"/>
        <w:ind w:leftChars="200"/>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现场验收后，需要提供至少3个月的试运行期</w:t>
      </w:r>
      <w:r>
        <w:rPr>
          <w:rFonts w:hint="eastAsia" w:ascii="宋体" w:hAnsi="宋体" w:eastAsia="宋体" w:cs="Times New Roman"/>
          <w:color w:val="000000"/>
          <w:sz w:val="24"/>
          <w:highlight w:val="none"/>
          <w:lang w:eastAsia="zh-CN"/>
        </w:rPr>
        <w:t>。</w:t>
      </w:r>
    </w:p>
    <w:p>
      <w:pPr>
        <w:pStyle w:val="4"/>
        <w:spacing w:before="0" w:after="0" w:line="360" w:lineRule="auto"/>
        <w:ind w:left="0" w:firstLine="562" w:firstLineChars="200"/>
        <w:rPr>
          <w:rFonts w:hint="eastAsia" w:ascii="黑体" w:hAnsi="黑体" w:eastAsia="黑体" w:cs="黑体"/>
          <w:b/>
          <w:bCs/>
          <w:sz w:val="28"/>
          <w:szCs w:val="28"/>
        </w:rPr>
      </w:pPr>
      <w:bookmarkStart w:id="250" w:name="_Toc251537696"/>
      <w:r>
        <w:rPr>
          <w:rFonts w:hint="eastAsia" w:ascii="黑体" w:hAnsi="黑体" w:eastAsia="黑体" w:cs="黑体"/>
          <w:b/>
          <w:bCs/>
          <w:sz w:val="28"/>
          <w:szCs w:val="28"/>
        </w:rPr>
        <w:t>项目验收</w:t>
      </w:r>
      <w:bookmarkEnd w:id="250"/>
    </w:p>
    <w:p>
      <w:pPr>
        <w:numPr>
          <w:ilvl w:val="0"/>
          <w:numId w:val="28"/>
        </w:numPr>
        <w:adjustRightInd w:val="0"/>
        <w:snapToGrid w:val="0"/>
        <w:spacing w:line="360" w:lineRule="auto"/>
        <w:ind w:left="0" w:leftChars="0" w:firstLine="480" w:firstLineChars="200"/>
        <w:rPr>
          <w:rFonts w:ascii="宋体" w:hAnsi="宋体" w:eastAsia="宋体" w:cs="Times New Roman"/>
          <w:color w:val="000000"/>
          <w:sz w:val="24"/>
          <w:highlight w:val="none"/>
        </w:rPr>
      </w:pPr>
      <w:r>
        <w:rPr>
          <w:rFonts w:hint="default" w:ascii="宋体" w:hAnsi="宋体" w:eastAsia="宋体" w:cs="Times New Roman"/>
          <w:color w:val="000000"/>
          <w:sz w:val="24"/>
          <w:highlight w:val="none"/>
        </w:rPr>
        <w:t>在满足以下两个条件的前提下，中标方方可提出</w:t>
      </w:r>
      <w:r>
        <w:rPr>
          <w:rFonts w:hint="eastAsia" w:ascii="宋体" w:hAnsi="宋体" w:eastAsia="宋体" w:cs="Times New Roman"/>
          <w:color w:val="000000"/>
          <w:sz w:val="24"/>
          <w:highlight w:val="none"/>
          <w:lang w:val="en-US" w:eastAsia="zh-CN"/>
        </w:rPr>
        <w:t>项目</w:t>
      </w:r>
      <w:r>
        <w:rPr>
          <w:rFonts w:hint="default" w:ascii="宋体" w:hAnsi="宋体" w:eastAsia="宋体" w:cs="Times New Roman"/>
          <w:color w:val="000000"/>
          <w:sz w:val="24"/>
          <w:highlight w:val="none"/>
        </w:rPr>
        <w:t>验收申请</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a</w:t>
      </w:r>
      <w:r>
        <w:rPr>
          <w:rFonts w:hint="default" w:ascii="宋体" w:hAnsi="宋体" w:eastAsia="宋体" w:cs="Times New Roman"/>
          <w:color w:val="000000"/>
          <w:sz w:val="24"/>
          <w:highlight w:val="none"/>
        </w:rPr>
        <w:t>）试运行期间，系统运行正常；</w:t>
      </w:r>
      <w:r>
        <w:rPr>
          <w:rFonts w:hint="eastAsia" w:ascii="宋体" w:hAnsi="宋体" w:eastAsia="宋体" w:cs="Times New Roman"/>
          <w:color w:val="000000"/>
          <w:sz w:val="24"/>
          <w:highlight w:val="none"/>
          <w:lang w:val="en-US" w:eastAsia="zh-CN"/>
        </w:rPr>
        <w:t>b</w:t>
      </w:r>
      <w:r>
        <w:rPr>
          <w:rFonts w:hint="default" w:ascii="宋体" w:hAnsi="宋体" w:eastAsia="宋体" w:cs="Times New Roman"/>
          <w:color w:val="000000"/>
          <w:sz w:val="24"/>
          <w:highlight w:val="none"/>
        </w:rPr>
        <w:t>）试运行期满3个月。</w:t>
      </w:r>
    </w:p>
    <w:bookmarkEnd w:id="231"/>
    <w:p>
      <w:pPr>
        <w:rPr>
          <w:rFonts w:hint="eastAsia"/>
        </w:rPr>
      </w:pPr>
      <w:bookmarkStart w:id="251" w:name="_Toc451757657"/>
    </w:p>
    <w:p>
      <w:pPr>
        <w:pStyle w:val="2"/>
        <w:spacing w:before="120" w:after="120" w:line="360" w:lineRule="auto"/>
        <w:rPr>
          <w:rFonts w:hint="eastAsia" w:ascii="黑体" w:hAnsi="黑体" w:eastAsia="黑体" w:cs="Times New Roman"/>
          <w:sz w:val="32"/>
        </w:rPr>
      </w:pPr>
      <w:r>
        <w:rPr>
          <w:rFonts w:hint="eastAsia" w:ascii="黑体" w:hAnsi="黑体" w:eastAsia="黑体" w:cs="Times New Roman"/>
          <w:sz w:val="32"/>
        </w:rPr>
        <w:t>售后服务</w:t>
      </w:r>
      <w:bookmarkEnd w:id="251"/>
      <w:r>
        <w:rPr>
          <w:rFonts w:hint="eastAsia" w:ascii="黑体" w:hAnsi="黑体" w:eastAsia="黑体" w:cs="Times New Roman"/>
          <w:sz w:val="32"/>
          <w:lang w:val="en-US" w:eastAsia="zh-CN"/>
        </w:rPr>
        <w:t>及技术支持</w:t>
      </w:r>
    </w:p>
    <w:p>
      <w:pPr>
        <w:pStyle w:val="70"/>
        <w:keepNext/>
        <w:keepLines/>
        <w:numPr>
          <w:ilvl w:val="0"/>
          <w:numId w:val="18"/>
        </w:numPr>
        <w:tabs>
          <w:tab w:val="left" w:pos="420"/>
        </w:tabs>
        <w:ind w:firstLineChars="0"/>
        <w:outlineLvl w:val="1"/>
        <w:rPr>
          <w:rFonts w:ascii="宋体" w:hAnsi="宋体"/>
          <w:b/>
          <w:bCs/>
          <w:vanish/>
          <w:sz w:val="28"/>
          <w:szCs w:val="30"/>
        </w:rPr>
      </w:pPr>
      <w:bookmarkStart w:id="252" w:name="_Toc451093270"/>
      <w:bookmarkEnd w:id="252"/>
      <w:bookmarkStart w:id="253" w:name="_Toc450171575"/>
      <w:bookmarkEnd w:id="253"/>
      <w:bookmarkStart w:id="254" w:name="_Toc451676566"/>
      <w:bookmarkEnd w:id="254"/>
      <w:bookmarkStart w:id="255" w:name="_Toc451074308"/>
      <w:bookmarkEnd w:id="255"/>
      <w:bookmarkStart w:id="256" w:name="_Toc451074362"/>
      <w:bookmarkEnd w:id="256"/>
      <w:bookmarkStart w:id="257" w:name="_Toc451093534"/>
      <w:bookmarkEnd w:id="257"/>
      <w:bookmarkStart w:id="258" w:name="_Toc451093336"/>
      <w:bookmarkEnd w:id="258"/>
      <w:bookmarkStart w:id="259" w:name="_Toc451676632"/>
      <w:bookmarkEnd w:id="259"/>
      <w:bookmarkStart w:id="260" w:name="_Toc451074430"/>
      <w:bookmarkEnd w:id="260"/>
      <w:bookmarkStart w:id="261" w:name="_Toc451757658"/>
      <w:bookmarkEnd w:id="261"/>
      <w:bookmarkStart w:id="262" w:name="_Toc450914873"/>
      <w:bookmarkEnd w:id="262"/>
      <w:bookmarkStart w:id="263" w:name="_Toc450170388"/>
      <w:bookmarkEnd w:id="263"/>
    </w:p>
    <w:p>
      <w:pPr>
        <w:pStyle w:val="70"/>
        <w:numPr>
          <w:ilvl w:val="0"/>
          <w:numId w:val="20"/>
        </w:numPr>
        <w:tabs>
          <w:tab w:val="left" w:pos="432"/>
        </w:tabs>
        <w:ind w:firstLineChars="0"/>
        <w:outlineLvl w:val="1"/>
        <w:rPr>
          <w:b/>
          <w:vanish/>
          <w:sz w:val="28"/>
        </w:rPr>
      </w:pPr>
      <w:bookmarkStart w:id="264" w:name="_Toc451757659"/>
      <w:bookmarkEnd w:id="264"/>
      <w:bookmarkStart w:id="265" w:name="_Toc451676633"/>
      <w:bookmarkEnd w:id="265"/>
      <w:bookmarkStart w:id="266" w:name="_Toc451093337"/>
      <w:bookmarkEnd w:id="266"/>
      <w:bookmarkStart w:id="267" w:name="_Toc451676567"/>
      <w:bookmarkEnd w:id="267"/>
      <w:bookmarkStart w:id="268" w:name="_Toc451093271"/>
      <w:bookmarkEnd w:id="268"/>
      <w:bookmarkStart w:id="269" w:name="_Toc451093535"/>
      <w:bookmarkEnd w:id="269"/>
    </w:p>
    <w:p>
      <w:pPr>
        <w:pStyle w:val="3"/>
        <w:spacing w:before="120" w:after="120" w:line="360" w:lineRule="auto"/>
        <w:rPr>
          <w:rFonts w:ascii="黑体" w:hAnsi="黑体" w:eastAsia="黑体"/>
          <w:sz w:val="28"/>
          <w:highlight w:val="none"/>
        </w:rPr>
      </w:pPr>
      <w:bookmarkStart w:id="270" w:name="_Toc451757661"/>
      <w:r>
        <w:rPr>
          <w:rFonts w:hint="eastAsia" w:ascii="黑体" w:hAnsi="黑体" w:eastAsia="黑体"/>
          <w:sz w:val="28"/>
          <w:highlight w:val="none"/>
        </w:rPr>
        <w:t>质保期内售后服务</w:t>
      </w:r>
      <w:bookmarkEnd w:id="270"/>
    </w:p>
    <w:p>
      <w:pPr>
        <w:numPr>
          <w:ilvl w:val="0"/>
          <w:numId w:val="29"/>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highlight w:val="none"/>
        </w:rPr>
        <w:t>本项目质保期为</w:t>
      </w:r>
      <w:r>
        <w:rPr>
          <w:rFonts w:hint="eastAsia" w:ascii="宋体" w:hAnsi="宋体"/>
          <w:color w:val="000000"/>
          <w:sz w:val="24"/>
          <w:highlight w:val="none"/>
          <w:lang w:val="en-US" w:eastAsia="zh-CN"/>
        </w:rPr>
        <w:t>5</w:t>
      </w:r>
      <w:r>
        <w:rPr>
          <w:rFonts w:hint="eastAsia" w:ascii="宋体" w:hAnsi="宋体"/>
          <w:color w:val="000000"/>
          <w:sz w:val="24"/>
          <w:highlight w:val="none"/>
        </w:rPr>
        <w:t>年，</w:t>
      </w:r>
      <w:r>
        <w:rPr>
          <w:rFonts w:hint="eastAsia" w:ascii="宋体" w:hAnsi="宋体"/>
          <w:color w:val="000000"/>
          <w:sz w:val="24"/>
        </w:rPr>
        <w:t>质保期间提供季度巡检服务和特殊保障时期的特殊巡检服务。</w:t>
      </w:r>
    </w:p>
    <w:p>
      <w:pPr>
        <w:numPr>
          <w:ilvl w:val="0"/>
          <w:numId w:val="29"/>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投标方应提出在正常条件下保证系统正常稳定运行的维护计划，包括系统维护、故障诊断、板件更换、故障处理等。</w:t>
      </w:r>
    </w:p>
    <w:p>
      <w:pPr>
        <w:numPr>
          <w:ilvl w:val="0"/>
          <w:numId w:val="29"/>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质保期内，如果系统出现故障，投标人应提供服务，负责查找故障原因并将系统恢复到正常运行。在系统或设备本身发生故障的情况下，一切费用由投标人负担。系统维护的方式、费用、联系方法、响应时间、人员要求如下：</w:t>
      </w:r>
    </w:p>
    <w:p>
      <w:pPr>
        <w:widowControl/>
        <w:numPr>
          <w:ilvl w:val="0"/>
          <w:numId w:val="30"/>
        </w:numPr>
        <w:tabs>
          <w:tab w:val="left" w:pos="1134"/>
          <w:tab w:val="clear" w:pos="934"/>
        </w:tabs>
        <w:spacing w:line="360" w:lineRule="auto"/>
        <w:ind w:hanging="227"/>
        <w:jc w:val="left"/>
        <w:rPr>
          <w:sz w:val="24"/>
        </w:rPr>
      </w:pPr>
      <w:r>
        <w:rPr>
          <w:rFonts w:hint="eastAsia"/>
          <w:sz w:val="24"/>
        </w:rPr>
        <w:t>维护方式为热线技术支持电话和现场服务；</w:t>
      </w:r>
    </w:p>
    <w:p>
      <w:pPr>
        <w:widowControl/>
        <w:numPr>
          <w:ilvl w:val="0"/>
          <w:numId w:val="30"/>
        </w:numPr>
        <w:tabs>
          <w:tab w:val="left" w:pos="1134"/>
          <w:tab w:val="clear" w:pos="934"/>
        </w:tabs>
        <w:spacing w:line="360" w:lineRule="auto"/>
        <w:ind w:hanging="227"/>
        <w:jc w:val="left"/>
        <w:rPr>
          <w:sz w:val="24"/>
        </w:rPr>
      </w:pPr>
      <w:r>
        <w:rPr>
          <w:rFonts w:hint="eastAsia"/>
          <w:sz w:val="24"/>
        </w:rPr>
        <w:t>质保期内所有维护费用均为免费；</w:t>
      </w:r>
    </w:p>
    <w:p>
      <w:pPr>
        <w:widowControl/>
        <w:numPr>
          <w:ilvl w:val="0"/>
          <w:numId w:val="30"/>
        </w:numPr>
        <w:tabs>
          <w:tab w:val="left" w:pos="1134"/>
          <w:tab w:val="clear" w:pos="934"/>
        </w:tabs>
        <w:spacing w:line="360" w:lineRule="auto"/>
        <w:ind w:hanging="227"/>
        <w:jc w:val="left"/>
        <w:rPr>
          <w:sz w:val="24"/>
        </w:rPr>
      </w:pPr>
      <w:r>
        <w:rPr>
          <w:rFonts w:hint="eastAsia"/>
          <w:sz w:val="24"/>
        </w:rPr>
        <w:t>质保期内免费提供软件升级版本及服务。</w:t>
      </w:r>
    </w:p>
    <w:p>
      <w:pPr>
        <w:widowControl/>
        <w:numPr>
          <w:ilvl w:val="0"/>
          <w:numId w:val="30"/>
        </w:numPr>
        <w:tabs>
          <w:tab w:val="left" w:pos="1134"/>
          <w:tab w:val="clear" w:pos="934"/>
        </w:tabs>
        <w:spacing w:line="360" w:lineRule="auto"/>
        <w:ind w:left="1134" w:hanging="425"/>
        <w:jc w:val="left"/>
        <w:rPr>
          <w:rFonts w:hint="eastAsia"/>
          <w:sz w:val="24"/>
        </w:rPr>
      </w:pPr>
      <w:r>
        <w:rPr>
          <w:rFonts w:hint="eastAsia"/>
          <w:sz w:val="24"/>
        </w:rPr>
        <w:t>投标人在投标文件中应提供参与本项目售后服务的详细人员配备情况。</w:t>
      </w:r>
    </w:p>
    <w:p>
      <w:pPr>
        <w:numPr>
          <w:ilvl w:val="0"/>
          <w:numId w:val="29"/>
        </w:numPr>
        <w:adjustRightInd w:val="0"/>
        <w:snapToGrid w:val="0"/>
        <w:spacing w:line="360" w:lineRule="auto"/>
        <w:ind w:left="0" w:firstLine="480" w:firstLineChars="200"/>
        <w:rPr>
          <w:rFonts w:hint="eastAsia" w:ascii="宋体" w:hAnsi="宋体"/>
          <w:color w:val="000000"/>
          <w:sz w:val="24"/>
        </w:rPr>
      </w:pPr>
      <w:r>
        <w:rPr>
          <w:rFonts w:hint="eastAsia" w:ascii="宋体" w:hAnsi="宋体"/>
          <w:color w:val="000000"/>
          <w:sz w:val="24"/>
        </w:rPr>
        <w:t>质保期内，故障处理时间要求如下：</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7"/>
        <w:gridCol w:w="3260"/>
        <w:gridCol w:w="3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jc w:val="center"/>
        </w:trPr>
        <w:tc>
          <w:tcPr>
            <w:tcW w:w="1857" w:type="dxa"/>
            <w:noWrap w:val="0"/>
            <w:vAlign w:val="center"/>
          </w:tcPr>
          <w:p>
            <w:pPr>
              <w:ind w:firstLine="199" w:firstLineChars="83"/>
              <w:rPr>
                <w:rFonts w:ascii="宋体" w:hAnsi="宋体" w:cs="Arial"/>
                <w:sz w:val="24"/>
              </w:rPr>
            </w:pPr>
            <w:r>
              <w:rPr>
                <w:rFonts w:hint="eastAsia" w:ascii="宋体" w:hAnsi="宋体" w:cs="Arial"/>
                <w:sz w:val="24"/>
              </w:rPr>
              <w:t>故障内容</w:t>
            </w:r>
          </w:p>
        </w:tc>
        <w:tc>
          <w:tcPr>
            <w:tcW w:w="3260" w:type="dxa"/>
            <w:noWrap w:val="0"/>
            <w:vAlign w:val="center"/>
          </w:tcPr>
          <w:p>
            <w:pPr>
              <w:rPr>
                <w:rFonts w:ascii="宋体" w:hAnsi="宋体" w:cs="Arial"/>
                <w:sz w:val="24"/>
              </w:rPr>
            </w:pPr>
            <w:r>
              <w:rPr>
                <w:rFonts w:hint="eastAsia" w:ascii="宋体" w:hAnsi="宋体" w:cs="Arial"/>
                <w:sz w:val="24"/>
              </w:rPr>
              <w:t>多个显示单元同时故障或屏幕拼接处理器故障，导致大屏幕显示系统整体不可用</w:t>
            </w:r>
          </w:p>
        </w:tc>
        <w:tc>
          <w:tcPr>
            <w:tcW w:w="3412" w:type="dxa"/>
            <w:noWrap w:val="0"/>
            <w:vAlign w:val="center"/>
          </w:tcPr>
          <w:p>
            <w:pPr>
              <w:rPr>
                <w:rFonts w:ascii="宋体" w:hAnsi="宋体" w:cs="Arial"/>
                <w:sz w:val="24"/>
              </w:rPr>
            </w:pPr>
            <w:r>
              <w:rPr>
                <w:rFonts w:hint="eastAsia" w:ascii="宋体" w:hAnsi="宋体" w:cs="Arial"/>
                <w:sz w:val="24"/>
              </w:rPr>
              <w:t>单个显示单元故障或整个系统内部分模块故障，导致大屏幕显示系统部分不可用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jc w:val="center"/>
        </w:trPr>
        <w:tc>
          <w:tcPr>
            <w:tcW w:w="1857" w:type="dxa"/>
            <w:vMerge w:val="restart"/>
            <w:noWrap w:val="0"/>
            <w:vAlign w:val="center"/>
          </w:tcPr>
          <w:p>
            <w:pPr>
              <w:ind w:firstLine="199" w:firstLineChars="83"/>
              <w:rPr>
                <w:rFonts w:ascii="宋体" w:hAnsi="宋体" w:cs="Arial"/>
                <w:sz w:val="24"/>
              </w:rPr>
            </w:pPr>
            <w:r>
              <w:rPr>
                <w:rFonts w:hint="eastAsia" w:ascii="宋体" w:hAnsi="宋体" w:cs="Arial"/>
                <w:sz w:val="24"/>
              </w:rPr>
              <w:t>响应时间</w:t>
            </w:r>
          </w:p>
        </w:tc>
        <w:tc>
          <w:tcPr>
            <w:tcW w:w="3260" w:type="dxa"/>
            <w:noWrap w:val="0"/>
            <w:vAlign w:val="center"/>
          </w:tcPr>
          <w:p>
            <w:pPr>
              <w:rPr>
                <w:rFonts w:ascii="宋体" w:hAnsi="宋体" w:cs="Arial"/>
                <w:sz w:val="24"/>
              </w:rPr>
            </w:pPr>
            <w:r>
              <w:rPr>
                <w:rFonts w:hint="eastAsia" w:ascii="宋体" w:hAnsi="宋体" w:cs="Arial"/>
                <w:sz w:val="24"/>
              </w:rPr>
              <w:t>≤0</w:t>
            </w:r>
            <w:r>
              <w:rPr>
                <w:rFonts w:ascii="宋体" w:hAnsi="宋体" w:cs="Arial"/>
                <w:sz w:val="24"/>
              </w:rPr>
              <w:t>.5</w:t>
            </w:r>
            <w:r>
              <w:rPr>
                <w:rFonts w:hint="eastAsia" w:ascii="宋体" w:hAnsi="宋体" w:cs="Arial"/>
                <w:sz w:val="24"/>
              </w:rPr>
              <w:t>小时</w:t>
            </w:r>
          </w:p>
        </w:tc>
        <w:tc>
          <w:tcPr>
            <w:tcW w:w="3412" w:type="dxa"/>
            <w:noWrap w:val="0"/>
            <w:vAlign w:val="center"/>
          </w:tcPr>
          <w:p>
            <w:pPr>
              <w:rPr>
                <w:rFonts w:ascii="宋体" w:hAnsi="宋体" w:cs="Arial"/>
                <w:sz w:val="24"/>
              </w:rPr>
            </w:pPr>
            <w:r>
              <w:rPr>
                <w:rFonts w:hint="eastAsia" w:ascii="宋体" w:hAnsi="宋体" w:cs="Arial"/>
                <w:sz w:val="24"/>
              </w:rPr>
              <w:t>≤0.5小时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jc w:val="center"/>
        </w:trPr>
        <w:tc>
          <w:tcPr>
            <w:tcW w:w="1857" w:type="dxa"/>
            <w:vMerge w:val="continue"/>
            <w:noWrap w:val="0"/>
            <w:vAlign w:val="center"/>
          </w:tcPr>
          <w:p>
            <w:pPr>
              <w:ind w:firstLine="480"/>
              <w:rPr>
                <w:rFonts w:ascii="宋体" w:hAnsi="宋体" w:cs="Arial"/>
                <w:sz w:val="24"/>
              </w:rPr>
            </w:pPr>
          </w:p>
        </w:tc>
        <w:tc>
          <w:tcPr>
            <w:tcW w:w="6672" w:type="dxa"/>
            <w:gridSpan w:val="2"/>
            <w:noWrap w:val="0"/>
            <w:vAlign w:val="center"/>
          </w:tcPr>
          <w:p>
            <w:pPr>
              <w:ind w:firstLine="480"/>
              <w:rPr>
                <w:rFonts w:ascii="宋体" w:hAnsi="宋体" w:cs="Arial"/>
                <w:sz w:val="24"/>
              </w:rPr>
            </w:pPr>
            <w:r>
              <w:rPr>
                <w:rFonts w:hint="eastAsia" w:ascii="宋体" w:hAnsi="宋体" w:cs="Arial"/>
                <w:sz w:val="24"/>
              </w:rPr>
              <w:t>用户通过</w:t>
            </w:r>
            <w:r>
              <w:rPr>
                <w:rFonts w:hint="eastAsia"/>
                <w:sz w:val="24"/>
              </w:rPr>
              <w:t>电话、E-M</w:t>
            </w:r>
            <w:r>
              <w:rPr>
                <w:sz w:val="24"/>
              </w:rPr>
              <w:t>ail</w:t>
            </w:r>
            <w:r>
              <w:rPr>
                <w:rFonts w:hint="eastAsia"/>
                <w:sz w:val="24"/>
              </w:rPr>
              <w:t>、传真等</w:t>
            </w:r>
            <w:r>
              <w:rPr>
                <w:rFonts w:hint="eastAsia" w:ascii="宋体" w:hAnsi="宋体" w:cs="Arial"/>
                <w:sz w:val="24"/>
              </w:rPr>
              <w:t>服务方式提出故障处理申请，维护人员将第一时间响应用户的需求。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jc w:val="center"/>
        </w:trPr>
        <w:tc>
          <w:tcPr>
            <w:tcW w:w="1857" w:type="dxa"/>
            <w:vMerge w:val="restart"/>
            <w:noWrap w:val="0"/>
            <w:vAlign w:val="center"/>
          </w:tcPr>
          <w:p>
            <w:pPr>
              <w:rPr>
                <w:rFonts w:ascii="宋体" w:hAnsi="宋体" w:cs="Arial"/>
                <w:sz w:val="24"/>
              </w:rPr>
            </w:pPr>
            <w:r>
              <w:rPr>
                <w:rFonts w:hint="eastAsia" w:ascii="宋体" w:hAnsi="宋体" w:cs="Arial"/>
                <w:sz w:val="24"/>
              </w:rPr>
              <w:t>抵达现场时间</w:t>
            </w:r>
          </w:p>
        </w:tc>
        <w:tc>
          <w:tcPr>
            <w:tcW w:w="3260" w:type="dxa"/>
            <w:noWrap w:val="0"/>
            <w:vAlign w:val="center"/>
          </w:tcPr>
          <w:p>
            <w:pPr>
              <w:ind w:firstLine="199" w:firstLineChars="83"/>
              <w:rPr>
                <w:rFonts w:ascii="宋体" w:hAnsi="宋体" w:cs="Arial"/>
                <w:sz w:val="24"/>
              </w:rPr>
            </w:pPr>
            <w:r>
              <w:rPr>
                <w:rFonts w:hint="eastAsia" w:ascii="宋体" w:hAnsi="宋体" w:cs="Arial"/>
                <w:sz w:val="24"/>
              </w:rPr>
              <w:t>≤</w:t>
            </w:r>
            <w:r>
              <w:rPr>
                <w:rFonts w:ascii="宋体" w:hAnsi="宋体" w:cs="Arial"/>
                <w:sz w:val="24"/>
              </w:rPr>
              <w:t>1</w:t>
            </w:r>
            <w:r>
              <w:rPr>
                <w:rFonts w:hint="eastAsia" w:ascii="宋体" w:hAnsi="宋体" w:cs="Arial"/>
                <w:sz w:val="24"/>
              </w:rPr>
              <w:t>小时</w:t>
            </w:r>
          </w:p>
        </w:tc>
        <w:tc>
          <w:tcPr>
            <w:tcW w:w="3412" w:type="dxa"/>
            <w:noWrap w:val="0"/>
            <w:vAlign w:val="center"/>
          </w:tcPr>
          <w:p>
            <w:pPr>
              <w:ind w:firstLine="199" w:firstLineChars="83"/>
              <w:rPr>
                <w:rFonts w:ascii="宋体" w:hAnsi="宋体" w:cs="Arial"/>
                <w:sz w:val="24"/>
              </w:rPr>
            </w:pPr>
            <w:r>
              <w:rPr>
                <w:rFonts w:hint="eastAsia" w:ascii="宋体" w:hAnsi="宋体" w:cs="Arial"/>
                <w:sz w:val="24"/>
              </w:rPr>
              <w:t>≤2小时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jc w:val="center"/>
        </w:trPr>
        <w:tc>
          <w:tcPr>
            <w:tcW w:w="1857" w:type="dxa"/>
            <w:vMerge w:val="continue"/>
            <w:noWrap w:val="0"/>
            <w:vAlign w:val="center"/>
          </w:tcPr>
          <w:p>
            <w:pPr>
              <w:ind w:firstLine="480"/>
              <w:rPr>
                <w:rFonts w:ascii="宋体" w:hAnsi="宋体" w:cs="Arial"/>
                <w:sz w:val="24"/>
              </w:rPr>
            </w:pPr>
          </w:p>
        </w:tc>
        <w:tc>
          <w:tcPr>
            <w:tcW w:w="6672" w:type="dxa"/>
            <w:gridSpan w:val="2"/>
            <w:noWrap w:val="0"/>
            <w:vAlign w:val="center"/>
          </w:tcPr>
          <w:p>
            <w:pPr>
              <w:ind w:firstLine="480"/>
              <w:jc w:val="center"/>
              <w:rPr>
                <w:rFonts w:ascii="宋体" w:hAnsi="宋体" w:cs="Arial"/>
                <w:sz w:val="24"/>
              </w:rPr>
            </w:pPr>
            <w:r>
              <w:rPr>
                <w:rFonts w:hint="eastAsia" w:ascii="宋体" w:hAnsi="宋体" w:cs="Arial"/>
                <w:sz w:val="24"/>
              </w:rPr>
              <w:t>抵达现场视具体交通状况而定。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836" w:hRule="atLeast"/>
          <w:jc w:val="center"/>
        </w:trPr>
        <w:tc>
          <w:tcPr>
            <w:tcW w:w="1857" w:type="dxa"/>
            <w:noWrap w:val="0"/>
            <w:vAlign w:val="center"/>
          </w:tcPr>
          <w:p>
            <w:pPr>
              <w:rPr>
                <w:rFonts w:ascii="宋体" w:hAnsi="宋体" w:cs="Arial"/>
                <w:sz w:val="24"/>
              </w:rPr>
            </w:pPr>
            <w:r>
              <w:rPr>
                <w:rFonts w:hint="eastAsia" w:ascii="宋体" w:hAnsi="宋体" w:cs="Arial"/>
                <w:sz w:val="24"/>
              </w:rPr>
              <w:t>排除故障时间（含备件调拨时间）</w:t>
            </w:r>
          </w:p>
        </w:tc>
        <w:tc>
          <w:tcPr>
            <w:tcW w:w="3260" w:type="dxa"/>
            <w:noWrap w:val="0"/>
            <w:vAlign w:val="center"/>
          </w:tcPr>
          <w:p>
            <w:pPr>
              <w:jc w:val="center"/>
              <w:rPr>
                <w:rFonts w:ascii="宋体" w:hAnsi="宋体" w:cs="Arial"/>
                <w:sz w:val="24"/>
              </w:rPr>
            </w:pPr>
            <w:r>
              <w:rPr>
                <w:rFonts w:hint="eastAsia" w:ascii="宋体" w:hAnsi="宋体" w:cs="Arial"/>
                <w:sz w:val="24"/>
              </w:rPr>
              <w:t>≤</w:t>
            </w:r>
            <w:r>
              <w:rPr>
                <w:rFonts w:ascii="宋体" w:hAnsi="宋体" w:cs="Arial"/>
                <w:sz w:val="24"/>
              </w:rPr>
              <w:t>12</w:t>
            </w:r>
            <w:r>
              <w:rPr>
                <w:rFonts w:hint="eastAsia" w:ascii="宋体" w:hAnsi="宋体" w:cs="Arial"/>
                <w:sz w:val="24"/>
              </w:rPr>
              <w:t>小时</w:t>
            </w:r>
          </w:p>
        </w:tc>
        <w:tc>
          <w:tcPr>
            <w:tcW w:w="3412" w:type="dxa"/>
            <w:noWrap w:val="0"/>
            <w:vAlign w:val="center"/>
          </w:tcPr>
          <w:p>
            <w:pPr>
              <w:ind w:firstLine="199" w:firstLineChars="83"/>
              <w:rPr>
                <w:rFonts w:ascii="宋体" w:hAnsi="宋体" w:cs="Arial"/>
                <w:sz w:val="24"/>
              </w:rPr>
            </w:pPr>
            <w:r>
              <w:rPr>
                <w:rFonts w:hint="eastAsia" w:ascii="宋体" w:hAnsi="宋体" w:cs="Arial"/>
                <w:sz w:val="24"/>
              </w:rPr>
              <w:t>≤</w:t>
            </w:r>
            <w:r>
              <w:rPr>
                <w:rFonts w:ascii="宋体" w:hAnsi="宋体" w:cs="Arial"/>
                <w:sz w:val="24"/>
              </w:rPr>
              <w:t>24</w:t>
            </w:r>
            <w:r>
              <w:rPr>
                <w:rFonts w:hint="eastAsia" w:ascii="宋体" w:hAnsi="宋体" w:cs="Arial"/>
                <w:sz w:val="24"/>
              </w:rPr>
              <w:t>小时</w:t>
            </w:r>
          </w:p>
        </w:tc>
      </w:tr>
    </w:tbl>
    <w:p>
      <w:pPr>
        <w:adjustRightInd w:val="0"/>
        <w:snapToGrid w:val="0"/>
        <w:spacing w:line="360" w:lineRule="auto"/>
        <w:ind w:left="480"/>
        <w:rPr>
          <w:rFonts w:ascii="宋体" w:hAnsi="宋体"/>
          <w:color w:val="000000"/>
          <w:sz w:val="24"/>
        </w:rPr>
      </w:pPr>
    </w:p>
    <w:p>
      <w:pPr>
        <w:numPr>
          <w:ilvl w:val="0"/>
          <w:numId w:val="29"/>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投标人提供的售后服务还应包括：技术咨询及交流，根据招标人的需求，通过各种形式（如电子邮件、电话、座谈会、研讨会等）就系统运行遇到的问题和解决方法进行技术交流。</w:t>
      </w:r>
    </w:p>
    <w:p>
      <w:pPr>
        <w:numPr>
          <w:ilvl w:val="0"/>
          <w:numId w:val="29"/>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投标人应最大限度地提供技术指导及技术支持范围和程度，包括可提供的系统支援设备的详情。在系统设备运行期间根据需要，投标人有责任派专业技术人员到现场指导维护工作。</w:t>
      </w:r>
    </w:p>
    <w:p>
      <w:pPr>
        <w:numPr>
          <w:ilvl w:val="0"/>
          <w:numId w:val="29"/>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如果系统在一个特定部分发生重复性故障时，投标人应同意对这个部分重新计算质保期(软件和硬件同样适用)。如果重复故障使整个系统不能正常运行，整个系统的质保期应重新开始计算。</w:t>
      </w:r>
    </w:p>
    <w:p>
      <w:pPr>
        <w:numPr>
          <w:ilvl w:val="0"/>
          <w:numId w:val="29"/>
        </w:numPr>
        <w:adjustRightInd w:val="0"/>
        <w:snapToGrid w:val="0"/>
        <w:spacing w:line="360" w:lineRule="auto"/>
        <w:ind w:left="0" w:firstLine="480" w:firstLineChars="200"/>
        <w:rPr>
          <w:rFonts w:ascii="宋体" w:hAnsi="宋体"/>
          <w:color w:val="000000"/>
          <w:sz w:val="24"/>
          <w:highlight w:val="yellow"/>
        </w:rPr>
      </w:pPr>
      <w:r>
        <w:rPr>
          <w:rFonts w:hint="eastAsia" w:ascii="宋体" w:hAnsi="宋体"/>
          <w:color w:val="000000"/>
          <w:sz w:val="24"/>
          <w:highlight w:val="yellow"/>
        </w:rPr>
        <w:t>承诺对发现的软件安全漏洞问题进行整改，原则上高危漏洞一周内</w:t>
      </w:r>
      <w:r>
        <w:rPr>
          <w:rFonts w:hint="eastAsia" w:ascii="宋体" w:hAnsi="宋体"/>
          <w:color w:val="000000"/>
          <w:sz w:val="24"/>
          <w:highlight w:val="yellow"/>
          <w:lang w:val="en-US" w:eastAsia="zh-CN"/>
        </w:rPr>
        <w:t>完成</w:t>
      </w:r>
      <w:r>
        <w:rPr>
          <w:rFonts w:hint="eastAsia" w:ascii="宋体" w:hAnsi="宋体"/>
          <w:color w:val="000000"/>
          <w:sz w:val="24"/>
          <w:highlight w:val="yellow"/>
        </w:rPr>
        <w:t>整改，中低危漏洞30天内</w:t>
      </w:r>
      <w:r>
        <w:rPr>
          <w:rFonts w:hint="eastAsia" w:ascii="宋体" w:hAnsi="宋体"/>
          <w:color w:val="000000"/>
          <w:sz w:val="24"/>
          <w:highlight w:val="yellow"/>
          <w:lang w:val="en-US" w:eastAsia="zh-CN"/>
        </w:rPr>
        <w:t>完成</w:t>
      </w:r>
      <w:r>
        <w:rPr>
          <w:rFonts w:hint="eastAsia" w:ascii="宋体" w:hAnsi="宋体"/>
          <w:color w:val="000000"/>
          <w:sz w:val="24"/>
          <w:highlight w:val="yellow"/>
        </w:rPr>
        <w:t>整改</w:t>
      </w:r>
      <w:r>
        <w:rPr>
          <w:rFonts w:hint="eastAsia" w:ascii="宋体" w:hAnsi="宋体"/>
          <w:color w:val="000000"/>
          <w:sz w:val="24"/>
          <w:highlight w:val="yellow"/>
          <w:lang w:eastAsia="zh-CN"/>
        </w:rPr>
        <w:t>。</w:t>
      </w:r>
    </w:p>
    <w:p>
      <w:pPr>
        <w:pStyle w:val="3"/>
        <w:spacing w:before="120" w:after="120" w:line="360" w:lineRule="auto"/>
        <w:rPr>
          <w:rFonts w:ascii="黑体" w:hAnsi="黑体" w:eastAsia="黑体"/>
          <w:sz w:val="28"/>
        </w:rPr>
      </w:pPr>
      <w:bookmarkStart w:id="271" w:name="_Toc451757662"/>
      <w:r>
        <w:rPr>
          <w:rFonts w:hint="eastAsia" w:ascii="黑体" w:hAnsi="黑体" w:eastAsia="黑体"/>
          <w:sz w:val="28"/>
        </w:rPr>
        <w:t>质保期后售后服务</w:t>
      </w:r>
      <w:bookmarkEnd w:id="271"/>
    </w:p>
    <w:p>
      <w:pPr>
        <w:numPr>
          <w:ilvl w:val="0"/>
          <w:numId w:val="3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质保期后，投标人仍应根据合同要求向招标人提供系统在寿命期内的技术支持和维护服务，并以合理价格提供招标人需要的备品备件和由于原理性故障而导致的系统改进。</w:t>
      </w:r>
    </w:p>
    <w:p>
      <w:pPr>
        <w:numPr>
          <w:ilvl w:val="0"/>
          <w:numId w:val="3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在系统达到最终规模时，投标人应保证系统的功能和指标满足本技术规范书的要求，如不能满足要求，投标人应承担系统能力扩展带来的费用。</w:t>
      </w:r>
    </w:p>
    <w:p>
      <w:pPr>
        <w:numPr>
          <w:ilvl w:val="0"/>
          <w:numId w:val="3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质保期后至此系统生命终结，如招标人有新的功能要求，投标人应积极配合，以合理价格进行硬软件升级或改造。对于招标人提出的硬软件缺陷和错误，投标人不应以推出新版本解决为由，而推迟解决时间，应针对招标人提出的问题及时免费予以修正。如不能在原版本上解决问题，应免费提供软件版本的更新。</w:t>
      </w:r>
    </w:p>
    <w:p>
      <w:pPr>
        <w:numPr>
          <w:ilvl w:val="0"/>
          <w:numId w:val="31"/>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质保期结束后，投标人有责任进行定期维护和修理。投标人应提出质保期后的收费维修、维护内容(包括日常维护和预防性维护)，费用和服务方式、范围（产品技术、板件），供招标人参考，其费用不计入投标总价。投标人在投标文件中必须明确说明，招标人将予以评估。</w:t>
      </w:r>
    </w:p>
    <w:bookmarkEnd w:id="4"/>
    <w:bookmarkEnd w:id="5"/>
    <w:p>
      <w:pPr>
        <w:numPr>
          <w:ilvl w:val="0"/>
          <w:numId w:val="31"/>
        </w:numPr>
        <w:adjustRightInd w:val="0"/>
        <w:snapToGrid w:val="0"/>
        <w:spacing w:line="360" w:lineRule="auto"/>
        <w:rPr>
          <w:rFonts w:ascii="宋体" w:hAnsi="宋体"/>
          <w:color w:val="000000"/>
          <w:sz w:val="24"/>
        </w:rPr>
      </w:pPr>
      <w:r>
        <w:rPr>
          <w:rFonts w:hint="eastAsia" w:ascii="宋体" w:hAnsi="宋体"/>
          <w:color w:val="000000"/>
          <w:sz w:val="24"/>
        </w:rPr>
        <w:t>质保期后3年内本项目提供的设备（含备品备件）价格不得高于本次中标价格。</w:t>
      </w:r>
    </w:p>
    <w:p>
      <w:pPr>
        <w:numPr>
          <w:ilvl w:val="0"/>
          <w:numId w:val="31"/>
        </w:numPr>
        <w:adjustRightInd w:val="0"/>
        <w:snapToGrid w:val="0"/>
        <w:spacing w:line="360" w:lineRule="auto"/>
        <w:ind w:left="0" w:firstLine="480" w:firstLineChars="20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应提供项目</w:t>
      </w:r>
      <w:r>
        <w:rPr>
          <w:rFonts w:hint="eastAsia" w:ascii="宋体" w:hAnsi="宋体" w:eastAsia="宋体" w:cs="Times New Roman"/>
          <w:color w:val="000000"/>
          <w:sz w:val="24"/>
          <w:highlight w:val="none"/>
        </w:rPr>
        <w:t>所购</w:t>
      </w:r>
      <w:r>
        <w:rPr>
          <w:rFonts w:hint="eastAsia" w:ascii="宋体" w:hAnsi="宋体" w:eastAsia="宋体" w:cs="Times New Roman"/>
          <w:color w:val="000000"/>
          <w:sz w:val="24"/>
          <w:highlight w:val="none"/>
          <w:lang w:val="en-US" w:eastAsia="zh-CN"/>
        </w:rPr>
        <w:t>设备的</w:t>
      </w:r>
      <w:r>
        <w:rPr>
          <w:rFonts w:hint="eastAsia" w:ascii="宋体" w:hAnsi="宋体" w:eastAsia="宋体" w:cs="Times New Roman"/>
          <w:color w:val="000000"/>
          <w:sz w:val="24"/>
          <w:highlight w:val="none"/>
        </w:rPr>
        <w:t>备品备件或有关元件</w:t>
      </w:r>
      <w:r>
        <w:rPr>
          <w:rFonts w:hint="eastAsia" w:ascii="宋体" w:hAnsi="宋体" w:eastAsia="宋体" w:cs="Times New Roman"/>
          <w:color w:val="000000"/>
          <w:sz w:val="24"/>
          <w:highlight w:val="none"/>
          <w:lang w:val="en-US" w:eastAsia="zh-CN"/>
        </w:rPr>
        <w:t>的库存周期承诺</w:t>
      </w:r>
      <w:r>
        <w:rPr>
          <w:rFonts w:hint="eastAsia" w:ascii="宋体" w:hAnsi="宋体" w:eastAsia="宋体" w:cs="Times New Roman"/>
          <w:color w:val="000000"/>
          <w:sz w:val="24"/>
          <w:highlight w:val="none"/>
        </w:rPr>
        <w:t>。</w:t>
      </w:r>
    </w:p>
    <w:p>
      <w:pPr>
        <w:pStyle w:val="3"/>
        <w:spacing w:before="120" w:after="120" w:line="360" w:lineRule="auto"/>
        <w:ind w:left="567" w:hanging="567"/>
        <w:rPr>
          <w:rFonts w:hint="eastAsia" w:ascii="黑体" w:hAnsi="黑体" w:eastAsia="黑体" w:cs="Times New Roman"/>
          <w:sz w:val="28"/>
        </w:rPr>
      </w:pPr>
      <w:r>
        <w:rPr>
          <w:rFonts w:hint="default" w:ascii="黑体" w:hAnsi="黑体" w:eastAsia="黑体" w:cs="Times New Roman"/>
          <w:sz w:val="28"/>
        </w:rPr>
        <w:t>培训及会议</w:t>
      </w:r>
    </w:p>
    <w:p>
      <w:pPr>
        <w:adjustRightInd w:val="0"/>
        <w:snapToGrid w:val="0"/>
        <w:spacing w:line="360" w:lineRule="auto"/>
        <w:ind w:firstLine="480" w:firstLineChars="200"/>
        <w:rPr>
          <w:rFonts w:hint="eastAsia" w:ascii="宋体" w:hAnsi="宋体"/>
          <w:color w:val="000000"/>
          <w:sz w:val="24"/>
        </w:rPr>
      </w:pPr>
      <w:r>
        <w:rPr>
          <w:rFonts w:hint="eastAsia" w:ascii="宋体" w:hAnsi="宋体"/>
          <w:color w:val="000000"/>
          <w:sz w:val="24"/>
        </w:rPr>
        <w:t>项目期间组织召开至少1次设计联络会，1次验收会议， 1次原厂技术培训，其费用计入投标总价。其中</w:t>
      </w:r>
      <w:r>
        <w:rPr>
          <w:rFonts w:ascii="宋体" w:hAnsi="宋体"/>
          <w:color w:val="000000"/>
          <w:sz w:val="24"/>
        </w:rPr>
        <w:t>培训要求如</w:t>
      </w:r>
      <w:r>
        <w:rPr>
          <w:rFonts w:hint="eastAsia" w:ascii="宋体" w:hAnsi="宋体"/>
          <w:color w:val="000000"/>
          <w:sz w:val="24"/>
        </w:rPr>
        <w:t>下</w:t>
      </w:r>
      <w:r>
        <w:rPr>
          <w:rFonts w:ascii="宋体" w:hAnsi="宋体"/>
          <w:color w:val="000000"/>
          <w:sz w:val="24"/>
        </w:rPr>
        <w:t>：</w:t>
      </w:r>
    </w:p>
    <w:p>
      <w:pPr>
        <w:pStyle w:val="70"/>
        <w:numPr>
          <w:ilvl w:val="0"/>
          <w:numId w:val="20"/>
        </w:numPr>
        <w:tabs>
          <w:tab w:val="left" w:pos="432"/>
        </w:tabs>
        <w:spacing w:before="120" w:beforeLines="50"/>
        <w:ind w:firstLineChars="0"/>
        <w:outlineLvl w:val="1"/>
        <w:rPr>
          <w:rFonts w:eastAsia="黑体"/>
          <w:b/>
          <w:vanish/>
          <w:sz w:val="32"/>
        </w:rPr>
      </w:pPr>
    </w:p>
    <w:p>
      <w:pPr>
        <w:numPr>
          <w:ilvl w:val="0"/>
          <w:numId w:val="32"/>
        </w:numPr>
        <w:adjustRightInd w:val="0"/>
        <w:snapToGrid w:val="0"/>
        <w:spacing w:line="360" w:lineRule="auto"/>
        <w:ind w:left="0" w:firstLine="480" w:firstLineChars="200"/>
        <w:rPr>
          <w:rFonts w:ascii="宋体" w:hAnsi="宋体"/>
          <w:color w:val="000000"/>
          <w:sz w:val="24"/>
        </w:rPr>
      </w:pPr>
      <w:r>
        <w:rPr>
          <w:rFonts w:hint="eastAsia" w:ascii="宋体" w:hAnsi="宋体"/>
          <w:color w:val="000000"/>
          <w:sz w:val="24"/>
        </w:rPr>
        <w:t>投标方应负责对招标方技术人员进行系统硬件、随硬件配置的软件等方面的技术培训，使他们掌握或熟悉系统的运行、检查、修理和维护；</w:t>
      </w:r>
    </w:p>
    <w:p>
      <w:pPr>
        <w:numPr>
          <w:ilvl w:val="0"/>
          <w:numId w:val="32"/>
        </w:numPr>
        <w:adjustRightInd w:val="0"/>
        <w:snapToGrid w:val="0"/>
        <w:spacing w:line="360" w:lineRule="auto"/>
        <w:ind w:left="0" w:firstLine="480" w:firstLineChars="200"/>
        <w:rPr>
          <w:rFonts w:hint="eastAsia" w:ascii="宋体" w:hAnsi="宋体" w:eastAsia="宋体" w:cs="Times New Roman"/>
          <w:color w:val="000000"/>
          <w:sz w:val="24"/>
        </w:rPr>
      </w:pPr>
      <w:r>
        <w:rPr>
          <w:rFonts w:hint="eastAsia" w:ascii="宋体" w:hAnsi="宋体"/>
          <w:color w:val="000000"/>
          <w:sz w:val="24"/>
        </w:rPr>
        <w:t>投标方应向招标方培训人员提供最新的技术文件、图纸、参考数据等（要求为参与培训人员每人提供至少一套完整的培训资料），并提供使用试验仪器、工具、安全保</w:t>
      </w:r>
      <w:r>
        <w:rPr>
          <w:rFonts w:hint="eastAsia" w:ascii="宋体" w:hAnsi="宋体" w:eastAsia="宋体" w:cs="Times New Roman"/>
          <w:color w:val="000000"/>
          <w:sz w:val="24"/>
        </w:rPr>
        <w:t>护用品，以及其它必需品及工作和培训场地；</w:t>
      </w:r>
    </w:p>
    <w:p>
      <w:pPr>
        <w:numPr>
          <w:ilvl w:val="0"/>
          <w:numId w:val="32"/>
        </w:numPr>
        <w:adjustRightInd w:val="0"/>
        <w:snapToGrid w:val="0"/>
        <w:spacing w:line="360" w:lineRule="auto"/>
        <w:ind w:left="0"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投标方应提出培训计划（包括培训内容、时间、形式），与招标方磋商；</w:t>
      </w:r>
    </w:p>
    <w:p>
      <w:pPr>
        <w:numPr>
          <w:ilvl w:val="0"/>
          <w:numId w:val="32"/>
        </w:numPr>
        <w:adjustRightInd w:val="0"/>
        <w:snapToGrid w:val="0"/>
        <w:spacing w:before="0" w:after="0" w:line="360" w:lineRule="auto"/>
        <w:ind w:left="0"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投标方应提出培训的建议日期、培训时间表和课程表，在招标方同意后进行培训</w:t>
      </w:r>
      <w:r>
        <w:rPr>
          <w:rFonts w:hint="eastAsia" w:ascii="宋体" w:hAnsi="宋体" w:eastAsia="宋体" w:cs="Times New Roman"/>
          <w:color w:val="000000"/>
          <w:sz w:val="24"/>
          <w:lang w:eastAsia="zh-CN"/>
        </w:rPr>
        <w:t>。</w:t>
      </w:r>
    </w:p>
    <w:p>
      <w:pPr>
        <w:spacing w:line="360" w:lineRule="auto"/>
        <w:rPr>
          <w:rFonts w:hint="eastAsia" w:ascii="宋体" w:hAnsi="宋体" w:cs="宋体"/>
          <w:sz w:val="24"/>
        </w:rPr>
      </w:pPr>
    </w:p>
    <w:sectPr>
      <w:footerReference r:id="rId5" w:type="default"/>
      <w:pgSz w:w="11906" w:h="16838"/>
      <w:pgMar w:top="1701" w:right="1418" w:bottom="1418" w:left="1418" w:header="1021" w:footer="102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FFFFFFFF" w:usb1="E9FFFFFF" w:usb2="0000003F" w:usb3="00000000" w:csb0="603F01FF" w:csb1="FFFF0000"/>
  </w:font>
  <w:font w:name="ˎ̥">
    <w:altName w:val="思源黑体 CN"/>
    <w:panose1 w:val="00000000000000000000"/>
    <w:charset w:val="00"/>
    <w:family w:val="roman"/>
    <w:pitch w:val="default"/>
    <w:sig w:usb0="00000000" w:usb1="00000000" w:usb2="00000000" w:usb3="00000000" w:csb0="00040001" w:csb1="00000000"/>
  </w:font>
  <w:font w:name="方正书宋简体">
    <w:altName w:val="宋体"/>
    <w:panose1 w:val="0201060103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clear" w:pos="4153"/>
        <w:tab w:val="clear" w:pos="8306"/>
      </w:tabs>
      <w:ind w:right="-2"/>
      <w:jc w:val="center"/>
    </w:pPr>
    <w:r>
      <w:t xml:space="preserve">- </w:t>
    </w:r>
    <w:r>
      <w:fldChar w:fldCharType="begin"/>
    </w:r>
    <w:r>
      <w:rPr>
        <w:rStyle w:val="38"/>
      </w:rPr>
      <w:instrText xml:space="preserve"> PAGE </w:instrText>
    </w:r>
    <w:r>
      <w:fldChar w:fldCharType="separate"/>
    </w:r>
    <w:r>
      <w:rPr>
        <w:rStyle w:val="38"/>
        <w:lang/>
      </w:rPr>
      <w:t>i</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clear" w:pos="4153"/>
      </w:tabs>
      <w:jc w:val="center"/>
    </w:pPr>
    <w:r>
      <w:t>-</w:t>
    </w:r>
    <w:r>
      <w:rPr>
        <w:rFonts w:hint="eastAsia"/>
      </w:rPr>
      <w:t xml:space="preserve"> </w:t>
    </w:r>
    <w:r>
      <w:fldChar w:fldCharType="begin"/>
    </w:r>
    <w:r>
      <w:rPr>
        <w:rStyle w:val="38"/>
      </w:rPr>
      <w:instrText xml:space="preserve"> PAGE </w:instrText>
    </w:r>
    <w:r>
      <w:fldChar w:fldCharType="separate"/>
    </w:r>
    <w:r>
      <w:rPr>
        <w:rStyle w:val="38"/>
        <w:lang/>
      </w:rPr>
      <w:t>8</w:t>
    </w:r>
    <w:r>
      <w:fldChar w:fldCharType="end"/>
    </w:r>
    <w:r>
      <w:rPr>
        <w:rStyle w:val="38"/>
        <w:rFonts w:hint="eastAsia"/>
      </w:rPr>
      <w:t xml:space="preserve"> </w:t>
    </w:r>
    <w: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enter" w:pos="6840"/>
        <w:tab w:val="right" w:pos="13680"/>
        <w:tab w:val="clear" w:pos="4153"/>
        <w:tab w:val="clear" w:pos="8306"/>
      </w:tabs>
      <w:rPr>
        <w:rFonts w:hint="eastAsia" w:ascii="Times New Roman" w:hAnsi="Times New Roman" w:eastAsia="宋体" w:cs="Times New Roman"/>
      </w:rPr>
    </w:pPr>
    <w:bookmarkStart w:id="272" w:name="OLE_LINK27"/>
    <w:bookmarkStart w:id="273" w:name="_Hlk381609216"/>
    <w:bookmarkStart w:id="274" w:name="OLE_LINK35"/>
    <w:bookmarkStart w:id="275" w:name="OLE_LINK31"/>
    <w:bookmarkStart w:id="276" w:name="_Hlk381609222"/>
    <w:bookmarkStart w:id="277" w:name="_Hlk381609191"/>
    <w:bookmarkStart w:id="278" w:name="_Hlk381609246"/>
    <w:bookmarkStart w:id="279" w:name="OLE_LINK33"/>
    <w:bookmarkStart w:id="280" w:name="_Hlk381609234"/>
    <w:bookmarkStart w:id="281" w:name="OLE_LINK34"/>
    <w:bookmarkStart w:id="282" w:name="OLE_LINK30"/>
    <w:bookmarkStart w:id="283" w:name="OLE_LINK26"/>
    <w:bookmarkStart w:id="284" w:name="OLE_LINK32"/>
    <w:bookmarkStart w:id="285" w:name="OLE_LINK28"/>
    <w:bookmarkStart w:id="286" w:name="OLE_LINK29"/>
    <w:r>
      <w:rPr>
        <w:rFonts w:hint="eastAsia" w:ascii="Times New Roman" w:hAnsi="Times New Roman" w:eastAsia="宋体" w:cs="Times New Roman"/>
      </w:rPr>
      <w:t>南网总调珠江备调调度大厅大屏幕系统改造项目招标文件技术规范书</w:t>
    </w:r>
  </w:p>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Pr>
      <w:pStyle w:val="25"/>
      <w:pBdr>
        <w:bottom w:val="none" w:color="auto" w:sz="0" w:space="0"/>
      </w:pBdr>
      <w:spacing w:line="240" w:lineRule="atLeast"/>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C45EA3"/>
    <w:multiLevelType w:val="singleLevel"/>
    <w:tmpl w:val="84C45EA3"/>
    <w:lvl w:ilvl="0" w:tentative="0">
      <w:start w:val="1"/>
      <w:numFmt w:val="decimal"/>
      <w:lvlText w:val="%1)"/>
      <w:lvlJc w:val="left"/>
      <w:pPr>
        <w:tabs>
          <w:tab w:val="left" w:pos="420"/>
        </w:tabs>
        <w:ind w:left="845" w:hanging="425"/>
      </w:pPr>
      <w:rPr>
        <w:rFonts w:hint="default"/>
      </w:rPr>
    </w:lvl>
  </w:abstractNum>
  <w:abstractNum w:abstractNumId="1">
    <w:nsid w:val="A840E11D"/>
    <w:multiLevelType w:val="multilevel"/>
    <w:tmpl w:val="A840E11D"/>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D8DE4F49"/>
    <w:multiLevelType w:val="singleLevel"/>
    <w:tmpl w:val="D8DE4F49"/>
    <w:lvl w:ilvl="0" w:tentative="0">
      <w:start w:val="1"/>
      <w:numFmt w:val="decimal"/>
      <w:lvlText w:val="%1)"/>
      <w:lvlJc w:val="left"/>
      <w:pPr>
        <w:tabs>
          <w:tab w:val="left" w:pos="420"/>
        </w:tabs>
        <w:ind w:left="845" w:hanging="425"/>
      </w:pPr>
      <w:rPr>
        <w:rFonts w:hint="default"/>
      </w:rPr>
    </w:lvl>
  </w:abstractNum>
  <w:abstractNum w:abstractNumId="3">
    <w:nsid w:val="E8AA9151"/>
    <w:multiLevelType w:val="multilevel"/>
    <w:tmpl w:val="E8AA9151"/>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ED84EEEB"/>
    <w:multiLevelType w:val="multilevel"/>
    <w:tmpl w:val="ED84EEEB"/>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FF6C98B7"/>
    <w:multiLevelType w:val="singleLevel"/>
    <w:tmpl w:val="FF6C98B7"/>
    <w:lvl w:ilvl="0" w:tentative="0">
      <w:start w:val="1"/>
      <w:numFmt w:val="decimal"/>
      <w:lvlText w:val="%1)"/>
      <w:lvlJc w:val="left"/>
      <w:pPr>
        <w:tabs>
          <w:tab w:val="left" w:pos="420"/>
        </w:tabs>
        <w:ind w:left="845" w:hanging="425"/>
      </w:pPr>
      <w:rPr>
        <w:rFonts w:hint="default"/>
        <w:strike w:val="0"/>
        <w:dstrike w:val="0"/>
      </w:rPr>
    </w:lvl>
  </w:abstractNum>
  <w:abstractNum w:abstractNumId="6">
    <w:nsid w:val="01F415D5"/>
    <w:multiLevelType w:val="multilevel"/>
    <w:tmpl w:val="01F415D5"/>
    <w:lvl w:ilvl="0" w:tentative="0">
      <w:start w:val="1"/>
      <w:numFmt w:val="decimal"/>
      <w:pStyle w:val="121"/>
      <w:lvlText w:val="(%1)"/>
      <w:lvlJc w:val="left"/>
      <w:pPr>
        <w:tabs>
          <w:tab w:val="left" w:pos="1434"/>
        </w:tabs>
        <w:ind w:left="1434" w:hanging="720"/>
      </w:pPr>
      <w:rPr>
        <w:rFonts w:hint="default"/>
      </w:rPr>
    </w:lvl>
    <w:lvl w:ilvl="1" w:tentative="0">
      <w:start w:val="1"/>
      <w:numFmt w:val="lowerLetter"/>
      <w:lvlText w:val="%2)"/>
      <w:lvlJc w:val="left"/>
      <w:pPr>
        <w:tabs>
          <w:tab w:val="left" w:pos="1554"/>
        </w:tabs>
        <w:ind w:left="1554" w:hanging="420"/>
      </w:pPr>
    </w:lvl>
    <w:lvl w:ilvl="2" w:tentative="0">
      <w:start w:val="1"/>
      <w:numFmt w:val="lowerRoman"/>
      <w:lvlText w:val="%3."/>
      <w:lvlJc w:val="right"/>
      <w:pPr>
        <w:tabs>
          <w:tab w:val="left" w:pos="1974"/>
        </w:tabs>
        <w:ind w:left="1974" w:hanging="420"/>
      </w:pPr>
    </w:lvl>
    <w:lvl w:ilvl="3" w:tentative="0">
      <w:start w:val="1"/>
      <w:numFmt w:val="decimal"/>
      <w:lvlText w:val="%4."/>
      <w:lvlJc w:val="left"/>
      <w:pPr>
        <w:tabs>
          <w:tab w:val="left" w:pos="2394"/>
        </w:tabs>
        <w:ind w:left="2394" w:hanging="420"/>
      </w:pPr>
    </w:lvl>
    <w:lvl w:ilvl="4" w:tentative="0">
      <w:start w:val="1"/>
      <w:numFmt w:val="lowerLetter"/>
      <w:lvlText w:val="%5)"/>
      <w:lvlJc w:val="left"/>
      <w:pPr>
        <w:tabs>
          <w:tab w:val="left" w:pos="2814"/>
        </w:tabs>
        <w:ind w:left="2814" w:hanging="420"/>
      </w:pPr>
    </w:lvl>
    <w:lvl w:ilvl="5" w:tentative="0">
      <w:start w:val="1"/>
      <w:numFmt w:val="lowerRoman"/>
      <w:lvlText w:val="%6."/>
      <w:lvlJc w:val="right"/>
      <w:pPr>
        <w:tabs>
          <w:tab w:val="left" w:pos="3234"/>
        </w:tabs>
        <w:ind w:left="3234" w:hanging="420"/>
      </w:pPr>
    </w:lvl>
    <w:lvl w:ilvl="6" w:tentative="0">
      <w:start w:val="1"/>
      <w:numFmt w:val="decimal"/>
      <w:lvlText w:val="%7."/>
      <w:lvlJc w:val="left"/>
      <w:pPr>
        <w:tabs>
          <w:tab w:val="left" w:pos="3654"/>
        </w:tabs>
        <w:ind w:left="3654" w:hanging="420"/>
      </w:pPr>
    </w:lvl>
    <w:lvl w:ilvl="7" w:tentative="0">
      <w:start w:val="1"/>
      <w:numFmt w:val="lowerLetter"/>
      <w:lvlText w:val="%8)"/>
      <w:lvlJc w:val="left"/>
      <w:pPr>
        <w:tabs>
          <w:tab w:val="left" w:pos="4074"/>
        </w:tabs>
        <w:ind w:left="4074" w:hanging="420"/>
      </w:pPr>
    </w:lvl>
    <w:lvl w:ilvl="8" w:tentative="0">
      <w:start w:val="1"/>
      <w:numFmt w:val="lowerRoman"/>
      <w:lvlText w:val="%9."/>
      <w:lvlJc w:val="right"/>
      <w:pPr>
        <w:tabs>
          <w:tab w:val="left" w:pos="4494"/>
        </w:tabs>
        <w:ind w:left="4494" w:hanging="420"/>
      </w:pPr>
    </w:lvl>
  </w:abstractNum>
  <w:abstractNum w:abstractNumId="7">
    <w:nsid w:val="029653B1"/>
    <w:multiLevelType w:val="multilevel"/>
    <w:tmpl w:val="029653B1"/>
    <w:lvl w:ilvl="0" w:tentative="0">
      <w:start w:val="1"/>
      <w:numFmt w:val="decimal"/>
      <w:pStyle w:val="108"/>
      <w:lvlText w:val="%1."/>
      <w:lvlJc w:val="left"/>
      <w:pPr>
        <w:tabs>
          <w:tab w:val="left" w:pos="1650"/>
        </w:tabs>
        <w:ind w:left="1650" w:hanging="495"/>
      </w:pPr>
      <w:rPr>
        <w:rFonts w:hint="default"/>
      </w:rPr>
    </w:lvl>
    <w:lvl w:ilvl="1" w:tentative="0">
      <w:start w:val="1"/>
      <w:numFmt w:val="lowerLetter"/>
      <w:lvlText w:val="%2)"/>
      <w:lvlJc w:val="left"/>
      <w:pPr>
        <w:tabs>
          <w:tab w:val="left" w:pos="1995"/>
        </w:tabs>
        <w:ind w:left="1995" w:hanging="420"/>
      </w:pPr>
    </w:lvl>
    <w:lvl w:ilvl="2" w:tentative="0">
      <w:start w:val="1"/>
      <w:numFmt w:val="lowerRoman"/>
      <w:lvlText w:val="%3."/>
      <w:lvlJc w:val="right"/>
      <w:pPr>
        <w:tabs>
          <w:tab w:val="left" w:pos="2415"/>
        </w:tabs>
        <w:ind w:left="2415" w:hanging="420"/>
      </w:pPr>
    </w:lvl>
    <w:lvl w:ilvl="3" w:tentative="0">
      <w:start w:val="1"/>
      <w:numFmt w:val="decimal"/>
      <w:lvlText w:val="%4."/>
      <w:lvlJc w:val="left"/>
      <w:pPr>
        <w:tabs>
          <w:tab w:val="left" w:pos="2835"/>
        </w:tabs>
        <w:ind w:left="2835" w:hanging="420"/>
      </w:pPr>
    </w:lvl>
    <w:lvl w:ilvl="4" w:tentative="0">
      <w:start w:val="1"/>
      <w:numFmt w:val="lowerLetter"/>
      <w:lvlText w:val="%5)"/>
      <w:lvlJc w:val="left"/>
      <w:pPr>
        <w:tabs>
          <w:tab w:val="left" w:pos="3255"/>
        </w:tabs>
        <w:ind w:left="3255" w:hanging="420"/>
      </w:pPr>
    </w:lvl>
    <w:lvl w:ilvl="5" w:tentative="0">
      <w:start w:val="1"/>
      <w:numFmt w:val="lowerRoman"/>
      <w:lvlText w:val="%6."/>
      <w:lvlJc w:val="right"/>
      <w:pPr>
        <w:tabs>
          <w:tab w:val="left" w:pos="3675"/>
        </w:tabs>
        <w:ind w:left="3675" w:hanging="420"/>
      </w:pPr>
    </w:lvl>
    <w:lvl w:ilvl="6" w:tentative="0">
      <w:start w:val="1"/>
      <w:numFmt w:val="decimal"/>
      <w:lvlText w:val="%7."/>
      <w:lvlJc w:val="left"/>
      <w:pPr>
        <w:tabs>
          <w:tab w:val="left" w:pos="4095"/>
        </w:tabs>
        <w:ind w:left="4095" w:hanging="420"/>
      </w:pPr>
    </w:lvl>
    <w:lvl w:ilvl="7" w:tentative="0">
      <w:start w:val="1"/>
      <w:numFmt w:val="lowerLetter"/>
      <w:lvlText w:val="%8)"/>
      <w:lvlJc w:val="left"/>
      <w:pPr>
        <w:tabs>
          <w:tab w:val="left" w:pos="4515"/>
        </w:tabs>
        <w:ind w:left="4515" w:hanging="420"/>
      </w:pPr>
    </w:lvl>
    <w:lvl w:ilvl="8" w:tentative="0">
      <w:start w:val="1"/>
      <w:numFmt w:val="lowerRoman"/>
      <w:lvlText w:val="%9."/>
      <w:lvlJc w:val="right"/>
      <w:pPr>
        <w:tabs>
          <w:tab w:val="left" w:pos="4935"/>
        </w:tabs>
        <w:ind w:left="4935" w:hanging="420"/>
      </w:pPr>
    </w:lvl>
  </w:abstractNum>
  <w:abstractNum w:abstractNumId="8">
    <w:nsid w:val="03046370"/>
    <w:multiLevelType w:val="multilevel"/>
    <w:tmpl w:val="03046370"/>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09FE0FA4"/>
    <w:multiLevelType w:val="multilevel"/>
    <w:tmpl w:val="09FE0FA4"/>
    <w:lvl w:ilvl="0" w:tentative="0">
      <w:start w:val="1"/>
      <w:numFmt w:val="lowerLetter"/>
      <w:lvlText w:val="%1)"/>
      <w:lvlJc w:val="left"/>
      <w:pPr>
        <w:tabs>
          <w:tab w:val="left" w:pos="934"/>
        </w:tabs>
        <w:ind w:left="936" w:hanging="369"/>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3474971"/>
    <w:multiLevelType w:val="multilevel"/>
    <w:tmpl w:val="13474971"/>
    <w:lvl w:ilvl="0" w:tentative="0">
      <w:start w:val="1"/>
      <w:numFmt w:val="decimal"/>
      <w:pStyle w:val="86"/>
      <w:lvlText w:val="%1."/>
      <w:lvlJc w:val="left"/>
      <w:pPr>
        <w:ind w:left="360" w:hanging="360"/>
      </w:pPr>
      <w:rPr>
        <w:rFonts w:hint="default" w:cs="Times New Roman"/>
      </w:rPr>
    </w:lvl>
    <w:lvl w:ilvl="1" w:tentative="0">
      <w:start w:val="4"/>
      <w:numFmt w:val="decimal"/>
      <w:isLgl/>
      <w:lvlText w:val="%1.%2"/>
      <w:lvlJc w:val="left"/>
      <w:pPr>
        <w:ind w:left="360" w:hanging="360"/>
      </w:pPr>
      <w:rPr>
        <w:rFonts w:hint="default" w:cs="Times New Roman"/>
      </w:rPr>
    </w:lvl>
    <w:lvl w:ilvl="2" w:tentative="0">
      <w:start w:val="1"/>
      <w:numFmt w:val="decimal"/>
      <w:isLgl/>
      <w:lvlText w:val="%1.%2.%3"/>
      <w:lvlJc w:val="left"/>
      <w:pPr>
        <w:ind w:left="720" w:hanging="720"/>
      </w:pPr>
      <w:rPr>
        <w:rFonts w:hint="default" w:cs="Times New Roman"/>
      </w:rPr>
    </w:lvl>
    <w:lvl w:ilvl="3" w:tentative="0">
      <w:start w:val="1"/>
      <w:numFmt w:val="decimal"/>
      <w:isLgl/>
      <w:lvlText w:val="%1.%2.%3.%4"/>
      <w:lvlJc w:val="left"/>
      <w:pPr>
        <w:ind w:left="720" w:hanging="720"/>
      </w:pPr>
      <w:rPr>
        <w:rFonts w:hint="default" w:cs="Times New Roman"/>
      </w:rPr>
    </w:lvl>
    <w:lvl w:ilvl="4" w:tentative="0">
      <w:start w:val="1"/>
      <w:numFmt w:val="decimal"/>
      <w:isLgl/>
      <w:lvlText w:val="%1.%2.%3.%4.%5"/>
      <w:lvlJc w:val="left"/>
      <w:pPr>
        <w:ind w:left="1080" w:hanging="1080"/>
      </w:pPr>
      <w:rPr>
        <w:rFonts w:hint="default" w:cs="Times New Roman"/>
      </w:rPr>
    </w:lvl>
    <w:lvl w:ilvl="5" w:tentative="0">
      <w:start w:val="1"/>
      <w:numFmt w:val="decimal"/>
      <w:isLgl/>
      <w:lvlText w:val="%1.%2.%3.%4.%5.%6"/>
      <w:lvlJc w:val="left"/>
      <w:pPr>
        <w:ind w:left="1080" w:hanging="1080"/>
      </w:pPr>
      <w:rPr>
        <w:rFonts w:hint="default" w:cs="Times New Roman"/>
      </w:rPr>
    </w:lvl>
    <w:lvl w:ilvl="6" w:tentative="0">
      <w:start w:val="1"/>
      <w:numFmt w:val="decimal"/>
      <w:isLgl/>
      <w:lvlText w:val="%1.%2.%3.%4.%5.%6.%7"/>
      <w:lvlJc w:val="left"/>
      <w:pPr>
        <w:ind w:left="1440" w:hanging="1440"/>
      </w:pPr>
      <w:rPr>
        <w:rFonts w:hint="default" w:cs="Times New Roman"/>
      </w:rPr>
    </w:lvl>
    <w:lvl w:ilvl="7" w:tentative="0">
      <w:start w:val="1"/>
      <w:numFmt w:val="decimal"/>
      <w:isLgl/>
      <w:lvlText w:val="%1.%2.%3.%4.%5.%6.%7.%8"/>
      <w:lvlJc w:val="left"/>
      <w:pPr>
        <w:ind w:left="1440" w:hanging="1440"/>
      </w:pPr>
      <w:rPr>
        <w:rFonts w:hint="default" w:cs="Times New Roman"/>
      </w:rPr>
    </w:lvl>
    <w:lvl w:ilvl="8" w:tentative="0">
      <w:start w:val="1"/>
      <w:numFmt w:val="decimal"/>
      <w:isLgl/>
      <w:lvlText w:val="%1.%2.%3.%4.%5.%6.%7.%8.%9"/>
      <w:lvlJc w:val="left"/>
      <w:pPr>
        <w:ind w:left="1800" w:hanging="1800"/>
      </w:pPr>
      <w:rPr>
        <w:rFonts w:hint="default" w:cs="Times New Roman"/>
      </w:rPr>
    </w:lvl>
  </w:abstractNum>
  <w:abstractNum w:abstractNumId="11">
    <w:nsid w:val="16614774"/>
    <w:multiLevelType w:val="multilevel"/>
    <w:tmpl w:val="16614774"/>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
    <w:nsid w:val="17A96D49"/>
    <w:multiLevelType w:val="multilevel"/>
    <w:tmpl w:val="17A96D49"/>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624"/>
        </w:tabs>
        <w:ind w:left="576" w:hanging="576"/>
      </w:pPr>
      <w:rPr>
        <w:rFonts w:hint="eastAsia" w:ascii="Times New Roman" w:hAnsi="Times New Roman" w:cs="Times New Roman"/>
        <w:bCs w:val="0"/>
        <w:i w:val="0"/>
        <w:iCs w:val="0"/>
        <w:caps w:val="0"/>
        <w:smallCaps w:val="0"/>
        <w:strike w:val="0"/>
        <w:dstrike w:val="0"/>
        <w:vanish w:val="0"/>
        <w:color w:val="000000"/>
        <w:spacing w:val="0"/>
        <w:position w:val="0"/>
        <w:u w:val="none"/>
        <w:vertAlign w:val="baseline"/>
      </w:rPr>
    </w:lvl>
    <w:lvl w:ilvl="2" w:tentative="0">
      <w:start w:val="1"/>
      <w:numFmt w:val="decimal"/>
      <w:lvlText w:val="%1.%2.%3"/>
      <w:lvlJc w:val="left"/>
      <w:pPr>
        <w:tabs>
          <w:tab w:val="left" w:pos="851"/>
        </w:tabs>
        <w:ind w:left="720" w:hanging="720"/>
      </w:p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3">
    <w:nsid w:val="24AB6F3C"/>
    <w:multiLevelType w:val="multilevel"/>
    <w:tmpl w:val="24AB6F3C"/>
    <w:lvl w:ilvl="0" w:tentative="0">
      <w:start w:val="1"/>
      <w:numFmt w:val="decimal"/>
      <w:pStyle w:val="100"/>
      <w:lvlText w:val="%1."/>
      <w:lvlJc w:val="left"/>
      <w:pPr>
        <w:tabs>
          <w:tab w:val="left" w:pos="360"/>
        </w:tabs>
        <w:ind w:left="360" w:hanging="360"/>
      </w:pPr>
      <w:rPr>
        <w:rFonts w:hint="default"/>
        <w:b/>
      </w:rPr>
    </w:lvl>
    <w:lvl w:ilvl="1" w:tentative="0">
      <w:start w:val="1"/>
      <w:numFmt w:val="lowerLetter"/>
      <w:pStyle w:val="124"/>
      <w:lvlText w:val="%2)"/>
      <w:lvlJc w:val="left"/>
      <w:pPr>
        <w:tabs>
          <w:tab w:val="left" w:pos="840"/>
        </w:tabs>
        <w:ind w:left="840" w:hanging="420"/>
      </w:pPr>
    </w:lvl>
    <w:lvl w:ilvl="2" w:tentative="0">
      <w:start w:val="1"/>
      <w:numFmt w:val="lowerRoman"/>
      <w:pStyle w:val="81"/>
      <w:lvlText w:val="%3."/>
      <w:lvlJc w:val="right"/>
      <w:pPr>
        <w:tabs>
          <w:tab w:val="left" w:pos="1260"/>
        </w:tabs>
        <w:ind w:left="1260" w:hanging="420"/>
      </w:pPr>
    </w:lvl>
    <w:lvl w:ilvl="3" w:tentative="0">
      <w:start w:val="1"/>
      <w:numFmt w:val="decimal"/>
      <w:pStyle w:val="87"/>
      <w:lvlText w:val="%4."/>
      <w:lvlJc w:val="left"/>
      <w:pPr>
        <w:tabs>
          <w:tab w:val="left" w:pos="1680"/>
        </w:tabs>
        <w:ind w:left="1680" w:hanging="420"/>
      </w:pPr>
    </w:lvl>
    <w:lvl w:ilvl="4" w:tentative="0">
      <w:start w:val="1"/>
      <w:numFmt w:val="lowerLetter"/>
      <w:pStyle w:val="105"/>
      <w:lvlText w:val="%5)"/>
      <w:lvlJc w:val="left"/>
      <w:pPr>
        <w:tabs>
          <w:tab w:val="left" w:pos="2100"/>
        </w:tabs>
        <w:ind w:left="2100" w:hanging="420"/>
      </w:pPr>
    </w:lvl>
    <w:lvl w:ilvl="5" w:tentative="0">
      <w:start w:val="1"/>
      <w:numFmt w:val="lowerRoman"/>
      <w:pStyle w:val="104"/>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2BC60378"/>
    <w:multiLevelType w:val="multilevel"/>
    <w:tmpl w:val="2BC60378"/>
    <w:lvl w:ilvl="0" w:tentative="0">
      <w:start w:val="1"/>
      <w:numFmt w:val="decimal"/>
      <w:pStyle w:val="61"/>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46C4C94"/>
    <w:multiLevelType w:val="multilevel"/>
    <w:tmpl w:val="346C4C94"/>
    <w:lvl w:ilvl="0" w:tentative="0">
      <w:start w:val="1"/>
      <w:numFmt w:val="decimal"/>
      <w:pStyle w:val="2"/>
      <w:lvlText w:val="%1"/>
      <w:lvlJc w:val="left"/>
      <w:pPr>
        <w:ind w:left="425" w:hanging="425"/>
      </w:pPr>
      <w:rPr>
        <w:rFonts w:hint="eastAsia"/>
      </w:rPr>
    </w:lvl>
    <w:lvl w:ilvl="1" w:tentative="0">
      <w:start w:val="1"/>
      <w:numFmt w:val="decimal"/>
      <w:pStyle w:val="3"/>
      <w:lvlText w:val="%1.%2"/>
      <w:lvlJc w:val="left"/>
      <w:pPr>
        <w:ind w:left="992" w:hanging="567"/>
      </w:pPr>
      <w:rPr>
        <w:rFonts w:hint="eastAsia"/>
      </w:rPr>
    </w:lvl>
    <w:lvl w:ilvl="2" w:tentative="0">
      <w:start w:val="1"/>
      <w:numFmt w:val="decimal"/>
      <w:pStyle w:val="4"/>
      <w:lvlText w:val="%1.%2.%3"/>
      <w:lvlJc w:val="left"/>
      <w:pPr>
        <w:ind w:left="1418" w:hanging="567"/>
      </w:pPr>
      <w:rPr>
        <w:rFonts w:hint="eastAsia"/>
        <w:b/>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6">
    <w:nsid w:val="3B492A5B"/>
    <w:multiLevelType w:val="multilevel"/>
    <w:tmpl w:val="3B492A5B"/>
    <w:lvl w:ilvl="0" w:tentative="0">
      <w:start w:val="3"/>
      <w:numFmt w:val="decimal"/>
      <w:lvlText w:val="第%1章 "/>
      <w:lvlJc w:val="left"/>
      <w:pPr>
        <w:tabs>
          <w:tab w:val="left" w:pos="420"/>
        </w:tabs>
        <w:ind w:left="420" w:hanging="420"/>
      </w:pPr>
      <w:rPr>
        <w:rFonts w:hint="eastAsia"/>
      </w:rPr>
    </w:lvl>
    <w:lvl w:ilvl="1" w:tentative="0">
      <w:start w:val="1"/>
      <w:numFmt w:val="decimal"/>
      <w:lvlText w:val="1.%2"/>
      <w:lvlJc w:val="left"/>
      <w:pPr>
        <w:tabs>
          <w:tab w:val="left" w:pos="720"/>
        </w:tabs>
        <w:ind w:left="576" w:hanging="576"/>
      </w:pPr>
      <w:rPr>
        <w:rFonts w:hint="eastAsia"/>
      </w:rPr>
    </w:lvl>
    <w:lvl w:ilvl="2" w:tentative="0">
      <w:start w:val="1"/>
      <w:numFmt w:val="decimal"/>
      <w:lvlText w:val="%1.%2.%3"/>
      <w:lvlJc w:val="left"/>
      <w:pPr>
        <w:tabs>
          <w:tab w:val="left" w:pos="1004"/>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7">
    <w:nsid w:val="44604AEB"/>
    <w:multiLevelType w:val="multilevel"/>
    <w:tmpl w:val="44604AEB"/>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45AF167F"/>
    <w:multiLevelType w:val="multilevel"/>
    <w:tmpl w:val="45AF167F"/>
    <w:lvl w:ilvl="0" w:tentative="0">
      <w:start w:val="6"/>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567" w:hanging="567"/>
      </w:pPr>
      <w:rPr>
        <w:rFonts w:hint="eastAsia"/>
      </w:rPr>
    </w:lvl>
    <w:lvl w:ilvl="2" w:tentative="0">
      <w:start w:val="1"/>
      <w:numFmt w:val="decimal"/>
      <w:lvlText w:val="%1.%2.%3."/>
      <w:lvlJc w:val="left"/>
      <w:pPr>
        <w:tabs>
          <w:tab w:val="left" w:pos="0"/>
        </w:tabs>
        <w:ind w:left="709" w:hanging="709"/>
      </w:pPr>
      <w:rPr>
        <w:rFonts w:hint="eastAsia"/>
      </w:rPr>
    </w:lvl>
    <w:lvl w:ilvl="3" w:tentative="0">
      <w:start w:val="1"/>
      <w:numFmt w:val="decimal"/>
      <w:lvlText w:val="%1.%2.%3.%4."/>
      <w:lvlJc w:val="left"/>
      <w:pPr>
        <w:tabs>
          <w:tab w:val="left" w:pos="0"/>
        </w:tabs>
        <w:ind w:left="851" w:hanging="851"/>
      </w:pPr>
      <w:rPr>
        <w:rFonts w:hint="eastAsia"/>
      </w:rPr>
    </w:lvl>
    <w:lvl w:ilvl="4" w:tentative="0">
      <w:start w:val="1"/>
      <w:numFmt w:val="decimal"/>
      <w:lvlText w:val="%1.%2.%3.%4.%5."/>
      <w:lvlJc w:val="left"/>
      <w:pPr>
        <w:tabs>
          <w:tab w:val="left" w:pos="0"/>
        </w:tabs>
        <w:ind w:left="992" w:hanging="992"/>
      </w:pPr>
      <w:rPr>
        <w:rFonts w:hint="eastAsia"/>
      </w:rPr>
    </w:lvl>
    <w:lvl w:ilvl="5" w:tentative="0">
      <w:start w:val="1"/>
      <w:numFmt w:val="decimal"/>
      <w:lvlText w:val="%1.%2.%3.%4.%5.%6."/>
      <w:lvlJc w:val="left"/>
      <w:pPr>
        <w:tabs>
          <w:tab w:val="left" w:pos="0"/>
        </w:tabs>
        <w:ind w:left="1134" w:hanging="1134"/>
      </w:pPr>
      <w:rPr>
        <w:rFonts w:hint="eastAsia"/>
      </w:rPr>
    </w:lvl>
    <w:lvl w:ilvl="6" w:tentative="0">
      <w:start w:val="1"/>
      <w:numFmt w:val="decimal"/>
      <w:lvlText w:val="%1.%2.%3.%4.%5.%6.%7."/>
      <w:lvlJc w:val="left"/>
      <w:pPr>
        <w:tabs>
          <w:tab w:val="left" w:pos="0"/>
        </w:tabs>
        <w:ind w:left="1276" w:hanging="1276"/>
      </w:pPr>
      <w:rPr>
        <w:rFonts w:hint="eastAsia"/>
      </w:rPr>
    </w:lvl>
    <w:lvl w:ilvl="7" w:tentative="0">
      <w:start w:val="1"/>
      <w:numFmt w:val="decimal"/>
      <w:lvlText w:val="%1.%2.%3.%4.%5.%6.%7.%8."/>
      <w:lvlJc w:val="left"/>
      <w:pPr>
        <w:tabs>
          <w:tab w:val="left" w:pos="0"/>
        </w:tabs>
        <w:ind w:left="1418" w:hanging="1418"/>
      </w:pPr>
      <w:rPr>
        <w:rFonts w:hint="eastAsia"/>
      </w:rPr>
    </w:lvl>
    <w:lvl w:ilvl="8" w:tentative="0">
      <w:start w:val="1"/>
      <w:numFmt w:val="decimal"/>
      <w:lvlText w:val="%1.%2.%3.%4.%5.%6.%7.%8.%9."/>
      <w:lvlJc w:val="left"/>
      <w:pPr>
        <w:tabs>
          <w:tab w:val="left" w:pos="0"/>
        </w:tabs>
        <w:ind w:left="1559" w:hanging="1559"/>
      </w:pPr>
      <w:rPr>
        <w:rFonts w:hint="eastAsia"/>
      </w:rPr>
    </w:lvl>
  </w:abstractNum>
  <w:abstractNum w:abstractNumId="19">
    <w:nsid w:val="45E818EC"/>
    <w:multiLevelType w:val="multilevel"/>
    <w:tmpl w:val="45E818EC"/>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92"/>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4BC0B78E"/>
    <w:multiLevelType w:val="multilevel"/>
    <w:tmpl w:val="4BC0B78E"/>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4DFB6257"/>
    <w:multiLevelType w:val="multilevel"/>
    <w:tmpl w:val="4DFB6257"/>
    <w:lvl w:ilvl="0" w:tentative="0">
      <w:start w:val="1"/>
      <w:numFmt w:val="decimal"/>
      <w:pStyle w:val="106"/>
      <w:lvlText w:val="%1"/>
      <w:lvlJc w:val="left"/>
      <w:pPr>
        <w:tabs>
          <w:tab w:val="left" w:pos="630"/>
        </w:tabs>
        <w:ind w:left="630" w:hanging="630"/>
      </w:pPr>
      <w:rPr>
        <w:rFonts w:hint="default" w:hAnsi="Times New Roman"/>
      </w:rPr>
    </w:lvl>
    <w:lvl w:ilvl="1" w:tentative="0">
      <w:start w:val="1"/>
      <w:numFmt w:val="decimal"/>
      <w:lvlText w:val="%1.%2"/>
      <w:lvlJc w:val="left"/>
      <w:pPr>
        <w:tabs>
          <w:tab w:val="left" w:pos="1192"/>
        </w:tabs>
        <w:ind w:left="1192" w:hanging="630"/>
      </w:pPr>
      <w:rPr>
        <w:rFonts w:hint="default" w:hAnsi="Times New Roman"/>
      </w:rPr>
    </w:lvl>
    <w:lvl w:ilvl="2" w:tentative="0">
      <w:start w:val="1"/>
      <w:numFmt w:val="decimal"/>
      <w:lvlText w:val="%1.%2.%3"/>
      <w:lvlJc w:val="left"/>
      <w:pPr>
        <w:tabs>
          <w:tab w:val="left" w:pos="1844"/>
        </w:tabs>
        <w:ind w:left="1844" w:hanging="720"/>
      </w:pPr>
      <w:rPr>
        <w:rFonts w:hint="default" w:hAnsi="Times New Roman"/>
      </w:rPr>
    </w:lvl>
    <w:lvl w:ilvl="3" w:tentative="0">
      <w:start w:val="1"/>
      <w:numFmt w:val="decimal"/>
      <w:lvlText w:val="%1.%2.%3.%4"/>
      <w:lvlJc w:val="left"/>
      <w:pPr>
        <w:tabs>
          <w:tab w:val="left" w:pos="2406"/>
        </w:tabs>
        <w:ind w:left="2406" w:hanging="720"/>
      </w:pPr>
      <w:rPr>
        <w:rFonts w:hint="default" w:hAnsi="Times New Roman"/>
      </w:rPr>
    </w:lvl>
    <w:lvl w:ilvl="4" w:tentative="0">
      <w:start w:val="1"/>
      <w:numFmt w:val="decimal"/>
      <w:lvlText w:val="%1.%2.%3.%4.%5"/>
      <w:lvlJc w:val="left"/>
      <w:pPr>
        <w:tabs>
          <w:tab w:val="left" w:pos="3328"/>
        </w:tabs>
        <w:ind w:left="3328" w:hanging="1080"/>
      </w:pPr>
      <w:rPr>
        <w:rFonts w:hint="default" w:hAnsi="Times New Roman"/>
      </w:rPr>
    </w:lvl>
    <w:lvl w:ilvl="5" w:tentative="0">
      <w:start w:val="1"/>
      <w:numFmt w:val="decimal"/>
      <w:lvlText w:val="%1.%2.%3.%4.%5.%6"/>
      <w:lvlJc w:val="left"/>
      <w:pPr>
        <w:tabs>
          <w:tab w:val="left" w:pos="3890"/>
        </w:tabs>
        <w:ind w:left="3890" w:hanging="1080"/>
      </w:pPr>
      <w:rPr>
        <w:rFonts w:hint="default" w:hAnsi="Times New Roman"/>
      </w:rPr>
    </w:lvl>
    <w:lvl w:ilvl="6" w:tentative="0">
      <w:start w:val="1"/>
      <w:numFmt w:val="decimal"/>
      <w:lvlText w:val="%1.%2.%3.%4.%5.%6.%7"/>
      <w:lvlJc w:val="left"/>
      <w:pPr>
        <w:tabs>
          <w:tab w:val="left" w:pos="4452"/>
        </w:tabs>
        <w:ind w:left="4452" w:hanging="1080"/>
      </w:pPr>
      <w:rPr>
        <w:rFonts w:hint="default" w:hAnsi="Times New Roman"/>
      </w:rPr>
    </w:lvl>
    <w:lvl w:ilvl="7" w:tentative="0">
      <w:start w:val="1"/>
      <w:numFmt w:val="decimal"/>
      <w:lvlText w:val="%1.%2.%3.%4.%5.%6.%7.%8"/>
      <w:lvlJc w:val="left"/>
      <w:pPr>
        <w:tabs>
          <w:tab w:val="left" w:pos="5374"/>
        </w:tabs>
        <w:ind w:left="5374" w:hanging="1440"/>
      </w:pPr>
      <w:rPr>
        <w:rFonts w:hint="default" w:hAnsi="Times New Roman"/>
      </w:rPr>
    </w:lvl>
    <w:lvl w:ilvl="8" w:tentative="0">
      <w:start w:val="1"/>
      <w:numFmt w:val="decimal"/>
      <w:lvlText w:val="%1.%2.%3.%4.%5.%6.%7.%8.%9"/>
      <w:lvlJc w:val="left"/>
      <w:pPr>
        <w:tabs>
          <w:tab w:val="left" w:pos="5936"/>
        </w:tabs>
        <w:ind w:left="5936" w:hanging="1440"/>
      </w:pPr>
      <w:rPr>
        <w:rFonts w:hint="default" w:hAnsi="Times New Roman"/>
      </w:rPr>
    </w:lvl>
  </w:abstractNum>
  <w:abstractNum w:abstractNumId="22">
    <w:nsid w:val="510609F5"/>
    <w:multiLevelType w:val="multilevel"/>
    <w:tmpl w:val="510609F5"/>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3">
    <w:nsid w:val="512C5269"/>
    <w:multiLevelType w:val="multilevel"/>
    <w:tmpl w:val="512C5269"/>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4">
    <w:nsid w:val="5164924F"/>
    <w:multiLevelType w:val="multilevel"/>
    <w:tmpl w:val="5164924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5">
    <w:nsid w:val="57E52F61"/>
    <w:multiLevelType w:val="multilevel"/>
    <w:tmpl w:val="57E52F61"/>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6">
    <w:nsid w:val="6350366A"/>
    <w:multiLevelType w:val="multilevel"/>
    <w:tmpl w:val="6350366A"/>
    <w:lvl w:ilvl="0" w:tentative="0">
      <w:start w:val="1"/>
      <w:numFmt w:val="none"/>
      <w:pStyle w:val="135"/>
      <w:lvlText w:val="%1●　"/>
      <w:lvlJc w:val="left"/>
      <w:pPr>
        <w:tabs>
          <w:tab w:val="left" w:pos="760"/>
        </w:tabs>
        <w:ind w:left="717" w:hanging="317"/>
      </w:pPr>
      <w:rPr>
        <w:rFonts w:hint="eastAsia" w:ascii="宋体" w:hAnsi="Times New Roman" w:eastAsia="宋体"/>
        <w:b w:val="0"/>
        <w:i w:val="0"/>
        <w:position w:val="4"/>
        <w:sz w:val="13"/>
      </w:rPr>
    </w:lvl>
    <w:lvl w:ilvl="1" w:tentative="0">
      <w:start w:val="1"/>
      <w:numFmt w:val="lowerLetter"/>
      <w:lvlText w:val="%2)"/>
      <w:lvlJc w:val="left"/>
      <w:pPr>
        <w:tabs>
          <w:tab w:val="left" w:pos="780"/>
        </w:tabs>
        <w:ind w:left="780" w:hanging="360"/>
      </w:pPr>
      <w:rPr>
        <w:rFonts w:hint="eastAsia"/>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6D703327"/>
    <w:multiLevelType w:val="multilevel"/>
    <w:tmpl w:val="6D703327"/>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8">
    <w:nsid w:val="7BCD28F3"/>
    <w:multiLevelType w:val="multilevel"/>
    <w:tmpl w:val="7BCD28F3"/>
    <w:lvl w:ilvl="0" w:tentative="0">
      <w:start w:val="1"/>
      <w:numFmt w:val="japaneseCounting"/>
      <w:lvlText w:val="%1、"/>
      <w:lvlJc w:val="left"/>
      <w:pPr>
        <w:tabs>
          <w:tab w:val="left" w:pos="322"/>
        </w:tabs>
        <w:ind w:left="322" w:hanging="420"/>
      </w:pPr>
      <w:rPr>
        <w:rFonts w:hint="default"/>
      </w:rPr>
    </w:lvl>
    <w:lvl w:ilvl="1" w:tentative="0">
      <w:start w:val="1"/>
      <w:numFmt w:val="lowerLetter"/>
      <w:pStyle w:val="84"/>
      <w:lvlText w:val="%2)"/>
      <w:lvlJc w:val="left"/>
      <w:pPr>
        <w:tabs>
          <w:tab w:val="left" w:pos="742"/>
        </w:tabs>
        <w:ind w:left="742" w:hanging="420"/>
      </w:pPr>
    </w:lvl>
    <w:lvl w:ilvl="2" w:tentative="0">
      <w:start w:val="1"/>
      <w:numFmt w:val="lowerRoman"/>
      <w:pStyle w:val="83"/>
      <w:lvlText w:val="%3."/>
      <w:lvlJc w:val="right"/>
      <w:pPr>
        <w:tabs>
          <w:tab w:val="left" w:pos="1162"/>
        </w:tabs>
        <w:ind w:left="1162" w:hanging="420"/>
      </w:pPr>
    </w:lvl>
    <w:lvl w:ilvl="3" w:tentative="0">
      <w:start w:val="1"/>
      <w:numFmt w:val="decimal"/>
      <w:lvlText w:val="%4."/>
      <w:lvlJc w:val="left"/>
      <w:pPr>
        <w:tabs>
          <w:tab w:val="left" w:pos="1582"/>
        </w:tabs>
        <w:ind w:left="1582" w:hanging="420"/>
      </w:pPr>
    </w:lvl>
    <w:lvl w:ilvl="4" w:tentative="0">
      <w:start w:val="1"/>
      <w:numFmt w:val="lowerLetter"/>
      <w:pStyle w:val="98"/>
      <w:lvlText w:val="%5)"/>
      <w:lvlJc w:val="left"/>
      <w:pPr>
        <w:tabs>
          <w:tab w:val="left" w:pos="2002"/>
        </w:tabs>
        <w:ind w:left="2002" w:hanging="420"/>
      </w:pPr>
    </w:lvl>
    <w:lvl w:ilvl="5" w:tentative="0">
      <w:start w:val="1"/>
      <w:numFmt w:val="lowerRoman"/>
      <w:pStyle w:val="95"/>
      <w:lvlText w:val="%6."/>
      <w:lvlJc w:val="right"/>
      <w:pPr>
        <w:tabs>
          <w:tab w:val="left" w:pos="2422"/>
        </w:tabs>
        <w:ind w:left="2422" w:hanging="420"/>
      </w:pPr>
    </w:lvl>
    <w:lvl w:ilvl="6" w:tentative="0">
      <w:start w:val="1"/>
      <w:numFmt w:val="decimal"/>
      <w:pStyle w:val="91"/>
      <w:lvlText w:val="%7."/>
      <w:lvlJc w:val="left"/>
      <w:pPr>
        <w:tabs>
          <w:tab w:val="left" w:pos="2842"/>
        </w:tabs>
        <w:ind w:left="2842" w:hanging="420"/>
      </w:pPr>
    </w:lvl>
    <w:lvl w:ilvl="7" w:tentative="0">
      <w:start w:val="1"/>
      <w:numFmt w:val="lowerLetter"/>
      <w:pStyle w:val="130"/>
      <w:lvlText w:val="%8)"/>
      <w:lvlJc w:val="left"/>
      <w:pPr>
        <w:tabs>
          <w:tab w:val="left" w:pos="3262"/>
        </w:tabs>
        <w:ind w:left="3262" w:hanging="420"/>
      </w:pPr>
    </w:lvl>
    <w:lvl w:ilvl="8" w:tentative="0">
      <w:start w:val="1"/>
      <w:numFmt w:val="lowerRoman"/>
      <w:pStyle w:val="118"/>
      <w:lvlText w:val="%9."/>
      <w:lvlJc w:val="right"/>
      <w:pPr>
        <w:tabs>
          <w:tab w:val="left" w:pos="3682"/>
        </w:tabs>
        <w:ind w:left="3682" w:hanging="420"/>
      </w:pPr>
    </w:lvl>
  </w:abstractNum>
  <w:abstractNum w:abstractNumId="29">
    <w:nsid w:val="7F6DF57B"/>
    <w:multiLevelType w:val="singleLevel"/>
    <w:tmpl w:val="7F6DF57B"/>
    <w:lvl w:ilvl="0" w:tentative="0">
      <w:start w:val="1"/>
      <w:numFmt w:val="decimal"/>
      <w:lvlText w:val="%1)"/>
      <w:lvlJc w:val="left"/>
      <w:pPr>
        <w:tabs>
          <w:tab w:val="left" w:pos="420"/>
        </w:tabs>
        <w:ind w:left="845" w:hanging="425"/>
      </w:pPr>
      <w:rPr>
        <w:rFonts w:hint="default" w:ascii="Times New Roman" w:hAnsi="Times New Roman" w:cs="Times New Roman"/>
        <w:b w:val="0"/>
        <w:bCs w:val="0"/>
        <w:strike w:val="0"/>
        <w:dstrike w:val="0"/>
      </w:rPr>
    </w:lvl>
  </w:abstractNum>
  <w:num w:numId="1">
    <w:abstractNumId w:val="15"/>
  </w:num>
  <w:num w:numId="2">
    <w:abstractNumId w:val="14"/>
  </w:num>
  <w:num w:numId="3">
    <w:abstractNumId w:val="13"/>
  </w:num>
  <w:num w:numId="4">
    <w:abstractNumId w:val="28"/>
  </w:num>
  <w:num w:numId="5">
    <w:abstractNumId w:val="10"/>
  </w:num>
  <w:num w:numId="6">
    <w:abstractNumId w:val="19"/>
  </w:num>
  <w:num w:numId="7">
    <w:abstractNumId w:val="21"/>
  </w:num>
  <w:num w:numId="8">
    <w:abstractNumId w:val="7"/>
  </w:num>
  <w:num w:numId="9">
    <w:abstractNumId w:val="6"/>
  </w:num>
  <w:num w:numId="10">
    <w:abstractNumId w:val="26"/>
  </w:num>
  <w:num w:numId="11">
    <w:abstractNumId w:val="11"/>
  </w:num>
  <w:num w:numId="12">
    <w:abstractNumId w:val="25"/>
  </w:num>
  <w:num w:numId="13">
    <w:abstractNumId w:val="29"/>
  </w:num>
  <w:num w:numId="14">
    <w:abstractNumId w:val="5"/>
  </w:num>
  <w:num w:numId="15">
    <w:abstractNumId w:val="2"/>
  </w:num>
  <w:num w:numId="16">
    <w:abstractNumId w:val="0"/>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22"/>
  </w:num>
  <w:num w:numId="22">
    <w:abstractNumId w:val="23"/>
  </w:num>
  <w:num w:numId="23">
    <w:abstractNumId w:val="18"/>
  </w:num>
  <w:num w:numId="24">
    <w:abstractNumId w:val="20"/>
  </w:num>
  <w:num w:numId="25">
    <w:abstractNumId w:val="24"/>
  </w:num>
  <w:num w:numId="26">
    <w:abstractNumId w:val="3"/>
  </w:num>
  <w:num w:numId="27">
    <w:abstractNumId w:val="4"/>
  </w:num>
  <w:num w:numId="28">
    <w:abstractNumId w:val="1"/>
  </w:num>
  <w:num w:numId="29">
    <w:abstractNumId w:val="8"/>
  </w:num>
  <w:num w:numId="30">
    <w:abstractNumId w:val="9"/>
  </w:num>
  <w:num w:numId="31">
    <w:abstractNumId w:val="27"/>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42"/>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BmOTRhYTUzZTJjNzYzMzgwNDdjYmM5ZDk2MDQyMTEifQ=="/>
  </w:docVars>
  <w:rsids>
    <w:rsidRoot w:val="00FF18DA"/>
    <w:rsid w:val="000010FD"/>
    <w:rsid w:val="00001337"/>
    <w:rsid w:val="000018F5"/>
    <w:rsid w:val="00001C4E"/>
    <w:rsid w:val="00004CF0"/>
    <w:rsid w:val="00004CF5"/>
    <w:rsid w:val="00004E03"/>
    <w:rsid w:val="00004EC9"/>
    <w:rsid w:val="000051CD"/>
    <w:rsid w:val="000054D2"/>
    <w:rsid w:val="00005B97"/>
    <w:rsid w:val="00005BE8"/>
    <w:rsid w:val="000078A6"/>
    <w:rsid w:val="000103CB"/>
    <w:rsid w:val="00011183"/>
    <w:rsid w:val="0001283A"/>
    <w:rsid w:val="000133B7"/>
    <w:rsid w:val="00015265"/>
    <w:rsid w:val="0002056B"/>
    <w:rsid w:val="00020949"/>
    <w:rsid w:val="00020FA1"/>
    <w:rsid w:val="00021037"/>
    <w:rsid w:val="000214ED"/>
    <w:rsid w:val="00021870"/>
    <w:rsid w:val="00022D93"/>
    <w:rsid w:val="00023135"/>
    <w:rsid w:val="00023AEC"/>
    <w:rsid w:val="00023EB8"/>
    <w:rsid w:val="000249A5"/>
    <w:rsid w:val="00024B98"/>
    <w:rsid w:val="00025576"/>
    <w:rsid w:val="000259FD"/>
    <w:rsid w:val="000260E9"/>
    <w:rsid w:val="00031965"/>
    <w:rsid w:val="00031A0A"/>
    <w:rsid w:val="00031F4B"/>
    <w:rsid w:val="0003343E"/>
    <w:rsid w:val="00033CC8"/>
    <w:rsid w:val="00034362"/>
    <w:rsid w:val="00034780"/>
    <w:rsid w:val="00035705"/>
    <w:rsid w:val="000409A6"/>
    <w:rsid w:val="00040C8A"/>
    <w:rsid w:val="00040EDE"/>
    <w:rsid w:val="00041264"/>
    <w:rsid w:val="00041CF8"/>
    <w:rsid w:val="00043F79"/>
    <w:rsid w:val="0004463E"/>
    <w:rsid w:val="0004476D"/>
    <w:rsid w:val="0004574B"/>
    <w:rsid w:val="00045D0D"/>
    <w:rsid w:val="000467B4"/>
    <w:rsid w:val="0004722C"/>
    <w:rsid w:val="00047678"/>
    <w:rsid w:val="00047688"/>
    <w:rsid w:val="00047891"/>
    <w:rsid w:val="0005137B"/>
    <w:rsid w:val="00052180"/>
    <w:rsid w:val="000530B5"/>
    <w:rsid w:val="00053E27"/>
    <w:rsid w:val="00053E70"/>
    <w:rsid w:val="000542B8"/>
    <w:rsid w:val="000546D1"/>
    <w:rsid w:val="0005498F"/>
    <w:rsid w:val="0005538B"/>
    <w:rsid w:val="00055D84"/>
    <w:rsid w:val="00055D88"/>
    <w:rsid w:val="00056C43"/>
    <w:rsid w:val="00056E91"/>
    <w:rsid w:val="000604FB"/>
    <w:rsid w:val="000632D8"/>
    <w:rsid w:val="00063DD6"/>
    <w:rsid w:val="00064138"/>
    <w:rsid w:val="00064DB4"/>
    <w:rsid w:val="00064EAB"/>
    <w:rsid w:val="000653DD"/>
    <w:rsid w:val="0006582C"/>
    <w:rsid w:val="00065E38"/>
    <w:rsid w:val="00066AE2"/>
    <w:rsid w:val="00067432"/>
    <w:rsid w:val="000708D9"/>
    <w:rsid w:val="00070EF7"/>
    <w:rsid w:val="00071EAD"/>
    <w:rsid w:val="0007210B"/>
    <w:rsid w:val="000727EA"/>
    <w:rsid w:val="00073098"/>
    <w:rsid w:val="00074BC3"/>
    <w:rsid w:val="00075332"/>
    <w:rsid w:val="00075EBD"/>
    <w:rsid w:val="00076772"/>
    <w:rsid w:val="000768B6"/>
    <w:rsid w:val="00076F1F"/>
    <w:rsid w:val="0007734A"/>
    <w:rsid w:val="00077C55"/>
    <w:rsid w:val="00077ECD"/>
    <w:rsid w:val="00080454"/>
    <w:rsid w:val="00080DD1"/>
    <w:rsid w:val="0008190C"/>
    <w:rsid w:val="00081D3B"/>
    <w:rsid w:val="00083F6E"/>
    <w:rsid w:val="00083FB5"/>
    <w:rsid w:val="00084590"/>
    <w:rsid w:val="00084762"/>
    <w:rsid w:val="00084B45"/>
    <w:rsid w:val="000852A1"/>
    <w:rsid w:val="0008536A"/>
    <w:rsid w:val="00086B62"/>
    <w:rsid w:val="00086E1E"/>
    <w:rsid w:val="00087148"/>
    <w:rsid w:val="000873AA"/>
    <w:rsid w:val="00087DA2"/>
    <w:rsid w:val="00091519"/>
    <w:rsid w:val="00091A8A"/>
    <w:rsid w:val="00092208"/>
    <w:rsid w:val="00092216"/>
    <w:rsid w:val="00092B1C"/>
    <w:rsid w:val="00092C15"/>
    <w:rsid w:val="00092C47"/>
    <w:rsid w:val="0009370C"/>
    <w:rsid w:val="000937B8"/>
    <w:rsid w:val="000947E5"/>
    <w:rsid w:val="000965FA"/>
    <w:rsid w:val="0009786E"/>
    <w:rsid w:val="00097D25"/>
    <w:rsid w:val="00097D73"/>
    <w:rsid w:val="000A0981"/>
    <w:rsid w:val="000A1A1C"/>
    <w:rsid w:val="000A2192"/>
    <w:rsid w:val="000A22F7"/>
    <w:rsid w:val="000A44F4"/>
    <w:rsid w:val="000A4DB4"/>
    <w:rsid w:val="000A548F"/>
    <w:rsid w:val="000A69B4"/>
    <w:rsid w:val="000B044B"/>
    <w:rsid w:val="000B05A9"/>
    <w:rsid w:val="000B0C3C"/>
    <w:rsid w:val="000B3B0C"/>
    <w:rsid w:val="000B43E1"/>
    <w:rsid w:val="000B445C"/>
    <w:rsid w:val="000B54C4"/>
    <w:rsid w:val="000B5826"/>
    <w:rsid w:val="000B5FC2"/>
    <w:rsid w:val="000B61BA"/>
    <w:rsid w:val="000B63E6"/>
    <w:rsid w:val="000B6883"/>
    <w:rsid w:val="000B6E18"/>
    <w:rsid w:val="000B6F56"/>
    <w:rsid w:val="000B7ECE"/>
    <w:rsid w:val="000C0228"/>
    <w:rsid w:val="000C065A"/>
    <w:rsid w:val="000C0862"/>
    <w:rsid w:val="000C0C8F"/>
    <w:rsid w:val="000C1FFA"/>
    <w:rsid w:val="000C33F4"/>
    <w:rsid w:val="000C3CA6"/>
    <w:rsid w:val="000C41A2"/>
    <w:rsid w:val="000C4636"/>
    <w:rsid w:val="000C47E8"/>
    <w:rsid w:val="000C4A10"/>
    <w:rsid w:val="000C5731"/>
    <w:rsid w:val="000C6AEF"/>
    <w:rsid w:val="000C6D23"/>
    <w:rsid w:val="000D0999"/>
    <w:rsid w:val="000D14FE"/>
    <w:rsid w:val="000D152C"/>
    <w:rsid w:val="000D173B"/>
    <w:rsid w:val="000D180B"/>
    <w:rsid w:val="000D1AAC"/>
    <w:rsid w:val="000D27D2"/>
    <w:rsid w:val="000D31DD"/>
    <w:rsid w:val="000D3449"/>
    <w:rsid w:val="000D43D4"/>
    <w:rsid w:val="000D6814"/>
    <w:rsid w:val="000D706F"/>
    <w:rsid w:val="000D7859"/>
    <w:rsid w:val="000D7A68"/>
    <w:rsid w:val="000D7FB5"/>
    <w:rsid w:val="000E3377"/>
    <w:rsid w:val="000E40E3"/>
    <w:rsid w:val="000E4684"/>
    <w:rsid w:val="000E4C97"/>
    <w:rsid w:val="000E5189"/>
    <w:rsid w:val="000E5B7A"/>
    <w:rsid w:val="000E5E2B"/>
    <w:rsid w:val="000E6195"/>
    <w:rsid w:val="000E78A2"/>
    <w:rsid w:val="000F2318"/>
    <w:rsid w:val="000F286D"/>
    <w:rsid w:val="000F3531"/>
    <w:rsid w:val="000F36FB"/>
    <w:rsid w:val="000F3E1C"/>
    <w:rsid w:val="000F55B0"/>
    <w:rsid w:val="000F7156"/>
    <w:rsid w:val="000F76B3"/>
    <w:rsid w:val="0010010F"/>
    <w:rsid w:val="0010054E"/>
    <w:rsid w:val="00103EB1"/>
    <w:rsid w:val="0010413C"/>
    <w:rsid w:val="00104CF2"/>
    <w:rsid w:val="00105486"/>
    <w:rsid w:val="001054C0"/>
    <w:rsid w:val="00106510"/>
    <w:rsid w:val="001066B3"/>
    <w:rsid w:val="00106F61"/>
    <w:rsid w:val="00106FC2"/>
    <w:rsid w:val="00110D2A"/>
    <w:rsid w:val="00111D23"/>
    <w:rsid w:val="001128DA"/>
    <w:rsid w:val="001134F8"/>
    <w:rsid w:val="0011408B"/>
    <w:rsid w:val="00116100"/>
    <w:rsid w:val="00116F8C"/>
    <w:rsid w:val="0011751C"/>
    <w:rsid w:val="001202FB"/>
    <w:rsid w:val="0012155B"/>
    <w:rsid w:val="0012296A"/>
    <w:rsid w:val="0012307F"/>
    <w:rsid w:val="001267EE"/>
    <w:rsid w:val="00127486"/>
    <w:rsid w:val="001276C3"/>
    <w:rsid w:val="0013025D"/>
    <w:rsid w:val="001302B8"/>
    <w:rsid w:val="0013034B"/>
    <w:rsid w:val="00131F29"/>
    <w:rsid w:val="00132659"/>
    <w:rsid w:val="0013278B"/>
    <w:rsid w:val="00132B05"/>
    <w:rsid w:val="00133E09"/>
    <w:rsid w:val="001343F3"/>
    <w:rsid w:val="00135102"/>
    <w:rsid w:val="001358E3"/>
    <w:rsid w:val="00135B91"/>
    <w:rsid w:val="00136CF7"/>
    <w:rsid w:val="00137242"/>
    <w:rsid w:val="00143522"/>
    <w:rsid w:val="001441CF"/>
    <w:rsid w:val="0014477E"/>
    <w:rsid w:val="0014570D"/>
    <w:rsid w:val="001463B2"/>
    <w:rsid w:val="00146F76"/>
    <w:rsid w:val="00147BD4"/>
    <w:rsid w:val="00150787"/>
    <w:rsid w:val="00151819"/>
    <w:rsid w:val="001520AD"/>
    <w:rsid w:val="001534B2"/>
    <w:rsid w:val="00157463"/>
    <w:rsid w:val="00157CC7"/>
    <w:rsid w:val="0016018B"/>
    <w:rsid w:val="00161BD0"/>
    <w:rsid w:val="00162474"/>
    <w:rsid w:val="00167BD3"/>
    <w:rsid w:val="00171B20"/>
    <w:rsid w:val="00174198"/>
    <w:rsid w:val="001743BF"/>
    <w:rsid w:val="0017476D"/>
    <w:rsid w:val="00176ED6"/>
    <w:rsid w:val="0018069A"/>
    <w:rsid w:val="00180AC6"/>
    <w:rsid w:val="001830DD"/>
    <w:rsid w:val="001849C5"/>
    <w:rsid w:val="00185D84"/>
    <w:rsid w:val="001869C1"/>
    <w:rsid w:val="00186BE9"/>
    <w:rsid w:val="00187B08"/>
    <w:rsid w:val="0019057D"/>
    <w:rsid w:val="001909E6"/>
    <w:rsid w:val="00190F96"/>
    <w:rsid w:val="00190FD0"/>
    <w:rsid w:val="0019101C"/>
    <w:rsid w:val="00191477"/>
    <w:rsid w:val="00193D3D"/>
    <w:rsid w:val="001944FF"/>
    <w:rsid w:val="001945F6"/>
    <w:rsid w:val="001954AE"/>
    <w:rsid w:val="00197EF5"/>
    <w:rsid w:val="00197F87"/>
    <w:rsid w:val="001A09C2"/>
    <w:rsid w:val="001A1280"/>
    <w:rsid w:val="001A18F2"/>
    <w:rsid w:val="001A3154"/>
    <w:rsid w:val="001A33FA"/>
    <w:rsid w:val="001A47C9"/>
    <w:rsid w:val="001A53A2"/>
    <w:rsid w:val="001A590C"/>
    <w:rsid w:val="001A5BAB"/>
    <w:rsid w:val="001A5C55"/>
    <w:rsid w:val="001A66DB"/>
    <w:rsid w:val="001A7C96"/>
    <w:rsid w:val="001B11E3"/>
    <w:rsid w:val="001B3380"/>
    <w:rsid w:val="001B46F5"/>
    <w:rsid w:val="001B65BC"/>
    <w:rsid w:val="001B6CA4"/>
    <w:rsid w:val="001C2637"/>
    <w:rsid w:val="001C3149"/>
    <w:rsid w:val="001C3F78"/>
    <w:rsid w:val="001C3FC6"/>
    <w:rsid w:val="001C5D53"/>
    <w:rsid w:val="001C7197"/>
    <w:rsid w:val="001C7239"/>
    <w:rsid w:val="001D04DA"/>
    <w:rsid w:val="001D2216"/>
    <w:rsid w:val="001D2488"/>
    <w:rsid w:val="001D3313"/>
    <w:rsid w:val="001D34C5"/>
    <w:rsid w:val="001D3F82"/>
    <w:rsid w:val="001D4D65"/>
    <w:rsid w:val="001D629D"/>
    <w:rsid w:val="001D6334"/>
    <w:rsid w:val="001E1755"/>
    <w:rsid w:val="001E2A55"/>
    <w:rsid w:val="001E2C25"/>
    <w:rsid w:val="001E3844"/>
    <w:rsid w:val="001E3EB7"/>
    <w:rsid w:val="001E4152"/>
    <w:rsid w:val="001E46E7"/>
    <w:rsid w:val="001E4F3B"/>
    <w:rsid w:val="001E4F52"/>
    <w:rsid w:val="001E573B"/>
    <w:rsid w:val="001E7069"/>
    <w:rsid w:val="001E7BE1"/>
    <w:rsid w:val="001E7E25"/>
    <w:rsid w:val="001F02C3"/>
    <w:rsid w:val="001F03D1"/>
    <w:rsid w:val="001F11A7"/>
    <w:rsid w:val="001F1E19"/>
    <w:rsid w:val="001F278C"/>
    <w:rsid w:val="001F291C"/>
    <w:rsid w:val="001F3B2E"/>
    <w:rsid w:val="001F461F"/>
    <w:rsid w:val="001F72F6"/>
    <w:rsid w:val="00204F3E"/>
    <w:rsid w:val="002066DE"/>
    <w:rsid w:val="00206AB2"/>
    <w:rsid w:val="002101DC"/>
    <w:rsid w:val="00210EBC"/>
    <w:rsid w:val="002139B0"/>
    <w:rsid w:val="0021471E"/>
    <w:rsid w:val="00214888"/>
    <w:rsid w:val="00214C1F"/>
    <w:rsid w:val="00214CC4"/>
    <w:rsid w:val="00214CCD"/>
    <w:rsid w:val="002164FA"/>
    <w:rsid w:val="0022049A"/>
    <w:rsid w:val="00220BFB"/>
    <w:rsid w:val="00221140"/>
    <w:rsid w:val="00221753"/>
    <w:rsid w:val="00222710"/>
    <w:rsid w:val="00222FCE"/>
    <w:rsid w:val="00223E4A"/>
    <w:rsid w:val="00224893"/>
    <w:rsid w:val="00226832"/>
    <w:rsid w:val="00227A47"/>
    <w:rsid w:val="00227FB0"/>
    <w:rsid w:val="00232138"/>
    <w:rsid w:val="002330F6"/>
    <w:rsid w:val="0023360E"/>
    <w:rsid w:val="002346A5"/>
    <w:rsid w:val="00234C78"/>
    <w:rsid w:val="0023533A"/>
    <w:rsid w:val="0023554F"/>
    <w:rsid w:val="00235DC1"/>
    <w:rsid w:val="00236A67"/>
    <w:rsid w:val="00242735"/>
    <w:rsid w:val="00243BF8"/>
    <w:rsid w:val="00244584"/>
    <w:rsid w:val="00244E75"/>
    <w:rsid w:val="002452B1"/>
    <w:rsid w:val="002455C1"/>
    <w:rsid w:val="002506EA"/>
    <w:rsid w:val="00251F42"/>
    <w:rsid w:val="00252384"/>
    <w:rsid w:val="00252563"/>
    <w:rsid w:val="00252B4B"/>
    <w:rsid w:val="00253C5B"/>
    <w:rsid w:val="002549AF"/>
    <w:rsid w:val="00254A65"/>
    <w:rsid w:val="00254E2E"/>
    <w:rsid w:val="00254FD7"/>
    <w:rsid w:val="00256A2D"/>
    <w:rsid w:val="002579CB"/>
    <w:rsid w:val="00257EFF"/>
    <w:rsid w:val="00261069"/>
    <w:rsid w:val="002613A1"/>
    <w:rsid w:val="00261F15"/>
    <w:rsid w:val="00263A54"/>
    <w:rsid w:val="00264BE8"/>
    <w:rsid w:val="002651DF"/>
    <w:rsid w:val="002663A4"/>
    <w:rsid w:val="00266420"/>
    <w:rsid w:val="00266A44"/>
    <w:rsid w:val="00266F54"/>
    <w:rsid w:val="00266F90"/>
    <w:rsid w:val="002677A4"/>
    <w:rsid w:val="002677AF"/>
    <w:rsid w:val="002678DF"/>
    <w:rsid w:val="00270F81"/>
    <w:rsid w:val="00272688"/>
    <w:rsid w:val="002754B2"/>
    <w:rsid w:val="002755AF"/>
    <w:rsid w:val="00276C4E"/>
    <w:rsid w:val="00277583"/>
    <w:rsid w:val="002777AC"/>
    <w:rsid w:val="00277E60"/>
    <w:rsid w:val="00280890"/>
    <w:rsid w:val="00280EBE"/>
    <w:rsid w:val="002813A3"/>
    <w:rsid w:val="002819CB"/>
    <w:rsid w:val="00282FD3"/>
    <w:rsid w:val="00283056"/>
    <w:rsid w:val="002856F0"/>
    <w:rsid w:val="00286125"/>
    <w:rsid w:val="002861A1"/>
    <w:rsid w:val="00290B6C"/>
    <w:rsid w:val="00291083"/>
    <w:rsid w:val="0029181E"/>
    <w:rsid w:val="00291EBE"/>
    <w:rsid w:val="00292602"/>
    <w:rsid w:val="00292DA1"/>
    <w:rsid w:val="0029307E"/>
    <w:rsid w:val="002937CA"/>
    <w:rsid w:val="00293DAB"/>
    <w:rsid w:val="00295A48"/>
    <w:rsid w:val="0029630C"/>
    <w:rsid w:val="00297D4F"/>
    <w:rsid w:val="002A19F3"/>
    <w:rsid w:val="002A4F29"/>
    <w:rsid w:val="002A5491"/>
    <w:rsid w:val="002A559E"/>
    <w:rsid w:val="002A6CC9"/>
    <w:rsid w:val="002B0E92"/>
    <w:rsid w:val="002B0EC3"/>
    <w:rsid w:val="002B2ACB"/>
    <w:rsid w:val="002B332A"/>
    <w:rsid w:val="002B34B8"/>
    <w:rsid w:val="002B3C3F"/>
    <w:rsid w:val="002B47FF"/>
    <w:rsid w:val="002B4DF1"/>
    <w:rsid w:val="002B5BA1"/>
    <w:rsid w:val="002B6802"/>
    <w:rsid w:val="002B6C95"/>
    <w:rsid w:val="002B703F"/>
    <w:rsid w:val="002B7AD4"/>
    <w:rsid w:val="002C006A"/>
    <w:rsid w:val="002C0C1F"/>
    <w:rsid w:val="002C1678"/>
    <w:rsid w:val="002C19E6"/>
    <w:rsid w:val="002C25F0"/>
    <w:rsid w:val="002C2978"/>
    <w:rsid w:val="002C3078"/>
    <w:rsid w:val="002C35E2"/>
    <w:rsid w:val="002C481C"/>
    <w:rsid w:val="002C4BF1"/>
    <w:rsid w:val="002C5B58"/>
    <w:rsid w:val="002D0FE8"/>
    <w:rsid w:val="002D1B27"/>
    <w:rsid w:val="002D23EE"/>
    <w:rsid w:val="002D3444"/>
    <w:rsid w:val="002D4A31"/>
    <w:rsid w:val="002D4AEC"/>
    <w:rsid w:val="002D567D"/>
    <w:rsid w:val="002D5F0D"/>
    <w:rsid w:val="002D6636"/>
    <w:rsid w:val="002D6D2B"/>
    <w:rsid w:val="002E0A12"/>
    <w:rsid w:val="002E0A8C"/>
    <w:rsid w:val="002E0B91"/>
    <w:rsid w:val="002E10C7"/>
    <w:rsid w:val="002E1972"/>
    <w:rsid w:val="002E41CA"/>
    <w:rsid w:val="002E6D41"/>
    <w:rsid w:val="002E6DB3"/>
    <w:rsid w:val="002E7DB0"/>
    <w:rsid w:val="002F20AC"/>
    <w:rsid w:val="002F4C5C"/>
    <w:rsid w:val="002F568A"/>
    <w:rsid w:val="002F57B2"/>
    <w:rsid w:val="002F5E3B"/>
    <w:rsid w:val="002F7879"/>
    <w:rsid w:val="00300C29"/>
    <w:rsid w:val="003017DF"/>
    <w:rsid w:val="00301FAE"/>
    <w:rsid w:val="00302927"/>
    <w:rsid w:val="00302EB4"/>
    <w:rsid w:val="0030321A"/>
    <w:rsid w:val="00304B4F"/>
    <w:rsid w:val="00305AEA"/>
    <w:rsid w:val="003077BD"/>
    <w:rsid w:val="00307F81"/>
    <w:rsid w:val="00310636"/>
    <w:rsid w:val="00311BEA"/>
    <w:rsid w:val="00311CD0"/>
    <w:rsid w:val="003122EE"/>
    <w:rsid w:val="003146FD"/>
    <w:rsid w:val="00315F32"/>
    <w:rsid w:val="00316E0E"/>
    <w:rsid w:val="00317380"/>
    <w:rsid w:val="00317B90"/>
    <w:rsid w:val="00317CC8"/>
    <w:rsid w:val="00317CF3"/>
    <w:rsid w:val="00317E94"/>
    <w:rsid w:val="00320BF5"/>
    <w:rsid w:val="003226E6"/>
    <w:rsid w:val="003244BA"/>
    <w:rsid w:val="00324FC0"/>
    <w:rsid w:val="0032518B"/>
    <w:rsid w:val="003261E2"/>
    <w:rsid w:val="00330882"/>
    <w:rsid w:val="00330CC9"/>
    <w:rsid w:val="003314A1"/>
    <w:rsid w:val="003318BC"/>
    <w:rsid w:val="00331B58"/>
    <w:rsid w:val="00331D20"/>
    <w:rsid w:val="00332ED0"/>
    <w:rsid w:val="003337FA"/>
    <w:rsid w:val="0033489E"/>
    <w:rsid w:val="003349E9"/>
    <w:rsid w:val="00336CDE"/>
    <w:rsid w:val="00336F96"/>
    <w:rsid w:val="00337274"/>
    <w:rsid w:val="00337A46"/>
    <w:rsid w:val="00337E13"/>
    <w:rsid w:val="003406D4"/>
    <w:rsid w:val="00340B62"/>
    <w:rsid w:val="0034109D"/>
    <w:rsid w:val="00341D56"/>
    <w:rsid w:val="0034483A"/>
    <w:rsid w:val="0034579D"/>
    <w:rsid w:val="003464E1"/>
    <w:rsid w:val="00346B18"/>
    <w:rsid w:val="00346D04"/>
    <w:rsid w:val="0034757F"/>
    <w:rsid w:val="003500A4"/>
    <w:rsid w:val="003501AF"/>
    <w:rsid w:val="00350346"/>
    <w:rsid w:val="0035247C"/>
    <w:rsid w:val="00353695"/>
    <w:rsid w:val="00355C70"/>
    <w:rsid w:val="003578A9"/>
    <w:rsid w:val="00357CEF"/>
    <w:rsid w:val="00362E28"/>
    <w:rsid w:val="0036439B"/>
    <w:rsid w:val="00364B26"/>
    <w:rsid w:val="00364C6B"/>
    <w:rsid w:val="003659E2"/>
    <w:rsid w:val="003665B7"/>
    <w:rsid w:val="0037149B"/>
    <w:rsid w:val="00372E1F"/>
    <w:rsid w:val="00373928"/>
    <w:rsid w:val="00373A3F"/>
    <w:rsid w:val="00373C71"/>
    <w:rsid w:val="00374B3F"/>
    <w:rsid w:val="003763B6"/>
    <w:rsid w:val="003770F8"/>
    <w:rsid w:val="003771A7"/>
    <w:rsid w:val="003775A9"/>
    <w:rsid w:val="00380565"/>
    <w:rsid w:val="00380C11"/>
    <w:rsid w:val="00380EF4"/>
    <w:rsid w:val="00381077"/>
    <w:rsid w:val="003815EE"/>
    <w:rsid w:val="00381A8F"/>
    <w:rsid w:val="00384AD8"/>
    <w:rsid w:val="0038540B"/>
    <w:rsid w:val="00385C41"/>
    <w:rsid w:val="00387542"/>
    <w:rsid w:val="00387F2A"/>
    <w:rsid w:val="00390C53"/>
    <w:rsid w:val="0039111A"/>
    <w:rsid w:val="003941C5"/>
    <w:rsid w:val="0039459D"/>
    <w:rsid w:val="003949EB"/>
    <w:rsid w:val="00397A04"/>
    <w:rsid w:val="003A0393"/>
    <w:rsid w:val="003A2CF9"/>
    <w:rsid w:val="003A2E7F"/>
    <w:rsid w:val="003A2EB7"/>
    <w:rsid w:val="003A39C4"/>
    <w:rsid w:val="003A3E6A"/>
    <w:rsid w:val="003A4406"/>
    <w:rsid w:val="003A481B"/>
    <w:rsid w:val="003A60C2"/>
    <w:rsid w:val="003A7C3D"/>
    <w:rsid w:val="003B22BE"/>
    <w:rsid w:val="003B2C65"/>
    <w:rsid w:val="003B4228"/>
    <w:rsid w:val="003B426B"/>
    <w:rsid w:val="003B4812"/>
    <w:rsid w:val="003B4B8C"/>
    <w:rsid w:val="003B4F1A"/>
    <w:rsid w:val="003B5B83"/>
    <w:rsid w:val="003C01C2"/>
    <w:rsid w:val="003C0213"/>
    <w:rsid w:val="003C0479"/>
    <w:rsid w:val="003C0780"/>
    <w:rsid w:val="003C0EB7"/>
    <w:rsid w:val="003C20D7"/>
    <w:rsid w:val="003C278A"/>
    <w:rsid w:val="003C36AD"/>
    <w:rsid w:val="003C38D5"/>
    <w:rsid w:val="003C3AC6"/>
    <w:rsid w:val="003C4A22"/>
    <w:rsid w:val="003C5C9A"/>
    <w:rsid w:val="003C60DB"/>
    <w:rsid w:val="003C70B9"/>
    <w:rsid w:val="003C72DE"/>
    <w:rsid w:val="003D00C5"/>
    <w:rsid w:val="003D4063"/>
    <w:rsid w:val="003D5AE2"/>
    <w:rsid w:val="003D7334"/>
    <w:rsid w:val="003D7847"/>
    <w:rsid w:val="003D799E"/>
    <w:rsid w:val="003D7FD8"/>
    <w:rsid w:val="003E0647"/>
    <w:rsid w:val="003E26E2"/>
    <w:rsid w:val="003E2EEF"/>
    <w:rsid w:val="003E3559"/>
    <w:rsid w:val="003E51DF"/>
    <w:rsid w:val="003E5997"/>
    <w:rsid w:val="003E6878"/>
    <w:rsid w:val="003E7437"/>
    <w:rsid w:val="003E7D99"/>
    <w:rsid w:val="003F04AE"/>
    <w:rsid w:val="003F09CE"/>
    <w:rsid w:val="003F0C8E"/>
    <w:rsid w:val="003F1AC0"/>
    <w:rsid w:val="003F4608"/>
    <w:rsid w:val="003F476D"/>
    <w:rsid w:val="003F48E7"/>
    <w:rsid w:val="003F5034"/>
    <w:rsid w:val="003F559F"/>
    <w:rsid w:val="003F5807"/>
    <w:rsid w:val="003F7568"/>
    <w:rsid w:val="004006FA"/>
    <w:rsid w:val="00401291"/>
    <w:rsid w:val="004015CD"/>
    <w:rsid w:val="0040160B"/>
    <w:rsid w:val="004019FB"/>
    <w:rsid w:val="004034BD"/>
    <w:rsid w:val="00404030"/>
    <w:rsid w:val="00404102"/>
    <w:rsid w:val="00404B48"/>
    <w:rsid w:val="00404DC1"/>
    <w:rsid w:val="00404EDC"/>
    <w:rsid w:val="0040631B"/>
    <w:rsid w:val="0040633D"/>
    <w:rsid w:val="00406416"/>
    <w:rsid w:val="00407E7B"/>
    <w:rsid w:val="0041035A"/>
    <w:rsid w:val="00410519"/>
    <w:rsid w:val="00410A79"/>
    <w:rsid w:val="00410E65"/>
    <w:rsid w:val="004110D3"/>
    <w:rsid w:val="004115DC"/>
    <w:rsid w:val="00411F76"/>
    <w:rsid w:val="004130A6"/>
    <w:rsid w:val="00415043"/>
    <w:rsid w:val="00415243"/>
    <w:rsid w:val="004157C5"/>
    <w:rsid w:val="004158F8"/>
    <w:rsid w:val="00416455"/>
    <w:rsid w:val="00416524"/>
    <w:rsid w:val="00416655"/>
    <w:rsid w:val="00416BF6"/>
    <w:rsid w:val="0041781B"/>
    <w:rsid w:val="00417975"/>
    <w:rsid w:val="004200E4"/>
    <w:rsid w:val="004201B0"/>
    <w:rsid w:val="004202D9"/>
    <w:rsid w:val="0042280E"/>
    <w:rsid w:val="00423ED6"/>
    <w:rsid w:val="00424071"/>
    <w:rsid w:val="00425DBC"/>
    <w:rsid w:val="00426011"/>
    <w:rsid w:val="00427512"/>
    <w:rsid w:val="00427C90"/>
    <w:rsid w:val="00427D4D"/>
    <w:rsid w:val="00427FA1"/>
    <w:rsid w:val="00430AC8"/>
    <w:rsid w:val="00430D72"/>
    <w:rsid w:val="004312BA"/>
    <w:rsid w:val="00431442"/>
    <w:rsid w:val="00431E7E"/>
    <w:rsid w:val="0043241E"/>
    <w:rsid w:val="00432824"/>
    <w:rsid w:val="00432E04"/>
    <w:rsid w:val="00432EC7"/>
    <w:rsid w:val="004334B5"/>
    <w:rsid w:val="004339E9"/>
    <w:rsid w:val="00433A9C"/>
    <w:rsid w:val="00435AEC"/>
    <w:rsid w:val="004361DE"/>
    <w:rsid w:val="00437B61"/>
    <w:rsid w:val="00440C3F"/>
    <w:rsid w:val="004426E8"/>
    <w:rsid w:val="00442CF2"/>
    <w:rsid w:val="00442D08"/>
    <w:rsid w:val="00442F11"/>
    <w:rsid w:val="004435FD"/>
    <w:rsid w:val="004442EC"/>
    <w:rsid w:val="00444739"/>
    <w:rsid w:val="0044479C"/>
    <w:rsid w:val="0044594D"/>
    <w:rsid w:val="0044603C"/>
    <w:rsid w:val="00446DE0"/>
    <w:rsid w:val="00447EE1"/>
    <w:rsid w:val="00451936"/>
    <w:rsid w:val="0045255F"/>
    <w:rsid w:val="00453C32"/>
    <w:rsid w:val="00455893"/>
    <w:rsid w:val="00455B90"/>
    <w:rsid w:val="00455F14"/>
    <w:rsid w:val="00455FC6"/>
    <w:rsid w:val="00456A4D"/>
    <w:rsid w:val="00457339"/>
    <w:rsid w:val="00457973"/>
    <w:rsid w:val="00457D29"/>
    <w:rsid w:val="00460745"/>
    <w:rsid w:val="004611F5"/>
    <w:rsid w:val="004617EC"/>
    <w:rsid w:val="00461969"/>
    <w:rsid w:val="00462CB9"/>
    <w:rsid w:val="0046406C"/>
    <w:rsid w:val="00464689"/>
    <w:rsid w:val="00466D6B"/>
    <w:rsid w:val="004671AB"/>
    <w:rsid w:val="00471D95"/>
    <w:rsid w:val="00473FB2"/>
    <w:rsid w:val="004752BF"/>
    <w:rsid w:val="004753C2"/>
    <w:rsid w:val="0047573A"/>
    <w:rsid w:val="00475CD1"/>
    <w:rsid w:val="00475D1A"/>
    <w:rsid w:val="004800C0"/>
    <w:rsid w:val="00480A99"/>
    <w:rsid w:val="00480B81"/>
    <w:rsid w:val="00480C79"/>
    <w:rsid w:val="004817B9"/>
    <w:rsid w:val="00481951"/>
    <w:rsid w:val="00481CF6"/>
    <w:rsid w:val="00482FE2"/>
    <w:rsid w:val="00483470"/>
    <w:rsid w:val="0048375B"/>
    <w:rsid w:val="0048439A"/>
    <w:rsid w:val="0048471C"/>
    <w:rsid w:val="00486531"/>
    <w:rsid w:val="0048658C"/>
    <w:rsid w:val="0048736E"/>
    <w:rsid w:val="004912D5"/>
    <w:rsid w:val="0049583D"/>
    <w:rsid w:val="00495D69"/>
    <w:rsid w:val="004967FB"/>
    <w:rsid w:val="00497DD5"/>
    <w:rsid w:val="004A168B"/>
    <w:rsid w:val="004A233C"/>
    <w:rsid w:val="004A37F6"/>
    <w:rsid w:val="004A4A86"/>
    <w:rsid w:val="004A4DB9"/>
    <w:rsid w:val="004A538A"/>
    <w:rsid w:val="004B100C"/>
    <w:rsid w:val="004B100D"/>
    <w:rsid w:val="004B3552"/>
    <w:rsid w:val="004B3EB4"/>
    <w:rsid w:val="004B4D90"/>
    <w:rsid w:val="004B5040"/>
    <w:rsid w:val="004B5EB3"/>
    <w:rsid w:val="004B60D7"/>
    <w:rsid w:val="004B7771"/>
    <w:rsid w:val="004B7862"/>
    <w:rsid w:val="004C0427"/>
    <w:rsid w:val="004C0B06"/>
    <w:rsid w:val="004C113A"/>
    <w:rsid w:val="004C1A7F"/>
    <w:rsid w:val="004C2BF1"/>
    <w:rsid w:val="004C3A9B"/>
    <w:rsid w:val="004C3BA2"/>
    <w:rsid w:val="004C4474"/>
    <w:rsid w:val="004C4984"/>
    <w:rsid w:val="004C5260"/>
    <w:rsid w:val="004C6ECE"/>
    <w:rsid w:val="004C7E58"/>
    <w:rsid w:val="004D05F3"/>
    <w:rsid w:val="004D1369"/>
    <w:rsid w:val="004D13D5"/>
    <w:rsid w:val="004D1A36"/>
    <w:rsid w:val="004D3184"/>
    <w:rsid w:val="004D5035"/>
    <w:rsid w:val="004D5D72"/>
    <w:rsid w:val="004D6039"/>
    <w:rsid w:val="004D625A"/>
    <w:rsid w:val="004D712A"/>
    <w:rsid w:val="004D7504"/>
    <w:rsid w:val="004D7D50"/>
    <w:rsid w:val="004E033E"/>
    <w:rsid w:val="004E0F38"/>
    <w:rsid w:val="004E10D1"/>
    <w:rsid w:val="004E13E5"/>
    <w:rsid w:val="004E1FD5"/>
    <w:rsid w:val="004E233A"/>
    <w:rsid w:val="004E2972"/>
    <w:rsid w:val="004E4060"/>
    <w:rsid w:val="004E4406"/>
    <w:rsid w:val="004E4D65"/>
    <w:rsid w:val="004E51CD"/>
    <w:rsid w:val="004E5788"/>
    <w:rsid w:val="004E7518"/>
    <w:rsid w:val="004F04C3"/>
    <w:rsid w:val="004F05C8"/>
    <w:rsid w:val="004F180E"/>
    <w:rsid w:val="004F26F7"/>
    <w:rsid w:val="004F3416"/>
    <w:rsid w:val="004F50EA"/>
    <w:rsid w:val="0050014D"/>
    <w:rsid w:val="00501766"/>
    <w:rsid w:val="00502094"/>
    <w:rsid w:val="00502217"/>
    <w:rsid w:val="00502602"/>
    <w:rsid w:val="00503435"/>
    <w:rsid w:val="00503725"/>
    <w:rsid w:val="00503AD7"/>
    <w:rsid w:val="00504F36"/>
    <w:rsid w:val="00505649"/>
    <w:rsid w:val="00506C9C"/>
    <w:rsid w:val="0051009F"/>
    <w:rsid w:val="0051135A"/>
    <w:rsid w:val="00511D90"/>
    <w:rsid w:val="00513AD3"/>
    <w:rsid w:val="005143D4"/>
    <w:rsid w:val="00514D15"/>
    <w:rsid w:val="00516CCC"/>
    <w:rsid w:val="00517116"/>
    <w:rsid w:val="00517258"/>
    <w:rsid w:val="00520039"/>
    <w:rsid w:val="00520C74"/>
    <w:rsid w:val="0052108E"/>
    <w:rsid w:val="00521FF9"/>
    <w:rsid w:val="0052231A"/>
    <w:rsid w:val="005223C8"/>
    <w:rsid w:val="005227F2"/>
    <w:rsid w:val="00523BE7"/>
    <w:rsid w:val="00524564"/>
    <w:rsid w:val="0053000A"/>
    <w:rsid w:val="005302A3"/>
    <w:rsid w:val="005303EA"/>
    <w:rsid w:val="00530CBE"/>
    <w:rsid w:val="00530F8D"/>
    <w:rsid w:val="005319F4"/>
    <w:rsid w:val="00532ABA"/>
    <w:rsid w:val="00533A3C"/>
    <w:rsid w:val="005341C4"/>
    <w:rsid w:val="0053468F"/>
    <w:rsid w:val="00534A84"/>
    <w:rsid w:val="00535913"/>
    <w:rsid w:val="00535AAE"/>
    <w:rsid w:val="005364F6"/>
    <w:rsid w:val="00536681"/>
    <w:rsid w:val="0053686E"/>
    <w:rsid w:val="0053763C"/>
    <w:rsid w:val="00537E1A"/>
    <w:rsid w:val="0054017A"/>
    <w:rsid w:val="00540E2D"/>
    <w:rsid w:val="005411F3"/>
    <w:rsid w:val="00541920"/>
    <w:rsid w:val="00541A16"/>
    <w:rsid w:val="00541F54"/>
    <w:rsid w:val="005421CC"/>
    <w:rsid w:val="00542BA7"/>
    <w:rsid w:val="00543BE4"/>
    <w:rsid w:val="005450F3"/>
    <w:rsid w:val="005456D2"/>
    <w:rsid w:val="00546CC9"/>
    <w:rsid w:val="00547018"/>
    <w:rsid w:val="00547AE1"/>
    <w:rsid w:val="0055302B"/>
    <w:rsid w:val="005542ED"/>
    <w:rsid w:val="00554496"/>
    <w:rsid w:val="00554D1A"/>
    <w:rsid w:val="00555075"/>
    <w:rsid w:val="005566D2"/>
    <w:rsid w:val="0056101C"/>
    <w:rsid w:val="005617FD"/>
    <w:rsid w:val="00561BB2"/>
    <w:rsid w:val="005620B6"/>
    <w:rsid w:val="00562C6B"/>
    <w:rsid w:val="00562F8D"/>
    <w:rsid w:val="005644ED"/>
    <w:rsid w:val="00566802"/>
    <w:rsid w:val="00567033"/>
    <w:rsid w:val="005700D0"/>
    <w:rsid w:val="00570107"/>
    <w:rsid w:val="00570C27"/>
    <w:rsid w:val="00572398"/>
    <w:rsid w:val="005729DF"/>
    <w:rsid w:val="00573B42"/>
    <w:rsid w:val="00574802"/>
    <w:rsid w:val="00574913"/>
    <w:rsid w:val="00575938"/>
    <w:rsid w:val="0057604F"/>
    <w:rsid w:val="00576B05"/>
    <w:rsid w:val="00577F58"/>
    <w:rsid w:val="00580585"/>
    <w:rsid w:val="005805C9"/>
    <w:rsid w:val="0058064A"/>
    <w:rsid w:val="00581990"/>
    <w:rsid w:val="0058216E"/>
    <w:rsid w:val="00582A60"/>
    <w:rsid w:val="005830BE"/>
    <w:rsid w:val="00585607"/>
    <w:rsid w:val="0058603A"/>
    <w:rsid w:val="005902D4"/>
    <w:rsid w:val="005924BF"/>
    <w:rsid w:val="0059284E"/>
    <w:rsid w:val="00593F15"/>
    <w:rsid w:val="00594321"/>
    <w:rsid w:val="0059438F"/>
    <w:rsid w:val="00595288"/>
    <w:rsid w:val="00595EC8"/>
    <w:rsid w:val="005964B4"/>
    <w:rsid w:val="00597442"/>
    <w:rsid w:val="005A2748"/>
    <w:rsid w:val="005A3380"/>
    <w:rsid w:val="005A3C72"/>
    <w:rsid w:val="005A3D37"/>
    <w:rsid w:val="005A3FFE"/>
    <w:rsid w:val="005A45F8"/>
    <w:rsid w:val="005A4DB9"/>
    <w:rsid w:val="005A4F00"/>
    <w:rsid w:val="005A5342"/>
    <w:rsid w:val="005A54A0"/>
    <w:rsid w:val="005A575D"/>
    <w:rsid w:val="005A7183"/>
    <w:rsid w:val="005A7451"/>
    <w:rsid w:val="005B0354"/>
    <w:rsid w:val="005B0941"/>
    <w:rsid w:val="005B34B1"/>
    <w:rsid w:val="005B4C51"/>
    <w:rsid w:val="005B5CA5"/>
    <w:rsid w:val="005B5E4D"/>
    <w:rsid w:val="005B79E9"/>
    <w:rsid w:val="005B7D31"/>
    <w:rsid w:val="005C18CF"/>
    <w:rsid w:val="005C2236"/>
    <w:rsid w:val="005C36E4"/>
    <w:rsid w:val="005C4D4F"/>
    <w:rsid w:val="005C56C1"/>
    <w:rsid w:val="005C5770"/>
    <w:rsid w:val="005C62E0"/>
    <w:rsid w:val="005C6C99"/>
    <w:rsid w:val="005C7ACF"/>
    <w:rsid w:val="005D0ACB"/>
    <w:rsid w:val="005D0E69"/>
    <w:rsid w:val="005D22E8"/>
    <w:rsid w:val="005D2D57"/>
    <w:rsid w:val="005D34DE"/>
    <w:rsid w:val="005D57C2"/>
    <w:rsid w:val="005D66A6"/>
    <w:rsid w:val="005D6A73"/>
    <w:rsid w:val="005D6ACF"/>
    <w:rsid w:val="005D775D"/>
    <w:rsid w:val="005D783C"/>
    <w:rsid w:val="005D7993"/>
    <w:rsid w:val="005D7AA0"/>
    <w:rsid w:val="005E04ED"/>
    <w:rsid w:val="005E077C"/>
    <w:rsid w:val="005E2223"/>
    <w:rsid w:val="005E22AD"/>
    <w:rsid w:val="005E44BD"/>
    <w:rsid w:val="005E450B"/>
    <w:rsid w:val="005E66E2"/>
    <w:rsid w:val="005E6720"/>
    <w:rsid w:val="005E6D9A"/>
    <w:rsid w:val="005E7EA5"/>
    <w:rsid w:val="005F03E9"/>
    <w:rsid w:val="005F080B"/>
    <w:rsid w:val="005F13D1"/>
    <w:rsid w:val="005F1F57"/>
    <w:rsid w:val="005F33C7"/>
    <w:rsid w:val="005F5167"/>
    <w:rsid w:val="005F5390"/>
    <w:rsid w:val="005F6960"/>
    <w:rsid w:val="005F6B16"/>
    <w:rsid w:val="006006DC"/>
    <w:rsid w:val="00600843"/>
    <w:rsid w:val="0060238C"/>
    <w:rsid w:val="006029BE"/>
    <w:rsid w:val="00602F3A"/>
    <w:rsid w:val="006039E8"/>
    <w:rsid w:val="00603D14"/>
    <w:rsid w:val="00604794"/>
    <w:rsid w:val="00604914"/>
    <w:rsid w:val="00604E03"/>
    <w:rsid w:val="006074D4"/>
    <w:rsid w:val="00607872"/>
    <w:rsid w:val="00607C59"/>
    <w:rsid w:val="0061183D"/>
    <w:rsid w:val="00612464"/>
    <w:rsid w:val="00612648"/>
    <w:rsid w:val="006126B3"/>
    <w:rsid w:val="00615B2D"/>
    <w:rsid w:val="0061705D"/>
    <w:rsid w:val="0061741F"/>
    <w:rsid w:val="00617601"/>
    <w:rsid w:val="0062087C"/>
    <w:rsid w:val="00620A1D"/>
    <w:rsid w:val="00620FE0"/>
    <w:rsid w:val="006217ED"/>
    <w:rsid w:val="00623CD5"/>
    <w:rsid w:val="0062521F"/>
    <w:rsid w:val="006253E8"/>
    <w:rsid w:val="0062580E"/>
    <w:rsid w:val="00625EE1"/>
    <w:rsid w:val="0062665E"/>
    <w:rsid w:val="00627864"/>
    <w:rsid w:val="00627D0A"/>
    <w:rsid w:val="00627F87"/>
    <w:rsid w:val="00630C09"/>
    <w:rsid w:val="006326C3"/>
    <w:rsid w:val="006328B1"/>
    <w:rsid w:val="00634BC8"/>
    <w:rsid w:val="00635DE4"/>
    <w:rsid w:val="00635F90"/>
    <w:rsid w:val="00636534"/>
    <w:rsid w:val="00637298"/>
    <w:rsid w:val="006401D5"/>
    <w:rsid w:val="0064026A"/>
    <w:rsid w:val="00640BF7"/>
    <w:rsid w:val="0064212A"/>
    <w:rsid w:val="00642866"/>
    <w:rsid w:val="00642921"/>
    <w:rsid w:val="0064295C"/>
    <w:rsid w:val="00645009"/>
    <w:rsid w:val="00645BE3"/>
    <w:rsid w:val="00646F54"/>
    <w:rsid w:val="00647F25"/>
    <w:rsid w:val="006539F8"/>
    <w:rsid w:val="0065476E"/>
    <w:rsid w:val="00655FBF"/>
    <w:rsid w:val="006567FE"/>
    <w:rsid w:val="00656FC3"/>
    <w:rsid w:val="00657378"/>
    <w:rsid w:val="00660B78"/>
    <w:rsid w:val="0066228C"/>
    <w:rsid w:val="006627F2"/>
    <w:rsid w:val="0066338D"/>
    <w:rsid w:val="00663762"/>
    <w:rsid w:val="00664866"/>
    <w:rsid w:val="00666DC3"/>
    <w:rsid w:val="00667B9F"/>
    <w:rsid w:val="006703D8"/>
    <w:rsid w:val="00670568"/>
    <w:rsid w:val="006725A1"/>
    <w:rsid w:val="00672B6C"/>
    <w:rsid w:val="00673140"/>
    <w:rsid w:val="00674264"/>
    <w:rsid w:val="00674899"/>
    <w:rsid w:val="00675591"/>
    <w:rsid w:val="00676617"/>
    <w:rsid w:val="00677BAE"/>
    <w:rsid w:val="00682F59"/>
    <w:rsid w:val="00683E99"/>
    <w:rsid w:val="00684AD3"/>
    <w:rsid w:val="00685007"/>
    <w:rsid w:val="00685C34"/>
    <w:rsid w:val="00687AD1"/>
    <w:rsid w:val="006907B4"/>
    <w:rsid w:val="0069224F"/>
    <w:rsid w:val="00692EC1"/>
    <w:rsid w:val="00693030"/>
    <w:rsid w:val="006938A9"/>
    <w:rsid w:val="0069552A"/>
    <w:rsid w:val="00695891"/>
    <w:rsid w:val="00695B83"/>
    <w:rsid w:val="00696683"/>
    <w:rsid w:val="00697759"/>
    <w:rsid w:val="00697EA8"/>
    <w:rsid w:val="006A0732"/>
    <w:rsid w:val="006A0C32"/>
    <w:rsid w:val="006A128E"/>
    <w:rsid w:val="006A1347"/>
    <w:rsid w:val="006A1660"/>
    <w:rsid w:val="006A238D"/>
    <w:rsid w:val="006A32D5"/>
    <w:rsid w:val="006A4A66"/>
    <w:rsid w:val="006A4B7B"/>
    <w:rsid w:val="006A4D95"/>
    <w:rsid w:val="006A5B67"/>
    <w:rsid w:val="006A62BF"/>
    <w:rsid w:val="006A6C0F"/>
    <w:rsid w:val="006B0731"/>
    <w:rsid w:val="006B0C93"/>
    <w:rsid w:val="006B2291"/>
    <w:rsid w:val="006B29F9"/>
    <w:rsid w:val="006B3ACD"/>
    <w:rsid w:val="006B5995"/>
    <w:rsid w:val="006B5BB0"/>
    <w:rsid w:val="006B6108"/>
    <w:rsid w:val="006B697D"/>
    <w:rsid w:val="006B750B"/>
    <w:rsid w:val="006B7F65"/>
    <w:rsid w:val="006C0583"/>
    <w:rsid w:val="006C1172"/>
    <w:rsid w:val="006C1230"/>
    <w:rsid w:val="006C2749"/>
    <w:rsid w:val="006C30DF"/>
    <w:rsid w:val="006C35A1"/>
    <w:rsid w:val="006C3BD7"/>
    <w:rsid w:val="006C41A3"/>
    <w:rsid w:val="006C4F2B"/>
    <w:rsid w:val="006D0B83"/>
    <w:rsid w:val="006D1576"/>
    <w:rsid w:val="006D4B82"/>
    <w:rsid w:val="006D512F"/>
    <w:rsid w:val="006D6343"/>
    <w:rsid w:val="006D71B1"/>
    <w:rsid w:val="006D754B"/>
    <w:rsid w:val="006D7C4F"/>
    <w:rsid w:val="006E0102"/>
    <w:rsid w:val="006E0511"/>
    <w:rsid w:val="006E1709"/>
    <w:rsid w:val="006E182B"/>
    <w:rsid w:val="006E1C1B"/>
    <w:rsid w:val="006E1FC9"/>
    <w:rsid w:val="006E403F"/>
    <w:rsid w:val="006E4238"/>
    <w:rsid w:val="006E486A"/>
    <w:rsid w:val="006E585F"/>
    <w:rsid w:val="006E5D0F"/>
    <w:rsid w:val="006E60B9"/>
    <w:rsid w:val="006E6842"/>
    <w:rsid w:val="006F12F3"/>
    <w:rsid w:val="006F1EDA"/>
    <w:rsid w:val="006F23C9"/>
    <w:rsid w:val="006F2D57"/>
    <w:rsid w:val="006F3031"/>
    <w:rsid w:val="006F3F2B"/>
    <w:rsid w:val="006F4444"/>
    <w:rsid w:val="006F453B"/>
    <w:rsid w:val="006F47E7"/>
    <w:rsid w:val="006F5192"/>
    <w:rsid w:val="006F54FD"/>
    <w:rsid w:val="006F57C4"/>
    <w:rsid w:val="006F5864"/>
    <w:rsid w:val="006F64E6"/>
    <w:rsid w:val="00701453"/>
    <w:rsid w:val="00701E9B"/>
    <w:rsid w:val="00701FE3"/>
    <w:rsid w:val="00702487"/>
    <w:rsid w:val="00703180"/>
    <w:rsid w:val="00703854"/>
    <w:rsid w:val="00703C2B"/>
    <w:rsid w:val="00705734"/>
    <w:rsid w:val="00706059"/>
    <w:rsid w:val="0070605C"/>
    <w:rsid w:val="00706257"/>
    <w:rsid w:val="00706743"/>
    <w:rsid w:val="00710CD8"/>
    <w:rsid w:val="0071128D"/>
    <w:rsid w:val="00711F13"/>
    <w:rsid w:val="00711F61"/>
    <w:rsid w:val="00712803"/>
    <w:rsid w:val="007144F8"/>
    <w:rsid w:val="00716646"/>
    <w:rsid w:val="007171C8"/>
    <w:rsid w:val="007172D8"/>
    <w:rsid w:val="00720100"/>
    <w:rsid w:val="0072101B"/>
    <w:rsid w:val="007233D3"/>
    <w:rsid w:val="007237C1"/>
    <w:rsid w:val="0072458A"/>
    <w:rsid w:val="00726CD7"/>
    <w:rsid w:val="00730B8E"/>
    <w:rsid w:val="007314B1"/>
    <w:rsid w:val="0073155D"/>
    <w:rsid w:val="00732456"/>
    <w:rsid w:val="00734B98"/>
    <w:rsid w:val="00735416"/>
    <w:rsid w:val="007373E8"/>
    <w:rsid w:val="00737E13"/>
    <w:rsid w:val="00737FCD"/>
    <w:rsid w:val="007402E1"/>
    <w:rsid w:val="007405B7"/>
    <w:rsid w:val="00740E13"/>
    <w:rsid w:val="007416C3"/>
    <w:rsid w:val="00742E96"/>
    <w:rsid w:val="00743053"/>
    <w:rsid w:val="00743725"/>
    <w:rsid w:val="00743C34"/>
    <w:rsid w:val="007449FE"/>
    <w:rsid w:val="00745096"/>
    <w:rsid w:val="0074580B"/>
    <w:rsid w:val="007466CB"/>
    <w:rsid w:val="007469BA"/>
    <w:rsid w:val="00747A98"/>
    <w:rsid w:val="007508F6"/>
    <w:rsid w:val="00751257"/>
    <w:rsid w:val="0075332C"/>
    <w:rsid w:val="00754113"/>
    <w:rsid w:val="007548FB"/>
    <w:rsid w:val="0075515F"/>
    <w:rsid w:val="007557AE"/>
    <w:rsid w:val="007565A8"/>
    <w:rsid w:val="007565E3"/>
    <w:rsid w:val="00756FA6"/>
    <w:rsid w:val="0076047A"/>
    <w:rsid w:val="00763058"/>
    <w:rsid w:val="00763DFE"/>
    <w:rsid w:val="00764AFB"/>
    <w:rsid w:val="00764EB8"/>
    <w:rsid w:val="007651B8"/>
    <w:rsid w:val="00765D48"/>
    <w:rsid w:val="00766439"/>
    <w:rsid w:val="0076693F"/>
    <w:rsid w:val="00767A11"/>
    <w:rsid w:val="00771CC7"/>
    <w:rsid w:val="00772381"/>
    <w:rsid w:val="0077241F"/>
    <w:rsid w:val="00772B67"/>
    <w:rsid w:val="00774D2E"/>
    <w:rsid w:val="00775C35"/>
    <w:rsid w:val="0077637F"/>
    <w:rsid w:val="0077665E"/>
    <w:rsid w:val="00776774"/>
    <w:rsid w:val="00776B7E"/>
    <w:rsid w:val="0078022B"/>
    <w:rsid w:val="00780AC6"/>
    <w:rsid w:val="00782865"/>
    <w:rsid w:val="00782994"/>
    <w:rsid w:val="007838D2"/>
    <w:rsid w:val="00783BD5"/>
    <w:rsid w:val="00783C69"/>
    <w:rsid w:val="007845D0"/>
    <w:rsid w:val="00784A73"/>
    <w:rsid w:val="00786E72"/>
    <w:rsid w:val="00790F46"/>
    <w:rsid w:val="00795840"/>
    <w:rsid w:val="00796002"/>
    <w:rsid w:val="00796E3E"/>
    <w:rsid w:val="00797510"/>
    <w:rsid w:val="007A1C29"/>
    <w:rsid w:val="007A23A5"/>
    <w:rsid w:val="007A2BC6"/>
    <w:rsid w:val="007A3259"/>
    <w:rsid w:val="007A37C7"/>
    <w:rsid w:val="007A51DF"/>
    <w:rsid w:val="007A556C"/>
    <w:rsid w:val="007A562B"/>
    <w:rsid w:val="007A7830"/>
    <w:rsid w:val="007A7C0D"/>
    <w:rsid w:val="007A7F92"/>
    <w:rsid w:val="007B066A"/>
    <w:rsid w:val="007B08D9"/>
    <w:rsid w:val="007B1443"/>
    <w:rsid w:val="007B1DD9"/>
    <w:rsid w:val="007B2AB5"/>
    <w:rsid w:val="007B3421"/>
    <w:rsid w:val="007B3515"/>
    <w:rsid w:val="007B4489"/>
    <w:rsid w:val="007B457E"/>
    <w:rsid w:val="007B4F16"/>
    <w:rsid w:val="007C0815"/>
    <w:rsid w:val="007C1AF4"/>
    <w:rsid w:val="007C4229"/>
    <w:rsid w:val="007C432F"/>
    <w:rsid w:val="007C4889"/>
    <w:rsid w:val="007C4BDE"/>
    <w:rsid w:val="007C4C6D"/>
    <w:rsid w:val="007C608D"/>
    <w:rsid w:val="007C678E"/>
    <w:rsid w:val="007C6C39"/>
    <w:rsid w:val="007C74B6"/>
    <w:rsid w:val="007C76E1"/>
    <w:rsid w:val="007C79CE"/>
    <w:rsid w:val="007D22DE"/>
    <w:rsid w:val="007D2543"/>
    <w:rsid w:val="007D3663"/>
    <w:rsid w:val="007D36C8"/>
    <w:rsid w:val="007D43FF"/>
    <w:rsid w:val="007D5834"/>
    <w:rsid w:val="007D68EE"/>
    <w:rsid w:val="007D7635"/>
    <w:rsid w:val="007D7ADC"/>
    <w:rsid w:val="007D7CF5"/>
    <w:rsid w:val="007E0091"/>
    <w:rsid w:val="007E110C"/>
    <w:rsid w:val="007E2CB7"/>
    <w:rsid w:val="007E3AC0"/>
    <w:rsid w:val="007E3C97"/>
    <w:rsid w:val="007E484D"/>
    <w:rsid w:val="007E4C4F"/>
    <w:rsid w:val="007E537C"/>
    <w:rsid w:val="007E58B0"/>
    <w:rsid w:val="007E5B91"/>
    <w:rsid w:val="007E730A"/>
    <w:rsid w:val="007E7C09"/>
    <w:rsid w:val="007F26C5"/>
    <w:rsid w:val="007F3B5B"/>
    <w:rsid w:val="007F4030"/>
    <w:rsid w:val="007F5505"/>
    <w:rsid w:val="0080095D"/>
    <w:rsid w:val="0080171D"/>
    <w:rsid w:val="00801CDD"/>
    <w:rsid w:val="00801D28"/>
    <w:rsid w:val="00802202"/>
    <w:rsid w:val="00802A8A"/>
    <w:rsid w:val="008047AD"/>
    <w:rsid w:val="00805789"/>
    <w:rsid w:val="00806D80"/>
    <w:rsid w:val="00807828"/>
    <w:rsid w:val="00807E5E"/>
    <w:rsid w:val="0081089D"/>
    <w:rsid w:val="008115DE"/>
    <w:rsid w:val="0081229C"/>
    <w:rsid w:val="00812538"/>
    <w:rsid w:val="00812E26"/>
    <w:rsid w:val="00812F1F"/>
    <w:rsid w:val="008137C9"/>
    <w:rsid w:val="00814F6B"/>
    <w:rsid w:val="0081547C"/>
    <w:rsid w:val="008159AB"/>
    <w:rsid w:val="00815C10"/>
    <w:rsid w:val="008163F8"/>
    <w:rsid w:val="00817F90"/>
    <w:rsid w:val="008207FE"/>
    <w:rsid w:val="00820A31"/>
    <w:rsid w:val="008211CC"/>
    <w:rsid w:val="00822354"/>
    <w:rsid w:val="008223E8"/>
    <w:rsid w:val="008224CC"/>
    <w:rsid w:val="00822AE6"/>
    <w:rsid w:val="00823BCF"/>
    <w:rsid w:val="0082486B"/>
    <w:rsid w:val="008260AE"/>
    <w:rsid w:val="008268E5"/>
    <w:rsid w:val="00827471"/>
    <w:rsid w:val="00827B84"/>
    <w:rsid w:val="00830F9A"/>
    <w:rsid w:val="0083106B"/>
    <w:rsid w:val="0083121C"/>
    <w:rsid w:val="008316E0"/>
    <w:rsid w:val="00832C14"/>
    <w:rsid w:val="0083468C"/>
    <w:rsid w:val="00834EFA"/>
    <w:rsid w:val="008372B9"/>
    <w:rsid w:val="00837351"/>
    <w:rsid w:val="00840148"/>
    <w:rsid w:val="0084051F"/>
    <w:rsid w:val="008414FD"/>
    <w:rsid w:val="008417D7"/>
    <w:rsid w:val="0084300C"/>
    <w:rsid w:val="0084416D"/>
    <w:rsid w:val="00845CAF"/>
    <w:rsid w:val="0084619D"/>
    <w:rsid w:val="008464E2"/>
    <w:rsid w:val="00846C46"/>
    <w:rsid w:val="00847E84"/>
    <w:rsid w:val="00850508"/>
    <w:rsid w:val="00850C30"/>
    <w:rsid w:val="00850D2F"/>
    <w:rsid w:val="00851B24"/>
    <w:rsid w:val="00852321"/>
    <w:rsid w:val="008523A2"/>
    <w:rsid w:val="00852F78"/>
    <w:rsid w:val="00853509"/>
    <w:rsid w:val="00853BE1"/>
    <w:rsid w:val="00853F90"/>
    <w:rsid w:val="00854783"/>
    <w:rsid w:val="00854E45"/>
    <w:rsid w:val="00854F91"/>
    <w:rsid w:val="008555C7"/>
    <w:rsid w:val="00860AEE"/>
    <w:rsid w:val="008630DB"/>
    <w:rsid w:val="00863459"/>
    <w:rsid w:val="0086356A"/>
    <w:rsid w:val="008637F0"/>
    <w:rsid w:val="008639C5"/>
    <w:rsid w:val="00864C35"/>
    <w:rsid w:val="00865688"/>
    <w:rsid w:val="00866923"/>
    <w:rsid w:val="00870FE9"/>
    <w:rsid w:val="00871463"/>
    <w:rsid w:val="00871A4C"/>
    <w:rsid w:val="0087234A"/>
    <w:rsid w:val="008723C8"/>
    <w:rsid w:val="00873398"/>
    <w:rsid w:val="00873FF1"/>
    <w:rsid w:val="00874C03"/>
    <w:rsid w:val="00875C55"/>
    <w:rsid w:val="00875CE1"/>
    <w:rsid w:val="0087720F"/>
    <w:rsid w:val="0087723F"/>
    <w:rsid w:val="008802AE"/>
    <w:rsid w:val="00880C54"/>
    <w:rsid w:val="008814E4"/>
    <w:rsid w:val="00884A26"/>
    <w:rsid w:val="00885553"/>
    <w:rsid w:val="00886618"/>
    <w:rsid w:val="008874AE"/>
    <w:rsid w:val="00890113"/>
    <w:rsid w:val="0089033B"/>
    <w:rsid w:val="00891189"/>
    <w:rsid w:val="008919F4"/>
    <w:rsid w:val="00892262"/>
    <w:rsid w:val="008926FE"/>
    <w:rsid w:val="008940B0"/>
    <w:rsid w:val="00894ABC"/>
    <w:rsid w:val="008952D9"/>
    <w:rsid w:val="008974FF"/>
    <w:rsid w:val="00897802"/>
    <w:rsid w:val="008A005A"/>
    <w:rsid w:val="008A03A0"/>
    <w:rsid w:val="008A0835"/>
    <w:rsid w:val="008A173C"/>
    <w:rsid w:val="008A3696"/>
    <w:rsid w:val="008A3DBF"/>
    <w:rsid w:val="008A5D3D"/>
    <w:rsid w:val="008B00EA"/>
    <w:rsid w:val="008B063F"/>
    <w:rsid w:val="008B0786"/>
    <w:rsid w:val="008B1E59"/>
    <w:rsid w:val="008B4678"/>
    <w:rsid w:val="008B5004"/>
    <w:rsid w:val="008B5A32"/>
    <w:rsid w:val="008B66B4"/>
    <w:rsid w:val="008B6A74"/>
    <w:rsid w:val="008B6C4F"/>
    <w:rsid w:val="008B7C13"/>
    <w:rsid w:val="008B7DC0"/>
    <w:rsid w:val="008C2BB2"/>
    <w:rsid w:val="008C341E"/>
    <w:rsid w:val="008C36A5"/>
    <w:rsid w:val="008C3725"/>
    <w:rsid w:val="008C4F4F"/>
    <w:rsid w:val="008C5A37"/>
    <w:rsid w:val="008C6005"/>
    <w:rsid w:val="008C6C37"/>
    <w:rsid w:val="008C7665"/>
    <w:rsid w:val="008C7AD9"/>
    <w:rsid w:val="008D014B"/>
    <w:rsid w:val="008D31A7"/>
    <w:rsid w:val="008D35A5"/>
    <w:rsid w:val="008D4BDA"/>
    <w:rsid w:val="008D794E"/>
    <w:rsid w:val="008E04DD"/>
    <w:rsid w:val="008E0654"/>
    <w:rsid w:val="008E0A8D"/>
    <w:rsid w:val="008E180D"/>
    <w:rsid w:val="008E1A5E"/>
    <w:rsid w:val="008E264B"/>
    <w:rsid w:val="008E405F"/>
    <w:rsid w:val="008E4261"/>
    <w:rsid w:val="008E44DD"/>
    <w:rsid w:val="008E48D5"/>
    <w:rsid w:val="008E4B6C"/>
    <w:rsid w:val="008E514F"/>
    <w:rsid w:val="008E52A2"/>
    <w:rsid w:val="008E5959"/>
    <w:rsid w:val="008E6DAD"/>
    <w:rsid w:val="008E75F1"/>
    <w:rsid w:val="008F15BC"/>
    <w:rsid w:val="008F30FB"/>
    <w:rsid w:val="008F3D4A"/>
    <w:rsid w:val="008F44E9"/>
    <w:rsid w:val="008F4B92"/>
    <w:rsid w:val="008F518A"/>
    <w:rsid w:val="008F52DC"/>
    <w:rsid w:val="008F5B26"/>
    <w:rsid w:val="008F665F"/>
    <w:rsid w:val="008F7F89"/>
    <w:rsid w:val="009004C8"/>
    <w:rsid w:val="00903711"/>
    <w:rsid w:val="009042A6"/>
    <w:rsid w:val="009050C1"/>
    <w:rsid w:val="009057A3"/>
    <w:rsid w:val="00906333"/>
    <w:rsid w:val="0090649B"/>
    <w:rsid w:val="00906A36"/>
    <w:rsid w:val="0091134F"/>
    <w:rsid w:val="009119FF"/>
    <w:rsid w:val="0091239F"/>
    <w:rsid w:val="0091273B"/>
    <w:rsid w:val="009127F0"/>
    <w:rsid w:val="009133C0"/>
    <w:rsid w:val="00913472"/>
    <w:rsid w:val="00913E20"/>
    <w:rsid w:val="00914215"/>
    <w:rsid w:val="0091655D"/>
    <w:rsid w:val="00916B56"/>
    <w:rsid w:val="009174B3"/>
    <w:rsid w:val="009178BC"/>
    <w:rsid w:val="009178EF"/>
    <w:rsid w:val="009203E5"/>
    <w:rsid w:val="00920D19"/>
    <w:rsid w:val="00920EA2"/>
    <w:rsid w:val="00922C35"/>
    <w:rsid w:val="00923746"/>
    <w:rsid w:val="00924272"/>
    <w:rsid w:val="00925458"/>
    <w:rsid w:val="00930254"/>
    <w:rsid w:val="00930349"/>
    <w:rsid w:val="00931813"/>
    <w:rsid w:val="00931AA5"/>
    <w:rsid w:val="0093208B"/>
    <w:rsid w:val="00936AD3"/>
    <w:rsid w:val="00937EAA"/>
    <w:rsid w:val="00941219"/>
    <w:rsid w:val="00941236"/>
    <w:rsid w:val="0094239A"/>
    <w:rsid w:val="0094306C"/>
    <w:rsid w:val="00944776"/>
    <w:rsid w:val="00945C74"/>
    <w:rsid w:val="0095136C"/>
    <w:rsid w:val="00951F7F"/>
    <w:rsid w:val="00952418"/>
    <w:rsid w:val="009527A1"/>
    <w:rsid w:val="0095357A"/>
    <w:rsid w:val="00953876"/>
    <w:rsid w:val="00953BAA"/>
    <w:rsid w:val="00955A6A"/>
    <w:rsid w:val="00957E90"/>
    <w:rsid w:val="00960E13"/>
    <w:rsid w:val="00962C57"/>
    <w:rsid w:val="00962FCE"/>
    <w:rsid w:val="00964215"/>
    <w:rsid w:val="00964FCA"/>
    <w:rsid w:val="009653E3"/>
    <w:rsid w:val="00965649"/>
    <w:rsid w:val="00965CDF"/>
    <w:rsid w:val="00965EFE"/>
    <w:rsid w:val="00966611"/>
    <w:rsid w:val="00971169"/>
    <w:rsid w:val="009729A7"/>
    <w:rsid w:val="009736DC"/>
    <w:rsid w:val="00973DB3"/>
    <w:rsid w:val="00973DD9"/>
    <w:rsid w:val="00973DF8"/>
    <w:rsid w:val="00974641"/>
    <w:rsid w:val="009758F6"/>
    <w:rsid w:val="00977F5A"/>
    <w:rsid w:val="0098063F"/>
    <w:rsid w:val="00980C55"/>
    <w:rsid w:val="0098147D"/>
    <w:rsid w:val="0098336E"/>
    <w:rsid w:val="00985570"/>
    <w:rsid w:val="009872E4"/>
    <w:rsid w:val="00987AAB"/>
    <w:rsid w:val="00987B66"/>
    <w:rsid w:val="0099065B"/>
    <w:rsid w:val="009912DD"/>
    <w:rsid w:val="00993066"/>
    <w:rsid w:val="00993678"/>
    <w:rsid w:val="00993816"/>
    <w:rsid w:val="00993CDA"/>
    <w:rsid w:val="00993E08"/>
    <w:rsid w:val="00994695"/>
    <w:rsid w:val="00994D8F"/>
    <w:rsid w:val="0099542E"/>
    <w:rsid w:val="009965B0"/>
    <w:rsid w:val="009A3A0E"/>
    <w:rsid w:val="009A3BFE"/>
    <w:rsid w:val="009A404E"/>
    <w:rsid w:val="009A5501"/>
    <w:rsid w:val="009A5A3D"/>
    <w:rsid w:val="009A6643"/>
    <w:rsid w:val="009A6C1B"/>
    <w:rsid w:val="009A6C21"/>
    <w:rsid w:val="009A6F43"/>
    <w:rsid w:val="009A6FE7"/>
    <w:rsid w:val="009B2938"/>
    <w:rsid w:val="009B3144"/>
    <w:rsid w:val="009B5E75"/>
    <w:rsid w:val="009B6B77"/>
    <w:rsid w:val="009C027D"/>
    <w:rsid w:val="009C0827"/>
    <w:rsid w:val="009C2282"/>
    <w:rsid w:val="009C234D"/>
    <w:rsid w:val="009C36B0"/>
    <w:rsid w:val="009C386E"/>
    <w:rsid w:val="009C4E3A"/>
    <w:rsid w:val="009C51B8"/>
    <w:rsid w:val="009C5CDA"/>
    <w:rsid w:val="009C6CE3"/>
    <w:rsid w:val="009C77E0"/>
    <w:rsid w:val="009D062C"/>
    <w:rsid w:val="009D0CBE"/>
    <w:rsid w:val="009D2A62"/>
    <w:rsid w:val="009D34D1"/>
    <w:rsid w:val="009D6AFC"/>
    <w:rsid w:val="009D6FA1"/>
    <w:rsid w:val="009D7820"/>
    <w:rsid w:val="009E0410"/>
    <w:rsid w:val="009E16B8"/>
    <w:rsid w:val="009E344A"/>
    <w:rsid w:val="009E4348"/>
    <w:rsid w:val="009E43E1"/>
    <w:rsid w:val="009E492A"/>
    <w:rsid w:val="009E593D"/>
    <w:rsid w:val="009E69EF"/>
    <w:rsid w:val="009E6D4E"/>
    <w:rsid w:val="009F0872"/>
    <w:rsid w:val="009F0F64"/>
    <w:rsid w:val="009F11F4"/>
    <w:rsid w:val="009F1AB9"/>
    <w:rsid w:val="009F1D70"/>
    <w:rsid w:val="009F366B"/>
    <w:rsid w:val="009F3737"/>
    <w:rsid w:val="009F37A9"/>
    <w:rsid w:val="009F487F"/>
    <w:rsid w:val="009F4E83"/>
    <w:rsid w:val="009F5C9C"/>
    <w:rsid w:val="009F655B"/>
    <w:rsid w:val="009F658F"/>
    <w:rsid w:val="009F6EBE"/>
    <w:rsid w:val="00A00717"/>
    <w:rsid w:val="00A01453"/>
    <w:rsid w:val="00A0190A"/>
    <w:rsid w:val="00A02424"/>
    <w:rsid w:val="00A03454"/>
    <w:rsid w:val="00A03486"/>
    <w:rsid w:val="00A0376B"/>
    <w:rsid w:val="00A04060"/>
    <w:rsid w:val="00A04431"/>
    <w:rsid w:val="00A05D03"/>
    <w:rsid w:val="00A06AB9"/>
    <w:rsid w:val="00A101FF"/>
    <w:rsid w:val="00A106C3"/>
    <w:rsid w:val="00A106D0"/>
    <w:rsid w:val="00A10D2C"/>
    <w:rsid w:val="00A12334"/>
    <w:rsid w:val="00A133EF"/>
    <w:rsid w:val="00A15F00"/>
    <w:rsid w:val="00A163F1"/>
    <w:rsid w:val="00A16C9B"/>
    <w:rsid w:val="00A16D28"/>
    <w:rsid w:val="00A20442"/>
    <w:rsid w:val="00A204CE"/>
    <w:rsid w:val="00A2088C"/>
    <w:rsid w:val="00A21F5F"/>
    <w:rsid w:val="00A222A0"/>
    <w:rsid w:val="00A22F79"/>
    <w:rsid w:val="00A231C6"/>
    <w:rsid w:val="00A24626"/>
    <w:rsid w:val="00A24875"/>
    <w:rsid w:val="00A24BA2"/>
    <w:rsid w:val="00A256FE"/>
    <w:rsid w:val="00A26980"/>
    <w:rsid w:val="00A27275"/>
    <w:rsid w:val="00A274D0"/>
    <w:rsid w:val="00A277EE"/>
    <w:rsid w:val="00A303C4"/>
    <w:rsid w:val="00A30E7E"/>
    <w:rsid w:val="00A31826"/>
    <w:rsid w:val="00A32643"/>
    <w:rsid w:val="00A331E1"/>
    <w:rsid w:val="00A334D5"/>
    <w:rsid w:val="00A34D56"/>
    <w:rsid w:val="00A356FD"/>
    <w:rsid w:val="00A36819"/>
    <w:rsid w:val="00A36CEA"/>
    <w:rsid w:val="00A370FE"/>
    <w:rsid w:val="00A4005B"/>
    <w:rsid w:val="00A401E1"/>
    <w:rsid w:val="00A40811"/>
    <w:rsid w:val="00A40DE6"/>
    <w:rsid w:val="00A4243F"/>
    <w:rsid w:val="00A4297E"/>
    <w:rsid w:val="00A42B22"/>
    <w:rsid w:val="00A43243"/>
    <w:rsid w:val="00A43CFA"/>
    <w:rsid w:val="00A4436E"/>
    <w:rsid w:val="00A445DC"/>
    <w:rsid w:val="00A45AE7"/>
    <w:rsid w:val="00A463C6"/>
    <w:rsid w:val="00A464C3"/>
    <w:rsid w:val="00A46D9B"/>
    <w:rsid w:val="00A51D45"/>
    <w:rsid w:val="00A51DFC"/>
    <w:rsid w:val="00A52294"/>
    <w:rsid w:val="00A5312F"/>
    <w:rsid w:val="00A545DA"/>
    <w:rsid w:val="00A546FB"/>
    <w:rsid w:val="00A57317"/>
    <w:rsid w:val="00A61B8A"/>
    <w:rsid w:val="00A63553"/>
    <w:rsid w:val="00A63691"/>
    <w:rsid w:val="00A639FF"/>
    <w:rsid w:val="00A64CB8"/>
    <w:rsid w:val="00A65948"/>
    <w:rsid w:val="00A661F7"/>
    <w:rsid w:val="00A66D98"/>
    <w:rsid w:val="00A66E26"/>
    <w:rsid w:val="00A67095"/>
    <w:rsid w:val="00A67194"/>
    <w:rsid w:val="00A71153"/>
    <w:rsid w:val="00A7188A"/>
    <w:rsid w:val="00A7284C"/>
    <w:rsid w:val="00A74E0E"/>
    <w:rsid w:val="00A76515"/>
    <w:rsid w:val="00A765DF"/>
    <w:rsid w:val="00A774F8"/>
    <w:rsid w:val="00A7765A"/>
    <w:rsid w:val="00A779A5"/>
    <w:rsid w:val="00A80857"/>
    <w:rsid w:val="00A809DF"/>
    <w:rsid w:val="00A80A78"/>
    <w:rsid w:val="00A82192"/>
    <w:rsid w:val="00A8238F"/>
    <w:rsid w:val="00A83460"/>
    <w:rsid w:val="00A864B0"/>
    <w:rsid w:val="00A86690"/>
    <w:rsid w:val="00A86FEE"/>
    <w:rsid w:val="00A87D7D"/>
    <w:rsid w:val="00A90DF9"/>
    <w:rsid w:val="00A9209D"/>
    <w:rsid w:val="00A94A3F"/>
    <w:rsid w:val="00A94B3F"/>
    <w:rsid w:val="00A95588"/>
    <w:rsid w:val="00A95DD4"/>
    <w:rsid w:val="00A9690F"/>
    <w:rsid w:val="00A971BA"/>
    <w:rsid w:val="00AA0188"/>
    <w:rsid w:val="00AA0437"/>
    <w:rsid w:val="00AA2397"/>
    <w:rsid w:val="00AA266D"/>
    <w:rsid w:val="00AA29E1"/>
    <w:rsid w:val="00AA3B06"/>
    <w:rsid w:val="00AA4413"/>
    <w:rsid w:val="00AA6CFA"/>
    <w:rsid w:val="00AB1AFD"/>
    <w:rsid w:val="00AB21B2"/>
    <w:rsid w:val="00AB2A0D"/>
    <w:rsid w:val="00AB2D19"/>
    <w:rsid w:val="00AB2F21"/>
    <w:rsid w:val="00AB3A53"/>
    <w:rsid w:val="00AB3C53"/>
    <w:rsid w:val="00AB3DE9"/>
    <w:rsid w:val="00AB574A"/>
    <w:rsid w:val="00AB7572"/>
    <w:rsid w:val="00AB7E9D"/>
    <w:rsid w:val="00AC09C5"/>
    <w:rsid w:val="00AC0A36"/>
    <w:rsid w:val="00AC1882"/>
    <w:rsid w:val="00AC1CA0"/>
    <w:rsid w:val="00AC1E06"/>
    <w:rsid w:val="00AC31F9"/>
    <w:rsid w:val="00AC32F1"/>
    <w:rsid w:val="00AC34E5"/>
    <w:rsid w:val="00AC5208"/>
    <w:rsid w:val="00AC74F6"/>
    <w:rsid w:val="00AD0ED4"/>
    <w:rsid w:val="00AD11FD"/>
    <w:rsid w:val="00AD44F9"/>
    <w:rsid w:val="00AD5D5A"/>
    <w:rsid w:val="00AD5D5B"/>
    <w:rsid w:val="00AD6F90"/>
    <w:rsid w:val="00AE0642"/>
    <w:rsid w:val="00AE22CE"/>
    <w:rsid w:val="00AE2FD1"/>
    <w:rsid w:val="00AE33A5"/>
    <w:rsid w:val="00AE3A4D"/>
    <w:rsid w:val="00AE43C7"/>
    <w:rsid w:val="00AE464D"/>
    <w:rsid w:val="00AE5E86"/>
    <w:rsid w:val="00AE7BD9"/>
    <w:rsid w:val="00AE7D72"/>
    <w:rsid w:val="00AF0C34"/>
    <w:rsid w:val="00AF210E"/>
    <w:rsid w:val="00AF344C"/>
    <w:rsid w:val="00AF3A2C"/>
    <w:rsid w:val="00AF4504"/>
    <w:rsid w:val="00AF5002"/>
    <w:rsid w:val="00AF51BB"/>
    <w:rsid w:val="00AF5C4E"/>
    <w:rsid w:val="00AF63E7"/>
    <w:rsid w:val="00AF7532"/>
    <w:rsid w:val="00AF7777"/>
    <w:rsid w:val="00AF78DD"/>
    <w:rsid w:val="00AF7CB1"/>
    <w:rsid w:val="00B045BB"/>
    <w:rsid w:val="00B05280"/>
    <w:rsid w:val="00B0697E"/>
    <w:rsid w:val="00B06C01"/>
    <w:rsid w:val="00B07268"/>
    <w:rsid w:val="00B10273"/>
    <w:rsid w:val="00B10444"/>
    <w:rsid w:val="00B1133B"/>
    <w:rsid w:val="00B11E82"/>
    <w:rsid w:val="00B13681"/>
    <w:rsid w:val="00B138EC"/>
    <w:rsid w:val="00B13BF1"/>
    <w:rsid w:val="00B1458B"/>
    <w:rsid w:val="00B14DAA"/>
    <w:rsid w:val="00B15069"/>
    <w:rsid w:val="00B15862"/>
    <w:rsid w:val="00B17C65"/>
    <w:rsid w:val="00B17DAF"/>
    <w:rsid w:val="00B20611"/>
    <w:rsid w:val="00B22A29"/>
    <w:rsid w:val="00B24D19"/>
    <w:rsid w:val="00B259A1"/>
    <w:rsid w:val="00B25F0C"/>
    <w:rsid w:val="00B26CCA"/>
    <w:rsid w:val="00B278D5"/>
    <w:rsid w:val="00B27EEF"/>
    <w:rsid w:val="00B3129E"/>
    <w:rsid w:val="00B312B3"/>
    <w:rsid w:val="00B31FBB"/>
    <w:rsid w:val="00B327D8"/>
    <w:rsid w:val="00B328B7"/>
    <w:rsid w:val="00B329D8"/>
    <w:rsid w:val="00B33081"/>
    <w:rsid w:val="00B35EDD"/>
    <w:rsid w:val="00B372B1"/>
    <w:rsid w:val="00B37319"/>
    <w:rsid w:val="00B40D9F"/>
    <w:rsid w:val="00B415D1"/>
    <w:rsid w:val="00B41A3B"/>
    <w:rsid w:val="00B41C45"/>
    <w:rsid w:val="00B420D7"/>
    <w:rsid w:val="00B42609"/>
    <w:rsid w:val="00B435DE"/>
    <w:rsid w:val="00B43E5D"/>
    <w:rsid w:val="00B445BD"/>
    <w:rsid w:val="00B44C8E"/>
    <w:rsid w:val="00B450CC"/>
    <w:rsid w:val="00B46CA6"/>
    <w:rsid w:val="00B507B7"/>
    <w:rsid w:val="00B50C8F"/>
    <w:rsid w:val="00B54674"/>
    <w:rsid w:val="00B54B58"/>
    <w:rsid w:val="00B55419"/>
    <w:rsid w:val="00B55838"/>
    <w:rsid w:val="00B566BE"/>
    <w:rsid w:val="00B56A70"/>
    <w:rsid w:val="00B5799F"/>
    <w:rsid w:val="00B6182C"/>
    <w:rsid w:val="00B6209D"/>
    <w:rsid w:val="00B62BFA"/>
    <w:rsid w:val="00B6395F"/>
    <w:rsid w:val="00B63F4F"/>
    <w:rsid w:val="00B644A2"/>
    <w:rsid w:val="00B657C3"/>
    <w:rsid w:val="00B65F4E"/>
    <w:rsid w:val="00B66671"/>
    <w:rsid w:val="00B678A6"/>
    <w:rsid w:val="00B67E4E"/>
    <w:rsid w:val="00B707B3"/>
    <w:rsid w:val="00B71707"/>
    <w:rsid w:val="00B71832"/>
    <w:rsid w:val="00B7318F"/>
    <w:rsid w:val="00B733A1"/>
    <w:rsid w:val="00B771C6"/>
    <w:rsid w:val="00B77B04"/>
    <w:rsid w:val="00B815C5"/>
    <w:rsid w:val="00B818C8"/>
    <w:rsid w:val="00B81AEB"/>
    <w:rsid w:val="00B82C71"/>
    <w:rsid w:val="00B8375C"/>
    <w:rsid w:val="00B83FE4"/>
    <w:rsid w:val="00B83FF9"/>
    <w:rsid w:val="00B846C6"/>
    <w:rsid w:val="00B85646"/>
    <w:rsid w:val="00B87494"/>
    <w:rsid w:val="00B875C5"/>
    <w:rsid w:val="00B87ACD"/>
    <w:rsid w:val="00B903BB"/>
    <w:rsid w:val="00B9170F"/>
    <w:rsid w:val="00B92344"/>
    <w:rsid w:val="00B92945"/>
    <w:rsid w:val="00B930C9"/>
    <w:rsid w:val="00B9365A"/>
    <w:rsid w:val="00B93AAB"/>
    <w:rsid w:val="00B93B7E"/>
    <w:rsid w:val="00B94055"/>
    <w:rsid w:val="00B95971"/>
    <w:rsid w:val="00B959C3"/>
    <w:rsid w:val="00B95B54"/>
    <w:rsid w:val="00BA01BF"/>
    <w:rsid w:val="00BA0BC1"/>
    <w:rsid w:val="00BA239C"/>
    <w:rsid w:val="00BA3589"/>
    <w:rsid w:val="00BA3C68"/>
    <w:rsid w:val="00BA5594"/>
    <w:rsid w:val="00BA5E8A"/>
    <w:rsid w:val="00BB04AC"/>
    <w:rsid w:val="00BB06CD"/>
    <w:rsid w:val="00BB141E"/>
    <w:rsid w:val="00BB255B"/>
    <w:rsid w:val="00BB2C71"/>
    <w:rsid w:val="00BB30FC"/>
    <w:rsid w:val="00BB3315"/>
    <w:rsid w:val="00BB4975"/>
    <w:rsid w:val="00BB4EFA"/>
    <w:rsid w:val="00BB50F1"/>
    <w:rsid w:val="00BB5D93"/>
    <w:rsid w:val="00BB6019"/>
    <w:rsid w:val="00BB7585"/>
    <w:rsid w:val="00BC22B5"/>
    <w:rsid w:val="00BC2559"/>
    <w:rsid w:val="00BC25D7"/>
    <w:rsid w:val="00BC2AD0"/>
    <w:rsid w:val="00BC4C10"/>
    <w:rsid w:val="00BC5F10"/>
    <w:rsid w:val="00BC6BF9"/>
    <w:rsid w:val="00BC798B"/>
    <w:rsid w:val="00BC7C28"/>
    <w:rsid w:val="00BD03B7"/>
    <w:rsid w:val="00BD043D"/>
    <w:rsid w:val="00BD0914"/>
    <w:rsid w:val="00BD194F"/>
    <w:rsid w:val="00BD2B4F"/>
    <w:rsid w:val="00BD2D8C"/>
    <w:rsid w:val="00BD3D9D"/>
    <w:rsid w:val="00BD3F19"/>
    <w:rsid w:val="00BD62C9"/>
    <w:rsid w:val="00BD702E"/>
    <w:rsid w:val="00BE07F3"/>
    <w:rsid w:val="00BE1442"/>
    <w:rsid w:val="00BE1711"/>
    <w:rsid w:val="00BE20FE"/>
    <w:rsid w:val="00BE2BAF"/>
    <w:rsid w:val="00BE3CA3"/>
    <w:rsid w:val="00BE41F2"/>
    <w:rsid w:val="00BE6D36"/>
    <w:rsid w:val="00BE73CB"/>
    <w:rsid w:val="00BF1B16"/>
    <w:rsid w:val="00BF1B66"/>
    <w:rsid w:val="00BF3FE6"/>
    <w:rsid w:val="00BF4741"/>
    <w:rsid w:val="00BF4A6D"/>
    <w:rsid w:val="00BF4C48"/>
    <w:rsid w:val="00BF5A76"/>
    <w:rsid w:val="00BF5F61"/>
    <w:rsid w:val="00BF6992"/>
    <w:rsid w:val="00BF7159"/>
    <w:rsid w:val="00C013CA"/>
    <w:rsid w:val="00C018CC"/>
    <w:rsid w:val="00C05C45"/>
    <w:rsid w:val="00C066C3"/>
    <w:rsid w:val="00C06D98"/>
    <w:rsid w:val="00C06EFE"/>
    <w:rsid w:val="00C0748F"/>
    <w:rsid w:val="00C07525"/>
    <w:rsid w:val="00C07984"/>
    <w:rsid w:val="00C10808"/>
    <w:rsid w:val="00C1144E"/>
    <w:rsid w:val="00C11BDF"/>
    <w:rsid w:val="00C132C1"/>
    <w:rsid w:val="00C1354A"/>
    <w:rsid w:val="00C13914"/>
    <w:rsid w:val="00C13B73"/>
    <w:rsid w:val="00C14EFB"/>
    <w:rsid w:val="00C16EF6"/>
    <w:rsid w:val="00C174FF"/>
    <w:rsid w:val="00C20D34"/>
    <w:rsid w:val="00C232A8"/>
    <w:rsid w:val="00C23594"/>
    <w:rsid w:val="00C2426B"/>
    <w:rsid w:val="00C267DC"/>
    <w:rsid w:val="00C278B0"/>
    <w:rsid w:val="00C27F8A"/>
    <w:rsid w:val="00C31CEC"/>
    <w:rsid w:val="00C32979"/>
    <w:rsid w:val="00C33160"/>
    <w:rsid w:val="00C34F37"/>
    <w:rsid w:val="00C373BE"/>
    <w:rsid w:val="00C37BB6"/>
    <w:rsid w:val="00C4141C"/>
    <w:rsid w:val="00C4204F"/>
    <w:rsid w:val="00C42282"/>
    <w:rsid w:val="00C432FA"/>
    <w:rsid w:val="00C4362D"/>
    <w:rsid w:val="00C4452E"/>
    <w:rsid w:val="00C44981"/>
    <w:rsid w:val="00C451FF"/>
    <w:rsid w:val="00C458AC"/>
    <w:rsid w:val="00C45FF4"/>
    <w:rsid w:val="00C46523"/>
    <w:rsid w:val="00C4699D"/>
    <w:rsid w:val="00C50DF2"/>
    <w:rsid w:val="00C522C8"/>
    <w:rsid w:val="00C52416"/>
    <w:rsid w:val="00C536D1"/>
    <w:rsid w:val="00C53AF0"/>
    <w:rsid w:val="00C53C05"/>
    <w:rsid w:val="00C540D3"/>
    <w:rsid w:val="00C55038"/>
    <w:rsid w:val="00C56277"/>
    <w:rsid w:val="00C570A0"/>
    <w:rsid w:val="00C5712C"/>
    <w:rsid w:val="00C577DC"/>
    <w:rsid w:val="00C57A28"/>
    <w:rsid w:val="00C620FF"/>
    <w:rsid w:val="00C62BB5"/>
    <w:rsid w:val="00C638BF"/>
    <w:rsid w:val="00C63A7C"/>
    <w:rsid w:val="00C64023"/>
    <w:rsid w:val="00C64896"/>
    <w:rsid w:val="00C64C52"/>
    <w:rsid w:val="00C66645"/>
    <w:rsid w:val="00C66B9A"/>
    <w:rsid w:val="00C67BF2"/>
    <w:rsid w:val="00C7010F"/>
    <w:rsid w:val="00C702F2"/>
    <w:rsid w:val="00C707E4"/>
    <w:rsid w:val="00C73B78"/>
    <w:rsid w:val="00C77B32"/>
    <w:rsid w:val="00C818E5"/>
    <w:rsid w:val="00C81B95"/>
    <w:rsid w:val="00C827E2"/>
    <w:rsid w:val="00C829B7"/>
    <w:rsid w:val="00C840F9"/>
    <w:rsid w:val="00C845C2"/>
    <w:rsid w:val="00C85B5F"/>
    <w:rsid w:val="00C85D4D"/>
    <w:rsid w:val="00C86AB0"/>
    <w:rsid w:val="00C875E9"/>
    <w:rsid w:val="00C9168F"/>
    <w:rsid w:val="00C919F5"/>
    <w:rsid w:val="00C9244F"/>
    <w:rsid w:val="00C9292C"/>
    <w:rsid w:val="00C93B65"/>
    <w:rsid w:val="00C9414F"/>
    <w:rsid w:val="00C94514"/>
    <w:rsid w:val="00C94688"/>
    <w:rsid w:val="00C946B9"/>
    <w:rsid w:val="00C953B2"/>
    <w:rsid w:val="00C9592B"/>
    <w:rsid w:val="00CA5FD7"/>
    <w:rsid w:val="00CB02D0"/>
    <w:rsid w:val="00CB07AB"/>
    <w:rsid w:val="00CB1B43"/>
    <w:rsid w:val="00CB1EB4"/>
    <w:rsid w:val="00CB3FD5"/>
    <w:rsid w:val="00CB45EA"/>
    <w:rsid w:val="00CB4ECC"/>
    <w:rsid w:val="00CB518F"/>
    <w:rsid w:val="00CB7651"/>
    <w:rsid w:val="00CB7EE8"/>
    <w:rsid w:val="00CB7FD0"/>
    <w:rsid w:val="00CC073E"/>
    <w:rsid w:val="00CC0DC3"/>
    <w:rsid w:val="00CC2206"/>
    <w:rsid w:val="00CC2CE9"/>
    <w:rsid w:val="00CC4BCA"/>
    <w:rsid w:val="00CC5850"/>
    <w:rsid w:val="00CC5931"/>
    <w:rsid w:val="00CC5AFF"/>
    <w:rsid w:val="00CC5EFC"/>
    <w:rsid w:val="00CC6B3F"/>
    <w:rsid w:val="00CC7FC1"/>
    <w:rsid w:val="00CD052F"/>
    <w:rsid w:val="00CD1672"/>
    <w:rsid w:val="00CD18B7"/>
    <w:rsid w:val="00CD3438"/>
    <w:rsid w:val="00CD34CE"/>
    <w:rsid w:val="00CD5CB6"/>
    <w:rsid w:val="00CD6517"/>
    <w:rsid w:val="00CD6910"/>
    <w:rsid w:val="00CD6A60"/>
    <w:rsid w:val="00CD6C47"/>
    <w:rsid w:val="00CD74F6"/>
    <w:rsid w:val="00CD7AE0"/>
    <w:rsid w:val="00CE2844"/>
    <w:rsid w:val="00CE3919"/>
    <w:rsid w:val="00CE3ADC"/>
    <w:rsid w:val="00CE48F6"/>
    <w:rsid w:val="00CE4B76"/>
    <w:rsid w:val="00CE5555"/>
    <w:rsid w:val="00CE7B39"/>
    <w:rsid w:val="00CE7DF9"/>
    <w:rsid w:val="00CE7DFA"/>
    <w:rsid w:val="00CF022E"/>
    <w:rsid w:val="00CF112F"/>
    <w:rsid w:val="00CF1940"/>
    <w:rsid w:val="00CF27FD"/>
    <w:rsid w:val="00CF4DBE"/>
    <w:rsid w:val="00CF6502"/>
    <w:rsid w:val="00D007C9"/>
    <w:rsid w:val="00D01077"/>
    <w:rsid w:val="00D01A67"/>
    <w:rsid w:val="00D03023"/>
    <w:rsid w:val="00D0345A"/>
    <w:rsid w:val="00D0391B"/>
    <w:rsid w:val="00D0431B"/>
    <w:rsid w:val="00D0459E"/>
    <w:rsid w:val="00D052AD"/>
    <w:rsid w:val="00D05DB8"/>
    <w:rsid w:val="00D07807"/>
    <w:rsid w:val="00D07AC8"/>
    <w:rsid w:val="00D10919"/>
    <w:rsid w:val="00D10E2C"/>
    <w:rsid w:val="00D11138"/>
    <w:rsid w:val="00D1158F"/>
    <w:rsid w:val="00D13361"/>
    <w:rsid w:val="00D13809"/>
    <w:rsid w:val="00D141D5"/>
    <w:rsid w:val="00D14CDA"/>
    <w:rsid w:val="00D15D4F"/>
    <w:rsid w:val="00D1654D"/>
    <w:rsid w:val="00D20393"/>
    <w:rsid w:val="00D2086B"/>
    <w:rsid w:val="00D20B82"/>
    <w:rsid w:val="00D2105A"/>
    <w:rsid w:val="00D2151B"/>
    <w:rsid w:val="00D226CB"/>
    <w:rsid w:val="00D23B12"/>
    <w:rsid w:val="00D25208"/>
    <w:rsid w:val="00D27465"/>
    <w:rsid w:val="00D3195A"/>
    <w:rsid w:val="00D3296F"/>
    <w:rsid w:val="00D32E36"/>
    <w:rsid w:val="00D33018"/>
    <w:rsid w:val="00D33EEC"/>
    <w:rsid w:val="00D3407C"/>
    <w:rsid w:val="00D34281"/>
    <w:rsid w:val="00D363C1"/>
    <w:rsid w:val="00D41242"/>
    <w:rsid w:val="00D41C42"/>
    <w:rsid w:val="00D41D3D"/>
    <w:rsid w:val="00D42BD8"/>
    <w:rsid w:val="00D4304C"/>
    <w:rsid w:val="00D440E8"/>
    <w:rsid w:val="00D44153"/>
    <w:rsid w:val="00D446DC"/>
    <w:rsid w:val="00D44822"/>
    <w:rsid w:val="00D44BB3"/>
    <w:rsid w:val="00D45B86"/>
    <w:rsid w:val="00D45CDA"/>
    <w:rsid w:val="00D468AB"/>
    <w:rsid w:val="00D47872"/>
    <w:rsid w:val="00D47B22"/>
    <w:rsid w:val="00D5016C"/>
    <w:rsid w:val="00D506BB"/>
    <w:rsid w:val="00D52D59"/>
    <w:rsid w:val="00D5375B"/>
    <w:rsid w:val="00D53863"/>
    <w:rsid w:val="00D53BE5"/>
    <w:rsid w:val="00D53F97"/>
    <w:rsid w:val="00D5520F"/>
    <w:rsid w:val="00D575C5"/>
    <w:rsid w:val="00D60D1E"/>
    <w:rsid w:val="00D60F20"/>
    <w:rsid w:val="00D63815"/>
    <w:rsid w:val="00D63ADA"/>
    <w:rsid w:val="00D64B0F"/>
    <w:rsid w:val="00D7001F"/>
    <w:rsid w:val="00D70770"/>
    <w:rsid w:val="00D71980"/>
    <w:rsid w:val="00D71D41"/>
    <w:rsid w:val="00D71EA5"/>
    <w:rsid w:val="00D71F71"/>
    <w:rsid w:val="00D72732"/>
    <w:rsid w:val="00D7280D"/>
    <w:rsid w:val="00D74736"/>
    <w:rsid w:val="00D75195"/>
    <w:rsid w:val="00D75C8B"/>
    <w:rsid w:val="00D76464"/>
    <w:rsid w:val="00D76B42"/>
    <w:rsid w:val="00D81A7E"/>
    <w:rsid w:val="00D831BE"/>
    <w:rsid w:val="00D844F5"/>
    <w:rsid w:val="00D8484A"/>
    <w:rsid w:val="00D85C15"/>
    <w:rsid w:val="00D86BFF"/>
    <w:rsid w:val="00D905DD"/>
    <w:rsid w:val="00D9129A"/>
    <w:rsid w:val="00D93863"/>
    <w:rsid w:val="00D95214"/>
    <w:rsid w:val="00D95735"/>
    <w:rsid w:val="00D95C54"/>
    <w:rsid w:val="00D9603A"/>
    <w:rsid w:val="00D9662C"/>
    <w:rsid w:val="00D9776F"/>
    <w:rsid w:val="00D97A72"/>
    <w:rsid w:val="00D97D20"/>
    <w:rsid w:val="00DA1326"/>
    <w:rsid w:val="00DA2045"/>
    <w:rsid w:val="00DA4102"/>
    <w:rsid w:val="00DA4F85"/>
    <w:rsid w:val="00DA5811"/>
    <w:rsid w:val="00DA6670"/>
    <w:rsid w:val="00DA71CC"/>
    <w:rsid w:val="00DB13C2"/>
    <w:rsid w:val="00DB188E"/>
    <w:rsid w:val="00DB1CA0"/>
    <w:rsid w:val="00DB2191"/>
    <w:rsid w:val="00DB3408"/>
    <w:rsid w:val="00DB35AE"/>
    <w:rsid w:val="00DB3CBE"/>
    <w:rsid w:val="00DB43A3"/>
    <w:rsid w:val="00DC024B"/>
    <w:rsid w:val="00DC0567"/>
    <w:rsid w:val="00DC0B63"/>
    <w:rsid w:val="00DC2097"/>
    <w:rsid w:val="00DC248F"/>
    <w:rsid w:val="00DC31F3"/>
    <w:rsid w:val="00DC3AF2"/>
    <w:rsid w:val="00DC4D93"/>
    <w:rsid w:val="00DC4E2D"/>
    <w:rsid w:val="00DC5254"/>
    <w:rsid w:val="00DC5C9D"/>
    <w:rsid w:val="00DC7795"/>
    <w:rsid w:val="00DD13C1"/>
    <w:rsid w:val="00DD14AD"/>
    <w:rsid w:val="00DD24AE"/>
    <w:rsid w:val="00DD2A13"/>
    <w:rsid w:val="00DD3730"/>
    <w:rsid w:val="00DD3A28"/>
    <w:rsid w:val="00DD49B4"/>
    <w:rsid w:val="00DD5055"/>
    <w:rsid w:val="00DD55CC"/>
    <w:rsid w:val="00DD566C"/>
    <w:rsid w:val="00DD5AF2"/>
    <w:rsid w:val="00DD5BB0"/>
    <w:rsid w:val="00DD61C6"/>
    <w:rsid w:val="00DD7F6C"/>
    <w:rsid w:val="00DE1FF4"/>
    <w:rsid w:val="00DE20ED"/>
    <w:rsid w:val="00DE5FC8"/>
    <w:rsid w:val="00DE6932"/>
    <w:rsid w:val="00DE6A38"/>
    <w:rsid w:val="00DF0EC4"/>
    <w:rsid w:val="00DF181D"/>
    <w:rsid w:val="00DF2E55"/>
    <w:rsid w:val="00DF431A"/>
    <w:rsid w:val="00DF455D"/>
    <w:rsid w:val="00DF4C18"/>
    <w:rsid w:val="00DF5165"/>
    <w:rsid w:val="00DF650A"/>
    <w:rsid w:val="00DF6A9B"/>
    <w:rsid w:val="00DF71EA"/>
    <w:rsid w:val="00DF7300"/>
    <w:rsid w:val="00E00C76"/>
    <w:rsid w:val="00E035EF"/>
    <w:rsid w:val="00E03801"/>
    <w:rsid w:val="00E049D5"/>
    <w:rsid w:val="00E06D20"/>
    <w:rsid w:val="00E074EC"/>
    <w:rsid w:val="00E0762B"/>
    <w:rsid w:val="00E07AB6"/>
    <w:rsid w:val="00E1097F"/>
    <w:rsid w:val="00E1117A"/>
    <w:rsid w:val="00E12369"/>
    <w:rsid w:val="00E13599"/>
    <w:rsid w:val="00E1398C"/>
    <w:rsid w:val="00E146CE"/>
    <w:rsid w:val="00E15922"/>
    <w:rsid w:val="00E16FB1"/>
    <w:rsid w:val="00E17172"/>
    <w:rsid w:val="00E1728A"/>
    <w:rsid w:val="00E208BA"/>
    <w:rsid w:val="00E22514"/>
    <w:rsid w:val="00E25D68"/>
    <w:rsid w:val="00E26391"/>
    <w:rsid w:val="00E263BE"/>
    <w:rsid w:val="00E27A2E"/>
    <w:rsid w:val="00E31503"/>
    <w:rsid w:val="00E3273B"/>
    <w:rsid w:val="00E32946"/>
    <w:rsid w:val="00E334CA"/>
    <w:rsid w:val="00E3537E"/>
    <w:rsid w:val="00E35D39"/>
    <w:rsid w:val="00E3605D"/>
    <w:rsid w:val="00E37738"/>
    <w:rsid w:val="00E37C50"/>
    <w:rsid w:val="00E37C8B"/>
    <w:rsid w:val="00E40004"/>
    <w:rsid w:val="00E40F02"/>
    <w:rsid w:val="00E414BD"/>
    <w:rsid w:val="00E4290E"/>
    <w:rsid w:val="00E43A78"/>
    <w:rsid w:val="00E44478"/>
    <w:rsid w:val="00E44644"/>
    <w:rsid w:val="00E44B40"/>
    <w:rsid w:val="00E44FFC"/>
    <w:rsid w:val="00E44FFD"/>
    <w:rsid w:val="00E45F79"/>
    <w:rsid w:val="00E47267"/>
    <w:rsid w:val="00E50170"/>
    <w:rsid w:val="00E50902"/>
    <w:rsid w:val="00E50F5A"/>
    <w:rsid w:val="00E51234"/>
    <w:rsid w:val="00E5306D"/>
    <w:rsid w:val="00E53B41"/>
    <w:rsid w:val="00E53CA0"/>
    <w:rsid w:val="00E557DD"/>
    <w:rsid w:val="00E55B0F"/>
    <w:rsid w:val="00E5623C"/>
    <w:rsid w:val="00E60386"/>
    <w:rsid w:val="00E60923"/>
    <w:rsid w:val="00E62442"/>
    <w:rsid w:val="00E62BE9"/>
    <w:rsid w:val="00E62C2A"/>
    <w:rsid w:val="00E62CE0"/>
    <w:rsid w:val="00E62FC4"/>
    <w:rsid w:val="00E63772"/>
    <w:rsid w:val="00E648FB"/>
    <w:rsid w:val="00E64C4E"/>
    <w:rsid w:val="00E660D2"/>
    <w:rsid w:val="00E66630"/>
    <w:rsid w:val="00E66DD7"/>
    <w:rsid w:val="00E67015"/>
    <w:rsid w:val="00E67C74"/>
    <w:rsid w:val="00E70274"/>
    <w:rsid w:val="00E72A4F"/>
    <w:rsid w:val="00E73238"/>
    <w:rsid w:val="00E7419C"/>
    <w:rsid w:val="00E74BDC"/>
    <w:rsid w:val="00E74D80"/>
    <w:rsid w:val="00E76413"/>
    <w:rsid w:val="00E77131"/>
    <w:rsid w:val="00E81A30"/>
    <w:rsid w:val="00E81FB0"/>
    <w:rsid w:val="00E8302F"/>
    <w:rsid w:val="00E8305E"/>
    <w:rsid w:val="00E8340C"/>
    <w:rsid w:val="00E83725"/>
    <w:rsid w:val="00E8382B"/>
    <w:rsid w:val="00E8502F"/>
    <w:rsid w:val="00E854C6"/>
    <w:rsid w:val="00E85989"/>
    <w:rsid w:val="00E87296"/>
    <w:rsid w:val="00E87E5E"/>
    <w:rsid w:val="00E90D6B"/>
    <w:rsid w:val="00E911D9"/>
    <w:rsid w:val="00E91412"/>
    <w:rsid w:val="00E91B8B"/>
    <w:rsid w:val="00E937E3"/>
    <w:rsid w:val="00E9384E"/>
    <w:rsid w:val="00E94AD4"/>
    <w:rsid w:val="00E96026"/>
    <w:rsid w:val="00E96121"/>
    <w:rsid w:val="00E965D7"/>
    <w:rsid w:val="00E96FAB"/>
    <w:rsid w:val="00EA02E1"/>
    <w:rsid w:val="00EA0472"/>
    <w:rsid w:val="00EA05C6"/>
    <w:rsid w:val="00EA0CDD"/>
    <w:rsid w:val="00EA2083"/>
    <w:rsid w:val="00EA23D6"/>
    <w:rsid w:val="00EA2442"/>
    <w:rsid w:val="00EA259F"/>
    <w:rsid w:val="00EA2EB3"/>
    <w:rsid w:val="00EA3B95"/>
    <w:rsid w:val="00EA4537"/>
    <w:rsid w:val="00EA4939"/>
    <w:rsid w:val="00EA6E9D"/>
    <w:rsid w:val="00EB28E4"/>
    <w:rsid w:val="00EB3B7C"/>
    <w:rsid w:val="00EB596C"/>
    <w:rsid w:val="00EB66FF"/>
    <w:rsid w:val="00EC186F"/>
    <w:rsid w:val="00EC1B0B"/>
    <w:rsid w:val="00EC40DA"/>
    <w:rsid w:val="00EC438D"/>
    <w:rsid w:val="00EC4484"/>
    <w:rsid w:val="00EC4B42"/>
    <w:rsid w:val="00EC63FE"/>
    <w:rsid w:val="00ED0876"/>
    <w:rsid w:val="00ED09B3"/>
    <w:rsid w:val="00ED1508"/>
    <w:rsid w:val="00ED1CFE"/>
    <w:rsid w:val="00ED2364"/>
    <w:rsid w:val="00ED26D4"/>
    <w:rsid w:val="00ED28C3"/>
    <w:rsid w:val="00ED2E07"/>
    <w:rsid w:val="00ED3126"/>
    <w:rsid w:val="00ED34AD"/>
    <w:rsid w:val="00ED3671"/>
    <w:rsid w:val="00ED38C4"/>
    <w:rsid w:val="00ED3FC6"/>
    <w:rsid w:val="00ED535F"/>
    <w:rsid w:val="00ED5A1B"/>
    <w:rsid w:val="00ED6241"/>
    <w:rsid w:val="00ED6CC1"/>
    <w:rsid w:val="00ED6D49"/>
    <w:rsid w:val="00ED7CA1"/>
    <w:rsid w:val="00ED7D63"/>
    <w:rsid w:val="00EE28B9"/>
    <w:rsid w:val="00EE2BD3"/>
    <w:rsid w:val="00EE356C"/>
    <w:rsid w:val="00EE3F07"/>
    <w:rsid w:val="00EE5010"/>
    <w:rsid w:val="00EE68BA"/>
    <w:rsid w:val="00EE6FCB"/>
    <w:rsid w:val="00EE7EFC"/>
    <w:rsid w:val="00EF07B7"/>
    <w:rsid w:val="00EF0D02"/>
    <w:rsid w:val="00EF1938"/>
    <w:rsid w:val="00EF1CC0"/>
    <w:rsid w:val="00EF256D"/>
    <w:rsid w:val="00EF3C90"/>
    <w:rsid w:val="00EF43DF"/>
    <w:rsid w:val="00EF4FC5"/>
    <w:rsid w:val="00EF6CCA"/>
    <w:rsid w:val="00F01465"/>
    <w:rsid w:val="00F01DAF"/>
    <w:rsid w:val="00F01EE8"/>
    <w:rsid w:val="00F03789"/>
    <w:rsid w:val="00F04BA1"/>
    <w:rsid w:val="00F10924"/>
    <w:rsid w:val="00F112F2"/>
    <w:rsid w:val="00F1142A"/>
    <w:rsid w:val="00F11753"/>
    <w:rsid w:val="00F11CCE"/>
    <w:rsid w:val="00F11F82"/>
    <w:rsid w:val="00F1205D"/>
    <w:rsid w:val="00F1228C"/>
    <w:rsid w:val="00F12483"/>
    <w:rsid w:val="00F126D8"/>
    <w:rsid w:val="00F16359"/>
    <w:rsid w:val="00F17418"/>
    <w:rsid w:val="00F20206"/>
    <w:rsid w:val="00F2035F"/>
    <w:rsid w:val="00F2063C"/>
    <w:rsid w:val="00F22C98"/>
    <w:rsid w:val="00F22CA4"/>
    <w:rsid w:val="00F23F46"/>
    <w:rsid w:val="00F24E2B"/>
    <w:rsid w:val="00F25153"/>
    <w:rsid w:val="00F27041"/>
    <w:rsid w:val="00F30AEF"/>
    <w:rsid w:val="00F3105B"/>
    <w:rsid w:val="00F342FF"/>
    <w:rsid w:val="00F35FAA"/>
    <w:rsid w:val="00F3749F"/>
    <w:rsid w:val="00F37766"/>
    <w:rsid w:val="00F37C1E"/>
    <w:rsid w:val="00F41044"/>
    <w:rsid w:val="00F41289"/>
    <w:rsid w:val="00F42733"/>
    <w:rsid w:val="00F42EDA"/>
    <w:rsid w:val="00F439B1"/>
    <w:rsid w:val="00F43C5C"/>
    <w:rsid w:val="00F44702"/>
    <w:rsid w:val="00F4494C"/>
    <w:rsid w:val="00F44EC8"/>
    <w:rsid w:val="00F44F87"/>
    <w:rsid w:val="00F473DB"/>
    <w:rsid w:val="00F51ACD"/>
    <w:rsid w:val="00F520DD"/>
    <w:rsid w:val="00F52436"/>
    <w:rsid w:val="00F524E4"/>
    <w:rsid w:val="00F52C92"/>
    <w:rsid w:val="00F53728"/>
    <w:rsid w:val="00F537D5"/>
    <w:rsid w:val="00F53EA5"/>
    <w:rsid w:val="00F54573"/>
    <w:rsid w:val="00F54C54"/>
    <w:rsid w:val="00F55A85"/>
    <w:rsid w:val="00F56DCC"/>
    <w:rsid w:val="00F57FC6"/>
    <w:rsid w:val="00F605F4"/>
    <w:rsid w:val="00F61579"/>
    <w:rsid w:val="00F6390D"/>
    <w:rsid w:val="00F64C7F"/>
    <w:rsid w:val="00F659C2"/>
    <w:rsid w:val="00F662F4"/>
    <w:rsid w:val="00F66380"/>
    <w:rsid w:val="00F66673"/>
    <w:rsid w:val="00F67312"/>
    <w:rsid w:val="00F67606"/>
    <w:rsid w:val="00F7467A"/>
    <w:rsid w:val="00F7676D"/>
    <w:rsid w:val="00F807A1"/>
    <w:rsid w:val="00F80826"/>
    <w:rsid w:val="00F80ADB"/>
    <w:rsid w:val="00F815D6"/>
    <w:rsid w:val="00F82411"/>
    <w:rsid w:val="00F838A1"/>
    <w:rsid w:val="00F83C72"/>
    <w:rsid w:val="00F84409"/>
    <w:rsid w:val="00F84AA6"/>
    <w:rsid w:val="00F86140"/>
    <w:rsid w:val="00F86A43"/>
    <w:rsid w:val="00F86ADB"/>
    <w:rsid w:val="00F86C33"/>
    <w:rsid w:val="00F9093F"/>
    <w:rsid w:val="00F90F53"/>
    <w:rsid w:val="00F911DF"/>
    <w:rsid w:val="00F91B1D"/>
    <w:rsid w:val="00F9310C"/>
    <w:rsid w:val="00F9314E"/>
    <w:rsid w:val="00F94F74"/>
    <w:rsid w:val="00F96EA5"/>
    <w:rsid w:val="00F97805"/>
    <w:rsid w:val="00FA115A"/>
    <w:rsid w:val="00FA1F93"/>
    <w:rsid w:val="00FA26C8"/>
    <w:rsid w:val="00FA3420"/>
    <w:rsid w:val="00FA3F9A"/>
    <w:rsid w:val="00FA724D"/>
    <w:rsid w:val="00FA7C67"/>
    <w:rsid w:val="00FB081D"/>
    <w:rsid w:val="00FB11CF"/>
    <w:rsid w:val="00FB147F"/>
    <w:rsid w:val="00FB1743"/>
    <w:rsid w:val="00FB3709"/>
    <w:rsid w:val="00FB3A36"/>
    <w:rsid w:val="00FB5342"/>
    <w:rsid w:val="00FB5DD7"/>
    <w:rsid w:val="00FB60B6"/>
    <w:rsid w:val="00FC11D8"/>
    <w:rsid w:val="00FC1E81"/>
    <w:rsid w:val="00FC2D92"/>
    <w:rsid w:val="00FC39D6"/>
    <w:rsid w:val="00FC3CDF"/>
    <w:rsid w:val="00FC40BB"/>
    <w:rsid w:val="00FC46CE"/>
    <w:rsid w:val="00FC58E4"/>
    <w:rsid w:val="00FC5A0A"/>
    <w:rsid w:val="00FC6482"/>
    <w:rsid w:val="00FD04E3"/>
    <w:rsid w:val="00FD1D1C"/>
    <w:rsid w:val="00FD354F"/>
    <w:rsid w:val="00FD7B9F"/>
    <w:rsid w:val="00FE0280"/>
    <w:rsid w:val="00FE05EA"/>
    <w:rsid w:val="00FE1657"/>
    <w:rsid w:val="00FE168F"/>
    <w:rsid w:val="00FE1BA8"/>
    <w:rsid w:val="00FE3583"/>
    <w:rsid w:val="00FE426A"/>
    <w:rsid w:val="00FE55BF"/>
    <w:rsid w:val="00FE717F"/>
    <w:rsid w:val="00FE78AB"/>
    <w:rsid w:val="00FE7A68"/>
    <w:rsid w:val="00FE7D2B"/>
    <w:rsid w:val="00FE7DAE"/>
    <w:rsid w:val="00FF0205"/>
    <w:rsid w:val="00FF03D8"/>
    <w:rsid w:val="00FF07FA"/>
    <w:rsid w:val="00FF189A"/>
    <w:rsid w:val="00FF18DA"/>
    <w:rsid w:val="00FF27CB"/>
    <w:rsid w:val="00FF313E"/>
    <w:rsid w:val="00FF327E"/>
    <w:rsid w:val="00FF5B8A"/>
    <w:rsid w:val="00FF612A"/>
    <w:rsid w:val="00FF612F"/>
    <w:rsid w:val="00FF6C2A"/>
    <w:rsid w:val="00FF7B1D"/>
    <w:rsid w:val="01264965"/>
    <w:rsid w:val="022A121A"/>
    <w:rsid w:val="02634D8F"/>
    <w:rsid w:val="029934F2"/>
    <w:rsid w:val="03B66519"/>
    <w:rsid w:val="040A159A"/>
    <w:rsid w:val="047D1717"/>
    <w:rsid w:val="055409BC"/>
    <w:rsid w:val="068576E2"/>
    <w:rsid w:val="07127832"/>
    <w:rsid w:val="079D6FB5"/>
    <w:rsid w:val="07E31B13"/>
    <w:rsid w:val="08BC63F6"/>
    <w:rsid w:val="08F10AE9"/>
    <w:rsid w:val="0C2A4C54"/>
    <w:rsid w:val="0CC95CA7"/>
    <w:rsid w:val="0EEF3570"/>
    <w:rsid w:val="0F557C03"/>
    <w:rsid w:val="10242AF2"/>
    <w:rsid w:val="10464D2A"/>
    <w:rsid w:val="104E320C"/>
    <w:rsid w:val="110E794C"/>
    <w:rsid w:val="111E1491"/>
    <w:rsid w:val="1AC54F92"/>
    <w:rsid w:val="1DCB19EE"/>
    <w:rsid w:val="1F151324"/>
    <w:rsid w:val="22F02875"/>
    <w:rsid w:val="23E74DEC"/>
    <w:rsid w:val="251B6B06"/>
    <w:rsid w:val="27A12394"/>
    <w:rsid w:val="28283E54"/>
    <w:rsid w:val="28EB0C2F"/>
    <w:rsid w:val="292F2F01"/>
    <w:rsid w:val="29AE1117"/>
    <w:rsid w:val="29D07FD5"/>
    <w:rsid w:val="2A871BF6"/>
    <w:rsid w:val="2A904112"/>
    <w:rsid w:val="2CC43FCD"/>
    <w:rsid w:val="2F2AA970"/>
    <w:rsid w:val="318B743C"/>
    <w:rsid w:val="318C075E"/>
    <w:rsid w:val="323674D1"/>
    <w:rsid w:val="32C2182A"/>
    <w:rsid w:val="32DFA89A"/>
    <w:rsid w:val="35CE7E74"/>
    <w:rsid w:val="383149FC"/>
    <w:rsid w:val="38647007"/>
    <w:rsid w:val="3C777001"/>
    <w:rsid w:val="3D8E7E9D"/>
    <w:rsid w:val="3DFFE947"/>
    <w:rsid w:val="3EF3B3F7"/>
    <w:rsid w:val="3FB7D950"/>
    <w:rsid w:val="3FFA6A71"/>
    <w:rsid w:val="403350A1"/>
    <w:rsid w:val="42C35B8E"/>
    <w:rsid w:val="43CB7A41"/>
    <w:rsid w:val="44493341"/>
    <w:rsid w:val="464E0BC8"/>
    <w:rsid w:val="479F2E37"/>
    <w:rsid w:val="492D2733"/>
    <w:rsid w:val="49AA7D43"/>
    <w:rsid w:val="4A5A35B7"/>
    <w:rsid w:val="4D8C41DF"/>
    <w:rsid w:val="4DAD287B"/>
    <w:rsid w:val="4DC7046D"/>
    <w:rsid w:val="501646E0"/>
    <w:rsid w:val="50525BA5"/>
    <w:rsid w:val="51F50ABA"/>
    <w:rsid w:val="54D672B2"/>
    <w:rsid w:val="56167A56"/>
    <w:rsid w:val="5F7F44CE"/>
    <w:rsid w:val="600F5927"/>
    <w:rsid w:val="605746E8"/>
    <w:rsid w:val="622C4D96"/>
    <w:rsid w:val="62A5655E"/>
    <w:rsid w:val="64F53470"/>
    <w:rsid w:val="67EE16D2"/>
    <w:rsid w:val="6A10301F"/>
    <w:rsid w:val="6C70033D"/>
    <w:rsid w:val="6CEF7ED7"/>
    <w:rsid w:val="6E2A615E"/>
    <w:rsid w:val="6E96CE7C"/>
    <w:rsid w:val="6EBFB713"/>
    <w:rsid w:val="6FDF7FBF"/>
    <w:rsid w:val="6FFDB589"/>
    <w:rsid w:val="726A559D"/>
    <w:rsid w:val="7426517B"/>
    <w:rsid w:val="74B272D6"/>
    <w:rsid w:val="750F4FC6"/>
    <w:rsid w:val="75452DDB"/>
    <w:rsid w:val="75BFDA13"/>
    <w:rsid w:val="75DE0A21"/>
    <w:rsid w:val="76362C45"/>
    <w:rsid w:val="77E431E4"/>
    <w:rsid w:val="78843CFA"/>
    <w:rsid w:val="79665641"/>
    <w:rsid w:val="796F3479"/>
    <w:rsid w:val="7BA7455B"/>
    <w:rsid w:val="7BF8D5D2"/>
    <w:rsid w:val="7D7D1C1F"/>
    <w:rsid w:val="7DDD08E9"/>
    <w:rsid w:val="7DE3E682"/>
    <w:rsid w:val="7E687723"/>
    <w:rsid w:val="7ED55650"/>
    <w:rsid w:val="7FD131B4"/>
    <w:rsid w:val="7FFFDA17"/>
    <w:rsid w:val="8D9FB45E"/>
    <w:rsid w:val="9BEF93AA"/>
    <w:rsid w:val="BB7D8BBB"/>
    <w:rsid w:val="C3EFF97E"/>
    <w:rsid w:val="D7F123CE"/>
    <w:rsid w:val="DDCB4C03"/>
    <w:rsid w:val="E5BD8319"/>
    <w:rsid w:val="EF629C9C"/>
    <w:rsid w:val="F7DFCF6C"/>
    <w:rsid w:val="F7E760CF"/>
    <w:rsid w:val="FAF2B073"/>
    <w:rsid w:val="FBD3FBE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99" w:semiHidden="0" w:name="annotation text"/>
    <w:lsdException w:unhideWhenUsed="0" w:uiPriority="0" w:semiHidden="0" w:name="header"/>
    <w:lsdException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name=""/>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link w:val="42"/>
    <w:qFormat/>
    <w:uiPriority w:val="0"/>
    <w:pPr>
      <w:keepNext/>
      <w:keepLines/>
      <w:numPr>
        <w:ilvl w:val="0"/>
        <w:numId w:val="1"/>
      </w:numPr>
      <w:spacing w:before="340" w:after="330" w:line="578" w:lineRule="auto"/>
      <w:outlineLvl w:val="0"/>
    </w:pPr>
    <w:rPr>
      <w:b/>
      <w:bCs/>
      <w:kern w:val="44"/>
      <w:sz w:val="28"/>
      <w:szCs w:val="44"/>
    </w:rPr>
  </w:style>
  <w:style w:type="paragraph" w:styleId="3">
    <w:name w:val="heading 2"/>
    <w:basedOn w:val="1"/>
    <w:next w:val="1"/>
    <w:link w:val="43"/>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44"/>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link w:val="45"/>
    <w:qFormat/>
    <w:uiPriority w:val="0"/>
    <w:pPr>
      <w:keepNext/>
      <w:keepLines/>
      <w:tabs>
        <w:tab w:val="left" w:pos="2160"/>
      </w:tabs>
      <w:adjustRightInd w:val="0"/>
      <w:spacing w:before="240" w:after="64" w:line="320" w:lineRule="atLeast"/>
      <w:textAlignment w:val="baseline"/>
      <w:outlineLvl w:val="5"/>
    </w:pPr>
    <w:rPr>
      <w:rFonts w:ascii="Arial" w:hAnsi="Arial" w:eastAsia="黑体"/>
      <w:b/>
      <w:bCs/>
      <w:kern w:val="0"/>
      <w:sz w:val="24"/>
    </w:rPr>
  </w:style>
  <w:style w:type="paragraph" w:styleId="8">
    <w:name w:val="heading 7"/>
    <w:basedOn w:val="1"/>
    <w:next w:val="1"/>
    <w:link w:val="46"/>
    <w:qFormat/>
    <w:uiPriority w:val="0"/>
    <w:pPr>
      <w:keepNext/>
      <w:keepLines/>
      <w:tabs>
        <w:tab w:val="left" w:pos="1296"/>
      </w:tabs>
      <w:adjustRightInd w:val="0"/>
      <w:spacing w:before="240" w:after="64" w:line="320" w:lineRule="atLeast"/>
      <w:ind w:left="1296" w:hanging="1296"/>
      <w:textAlignment w:val="baseline"/>
      <w:outlineLvl w:val="6"/>
    </w:pPr>
    <w:rPr>
      <w:b/>
      <w:bCs/>
      <w:kern w:val="0"/>
      <w:sz w:val="24"/>
    </w:rPr>
  </w:style>
  <w:style w:type="paragraph" w:styleId="9">
    <w:name w:val="heading 8"/>
    <w:basedOn w:val="1"/>
    <w:next w:val="1"/>
    <w:link w:val="47"/>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kern w:val="0"/>
      <w:sz w:val="24"/>
    </w:rPr>
  </w:style>
  <w:style w:type="paragraph" w:styleId="10">
    <w:name w:val="heading 9"/>
    <w:basedOn w:val="1"/>
    <w:next w:val="1"/>
    <w:link w:val="48"/>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kern w:val="0"/>
      <w:szCs w:val="21"/>
    </w:rPr>
  </w:style>
  <w:style w:type="character" w:default="1" w:styleId="36">
    <w:name w:val="Default Paragraph Font"/>
    <w:semiHidden/>
    <w:uiPriority w:val="0"/>
  </w:style>
  <w:style w:type="table" w:default="1" w:styleId="34">
    <w:name w:val="Normal Table"/>
    <w:semiHidden/>
    <w:uiPriority w:val="0"/>
    <w:tblPr>
      <w:tblStyle w:val="34"/>
      <w:tblCellMar>
        <w:top w:w="0" w:type="dxa"/>
        <w:left w:w="108" w:type="dxa"/>
        <w:bottom w:w="0" w:type="dxa"/>
        <w:right w:w="108" w:type="dxa"/>
      </w:tblCellMar>
    </w:tblPr>
  </w:style>
  <w:style w:type="paragraph" w:styleId="11">
    <w:name w:val="toc 7"/>
    <w:basedOn w:val="1"/>
    <w:next w:val="1"/>
    <w:uiPriority w:val="0"/>
    <w:pPr>
      <w:ind w:left="1260"/>
      <w:jc w:val="left"/>
    </w:pPr>
    <w:rPr>
      <w:sz w:val="18"/>
      <w:szCs w:val="18"/>
    </w:rPr>
  </w:style>
  <w:style w:type="paragraph" w:styleId="12">
    <w:name w:val="Normal Indent"/>
    <w:basedOn w:val="1"/>
    <w:link w:val="49"/>
    <w:unhideWhenUsed/>
    <w:qFormat/>
    <w:uiPriority w:val="0"/>
    <w:pPr>
      <w:spacing w:line="480" w:lineRule="exact"/>
      <w:ind w:firstLine="420" w:firstLineChars="200"/>
    </w:pPr>
    <w:rPr>
      <w:sz w:val="24"/>
      <w:szCs w:val="20"/>
    </w:rPr>
  </w:style>
  <w:style w:type="paragraph" w:styleId="13">
    <w:name w:val="caption"/>
    <w:basedOn w:val="1"/>
    <w:next w:val="1"/>
    <w:link w:val="50"/>
    <w:qFormat/>
    <w:uiPriority w:val="35"/>
    <w:rPr>
      <w:rFonts w:ascii="Arial" w:hAnsi="Arial" w:eastAsia="黑体"/>
      <w:sz w:val="20"/>
      <w:szCs w:val="20"/>
    </w:rPr>
  </w:style>
  <w:style w:type="paragraph" w:styleId="14">
    <w:name w:val="Document Map"/>
    <w:basedOn w:val="1"/>
    <w:uiPriority w:val="0"/>
    <w:pPr>
      <w:shd w:val="clear" w:color="auto" w:fill="000080"/>
    </w:pPr>
  </w:style>
  <w:style w:type="paragraph" w:styleId="15">
    <w:name w:val="annotation text"/>
    <w:basedOn w:val="1"/>
    <w:link w:val="51"/>
    <w:uiPriority w:val="99"/>
    <w:pPr>
      <w:jc w:val="left"/>
    </w:pPr>
  </w:style>
  <w:style w:type="paragraph" w:styleId="16">
    <w:name w:val="Body Text"/>
    <w:basedOn w:val="1"/>
    <w:link w:val="52"/>
    <w:uiPriority w:val="0"/>
    <w:pPr>
      <w:spacing w:after="120"/>
    </w:pPr>
  </w:style>
  <w:style w:type="paragraph" w:styleId="17">
    <w:name w:val="Body Text Indent"/>
    <w:basedOn w:val="1"/>
    <w:link w:val="53"/>
    <w:uiPriority w:val="0"/>
    <w:pPr>
      <w:ind w:left="1080"/>
    </w:pPr>
    <w:rPr>
      <w:rFonts w:ascii="楷体_GB2312" w:eastAsia="楷体_GB2312"/>
      <w:b/>
      <w:kern w:val="15"/>
      <w:sz w:val="30"/>
      <w:szCs w:val="20"/>
    </w:rPr>
  </w:style>
  <w:style w:type="paragraph" w:styleId="18">
    <w:name w:val="toc 5"/>
    <w:basedOn w:val="1"/>
    <w:next w:val="1"/>
    <w:uiPriority w:val="0"/>
    <w:pPr>
      <w:ind w:left="840"/>
      <w:jc w:val="left"/>
    </w:pPr>
    <w:rPr>
      <w:sz w:val="18"/>
      <w:szCs w:val="18"/>
    </w:rPr>
  </w:style>
  <w:style w:type="paragraph" w:styleId="19">
    <w:name w:val="toc 3"/>
    <w:basedOn w:val="1"/>
    <w:next w:val="1"/>
    <w:uiPriority w:val="0"/>
    <w:pPr>
      <w:ind w:left="420"/>
      <w:jc w:val="left"/>
    </w:pPr>
    <w:rPr>
      <w:i/>
      <w:iCs/>
      <w:sz w:val="20"/>
      <w:szCs w:val="20"/>
    </w:rPr>
  </w:style>
  <w:style w:type="paragraph" w:styleId="20">
    <w:name w:val="toc 8"/>
    <w:basedOn w:val="1"/>
    <w:next w:val="1"/>
    <w:uiPriority w:val="0"/>
    <w:pPr>
      <w:ind w:left="1470"/>
      <w:jc w:val="left"/>
    </w:pPr>
    <w:rPr>
      <w:sz w:val="18"/>
      <w:szCs w:val="18"/>
    </w:rPr>
  </w:style>
  <w:style w:type="paragraph" w:styleId="21">
    <w:name w:val="Date"/>
    <w:basedOn w:val="1"/>
    <w:next w:val="1"/>
    <w:link w:val="54"/>
    <w:uiPriority w:val="0"/>
    <w:pPr>
      <w:adjustRightInd w:val="0"/>
      <w:spacing w:line="312" w:lineRule="atLeast"/>
      <w:textAlignment w:val="baseline"/>
    </w:pPr>
    <w:rPr>
      <w:rFonts w:ascii="宋体"/>
      <w:kern w:val="0"/>
      <w:sz w:val="28"/>
      <w:szCs w:val="20"/>
    </w:rPr>
  </w:style>
  <w:style w:type="paragraph" w:styleId="22">
    <w:name w:val="Body Text Indent 2"/>
    <w:basedOn w:val="1"/>
    <w:link w:val="55"/>
    <w:uiPriority w:val="0"/>
    <w:pPr>
      <w:adjustRightInd w:val="0"/>
      <w:spacing w:line="480" w:lineRule="atLeast"/>
      <w:ind w:firstLine="600"/>
      <w:textAlignment w:val="baseline"/>
    </w:pPr>
    <w:rPr>
      <w:kern w:val="0"/>
      <w:sz w:val="28"/>
      <w:szCs w:val="20"/>
    </w:rPr>
  </w:style>
  <w:style w:type="paragraph" w:styleId="23">
    <w:name w:val="Balloon Text"/>
    <w:basedOn w:val="1"/>
    <w:uiPriority w:val="0"/>
    <w:rPr>
      <w:sz w:val="18"/>
      <w:szCs w:val="18"/>
    </w:rPr>
  </w:style>
  <w:style w:type="paragraph" w:styleId="24">
    <w:name w:val="footer"/>
    <w:basedOn w:val="1"/>
    <w:link w:val="56"/>
    <w:unhideWhenUsed/>
    <w:uiPriority w:val="99"/>
    <w:pPr>
      <w:tabs>
        <w:tab w:val="center" w:pos="4153"/>
        <w:tab w:val="right" w:pos="8306"/>
      </w:tabs>
      <w:snapToGrid w:val="0"/>
      <w:jc w:val="left"/>
    </w:pPr>
    <w:rPr>
      <w:sz w:val="18"/>
      <w:szCs w:val="18"/>
    </w:rPr>
  </w:style>
  <w:style w:type="paragraph" w:styleId="25">
    <w:name w:val="header"/>
    <w:basedOn w:val="1"/>
    <w:link w:val="57"/>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unhideWhenUsed/>
    <w:qFormat/>
    <w:uiPriority w:val="39"/>
    <w:pPr>
      <w:spacing w:line="360" w:lineRule="auto"/>
      <w:jc w:val="left"/>
      <w:outlineLvl w:val="0"/>
    </w:pPr>
    <w:rPr>
      <w:b/>
      <w:bCs/>
      <w:caps/>
      <w:sz w:val="30"/>
      <w:szCs w:val="30"/>
    </w:rPr>
  </w:style>
  <w:style w:type="paragraph" w:styleId="27">
    <w:name w:val="toc 4"/>
    <w:basedOn w:val="1"/>
    <w:next w:val="1"/>
    <w:uiPriority w:val="0"/>
    <w:pPr>
      <w:ind w:left="630"/>
      <w:jc w:val="left"/>
    </w:pPr>
    <w:rPr>
      <w:sz w:val="18"/>
      <w:szCs w:val="18"/>
    </w:rPr>
  </w:style>
  <w:style w:type="paragraph" w:styleId="28">
    <w:name w:val="toc 6"/>
    <w:basedOn w:val="1"/>
    <w:next w:val="1"/>
    <w:uiPriority w:val="0"/>
    <w:pPr>
      <w:ind w:left="1050"/>
      <w:jc w:val="left"/>
    </w:pPr>
    <w:rPr>
      <w:sz w:val="18"/>
      <w:szCs w:val="18"/>
    </w:rPr>
  </w:style>
  <w:style w:type="paragraph" w:styleId="29">
    <w:name w:val="Body Text Indent 3"/>
    <w:basedOn w:val="1"/>
    <w:link w:val="58"/>
    <w:uiPriority w:val="0"/>
    <w:pPr>
      <w:spacing w:line="360" w:lineRule="auto"/>
      <w:ind w:firstLine="480"/>
    </w:pPr>
    <w:rPr>
      <w:sz w:val="24"/>
    </w:rPr>
  </w:style>
  <w:style w:type="paragraph" w:styleId="30">
    <w:name w:val="toc 2"/>
    <w:basedOn w:val="1"/>
    <w:next w:val="1"/>
    <w:unhideWhenUsed/>
    <w:qFormat/>
    <w:uiPriority w:val="39"/>
    <w:pPr>
      <w:tabs>
        <w:tab w:val="right" w:leader="dot" w:pos="9289"/>
      </w:tabs>
      <w:snapToGrid w:val="0"/>
      <w:spacing w:line="480" w:lineRule="atLeast"/>
      <w:ind w:left="434"/>
      <w:jc w:val="left"/>
    </w:pPr>
    <w:rPr>
      <w:rFonts w:eastAsia="宋体"/>
      <w:b/>
      <w:smallCaps/>
      <w:sz w:val="24"/>
      <w:lang/>
    </w:rPr>
  </w:style>
  <w:style w:type="paragraph" w:styleId="31">
    <w:name w:val="toc 9"/>
    <w:basedOn w:val="1"/>
    <w:next w:val="1"/>
    <w:uiPriority w:val="0"/>
    <w:pPr>
      <w:ind w:left="1680"/>
      <w:jc w:val="left"/>
    </w:pPr>
    <w:rPr>
      <w:sz w:val="18"/>
      <w:szCs w:val="18"/>
    </w:rPr>
  </w:style>
  <w:style w:type="paragraph" w:styleId="32">
    <w:name w:val="annotation subject"/>
    <w:basedOn w:val="15"/>
    <w:next w:val="15"/>
    <w:uiPriority w:val="0"/>
    <w:rPr>
      <w:b/>
      <w:bCs/>
    </w:rPr>
  </w:style>
  <w:style w:type="paragraph" w:styleId="33">
    <w:name w:val="Body Text First Indent"/>
    <w:basedOn w:val="16"/>
    <w:link w:val="59"/>
    <w:unhideWhenUsed/>
    <w:uiPriority w:val="99"/>
    <w:pPr>
      <w:ind w:firstLine="420" w:firstLineChars="100"/>
    </w:pPr>
  </w:style>
  <w:style w:type="table" w:styleId="35">
    <w:name w:val="Table Grid"/>
    <w:basedOn w:val="34"/>
    <w:uiPriority w:val="59"/>
    <w:pPr>
      <w:widowControl w:val="0"/>
      <w:jc w:val="both"/>
    </w:pPr>
    <w:tblPr>
      <w:tblStyle w:val="34"/>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rFonts w:eastAsia="黑体"/>
      <w:sz w:val="32"/>
    </w:rPr>
  </w:style>
  <w:style w:type="character" w:styleId="38">
    <w:name w:val="page number"/>
    <w:basedOn w:val="36"/>
    <w:uiPriority w:val="0"/>
  </w:style>
  <w:style w:type="character" w:styleId="39">
    <w:name w:val="FollowedHyperlink"/>
    <w:uiPriority w:val="0"/>
    <w:rPr>
      <w:color w:val="800080"/>
      <w:u w:val="single"/>
    </w:rPr>
  </w:style>
  <w:style w:type="character" w:styleId="40">
    <w:name w:val="Hyperlink"/>
    <w:unhideWhenUsed/>
    <w:uiPriority w:val="99"/>
    <w:rPr>
      <w:color w:val="0000FF"/>
      <w:u w:val="single"/>
    </w:rPr>
  </w:style>
  <w:style w:type="character" w:styleId="41">
    <w:name w:val="annotation reference"/>
    <w:uiPriority w:val="99"/>
    <w:rPr>
      <w:sz w:val="21"/>
      <w:szCs w:val="21"/>
    </w:rPr>
  </w:style>
  <w:style w:type="character" w:customStyle="1" w:styleId="42">
    <w:name w:val="Heading 1 Char"/>
    <w:link w:val="2"/>
    <w:uiPriority w:val="0"/>
    <w:rPr>
      <w:b/>
      <w:bCs/>
      <w:kern w:val="44"/>
      <w:sz w:val="28"/>
      <w:szCs w:val="44"/>
    </w:rPr>
  </w:style>
  <w:style w:type="character" w:customStyle="1" w:styleId="43">
    <w:name w:val="Heading 2 Char"/>
    <w:link w:val="3"/>
    <w:uiPriority w:val="0"/>
    <w:rPr>
      <w:rFonts w:ascii="Cambria" w:hAnsi="Cambria"/>
      <w:b/>
      <w:bCs/>
      <w:kern w:val="2"/>
      <w:sz w:val="32"/>
      <w:szCs w:val="32"/>
    </w:rPr>
  </w:style>
  <w:style w:type="character" w:customStyle="1" w:styleId="44">
    <w:name w:val="Heading 3 Char"/>
    <w:link w:val="4"/>
    <w:uiPriority w:val="0"/>
    <w:rPr>
      <w:b/>
      <w:bCs/>
      <w:kern w:val="2"/>
      <w:sz w:val="32"/>
      <w:szCs w:val="32"/>
    </w:rPr>
  </w:style>
  <w:style w:type="character" w:customStyle="1" w:styleId="45">
    <w:name w:val="Heading 6 Char"/>
    <w:link w:val="7"/>
    <w:uiPriority w:val="0"/>
    <w:rPr>
      <w:rFonts w:ascii="Arial" w:hAnsi="Arial" w:eastAsia="黑体"/>
      <w:b/>
      <w:bCs/>
      <w:sz w:val="24"/>
      <w:szCs w:val="24"/>
    </w:rPr>
  </w:style>
  <w:style w:type="character" w:customStyle="1" w:styleId="46">
    <w:name w:val="Heading 7 Char"/>
    <w:link w:val="8"/>
    <w:uiPriority w:val="0"/>
    <w:rPr>
      <w:b/>
      <w:bCs/>
      <w:sz w:val="24"/>
      <w:szCs w:val="24"/>
    </w:rPr>
  </w:style>
  <w:style w:type="character" w:customStyle="1" w:styleId="47">
    <w:name w:val="Heading 8 Char"/>
    <w:link w:val="9"/>
    <w:uiPriority w:val="0"/>
    <w:rPr>
      <w:rFonts w:ascii="Arial" w:hAnsi="Arial" w:eastAsia="黑体"/>
      <w:sz w:val="24"/>
      <w:szCs w:val="24"/>
    </w:rPr>
  </w:style>
  <w:style w:type="character" w:customStyle="1" w:styleId="48">
    <w:name w:val="Heading 9 Char"/>
    <w:link w:val="10"/>
    <w:uiPriority w:val="0"/>
    <w:rPr>
      <w:rFonts w:ascii="Arial" w:hAnsi="Arial" w:eastAsia="黑体"/>
      <w:sz w:val="21"/>
      <w:szCs w:val="21"/>
    </w:rPr>
  </w:style>
  <w:style w:type="character" w:customStyle="1" w:styleId="49">
    <w:name w:val="Normal Indent Char"/>
    <w:link w:val="12"/>
    <w:uiPriority w:val="0"/>
    <w:rPr>
      <w:rFonts w:eastAsia="宋体"/>
      <w:kern w:val="2"/>
      <w:sz w:val="24"/>
      <w:lang w:val="en-US" w:eastAsia="zh-CN" w:bidi="ar-SA"/>
    </w:rPr>
  </w:style>
  <w:style w:type="character" w:customStyle="1" w:styleId="50">
    <w:name w:val="Caption Char"/>
    <w:link w:val="13"/>
    <w:uiPriority w:val="35"/>
    <w:rPr>
      <w:rFonts w:ascii="Arial" w:hAnsi="Arial" w:eastAsia="黑体" w:cs="Arial"/>
      <w:kern w:val="2"/>
    </w:rPr>
  </w:style>
  <w:style w:type="character" w:customStyle="1" w:styleId="51">
    <w:name w:val="Comment Text Char"/>
    <w:link w:val="15"/>
    <w:uiPriority w:val="99"/>
    <w:rPr>
      <w:kern w:val="2"/>
      <w:sz w:val="21"/>
      <w:szCs w:val="24"/>
    </w:rPr>
  </w:style>
  <w:style w:type="character" w:customStyle="1" w:styleId="52">
    <w:name w:val="Body Text Char"/>
    <w:link w:val="16"/>
    <w:uiPriority w:val="0"/>
    <w:rPr>
      <w:kern w:val="2"/>
      <w:sz w:val="21"/>
      <w:szCs w:val="24"/>
    </w:rPr>
  </w:style>
  <w:style w:type="character" w:customStyle="1" w:styleId="53">
    <w:name w:val="Body Text Indent Char"/>
    <w:link w:val="17"/>
    <w:uiPriority w:val="0"/>
    <w:rPr>
      <w:rFonts w:ascii="楷体_GB2312" w:eastAsia="楷体_GB2312"/>
      <w:b/>
      <w:kern w:val="15"/>
      <w:sz w:val="30"/>
    </w:rPr>
  </w:style>
  <w:style w:type="character" w:customStyle="1" w:styleId="54">
    <w:name w:val="Date Char"/>
    <w:link w:val="21"/>
    <w:uiPriority w:val="0"/>
    <w:rPr>
      <w:rFonts w:ascii="宋体"/>
      <w:sz w:val="28"/>
    </w:rPr>
  </w:style>
  <w:style w:type="character" w:customStyle="1" w:styleId="55">
    <w:name w:val="Body Text Indent 2 Char"/>
    <w:link w:val="22"/>
    <w:uiPriority w:val="0"/>
    <w:rPr>
      <w:sz w:val="28"/>
    </w:rPr>
  </w:style>
  <w:style w:type="character" w:customStyle="1" w:styleId="56">
    <w:name w:val="Footer Char"/>
    <w:link w:val="24"/>
    <w:uiPriority w:val="99"/>
    <w:rPr>
      <w:rFonts w:eastAsia="宋体"/>
      <w:kern w:val="2"/>
      <w:sz w:val="18"/>
      <w:szCs w:val="18"/>
      <w:lang w:val="en-US" w:eastAsia="zh-CN" w:bidi="ar-SA"/>
    </w:rPr>
  </w:style>
  <w:style w:type="character" w:customStyle="1" w:styleId="57">
    <w:name w:val="Header Char"/>
    <w:link w:val="25"/>
    <w:uiPriority w:val="0"/>
    <w:rPr>
      <w:kern w:val="2"/>
      <w:sz w:val="18"/>
      <w:szCs w:val="18"/>
    </w:rPr>
  </w:style>
  <w:style w:type="character" w:customStyle="1" w:styleId="58">
    <w:name w:val="Body Text Indent 3 Char"/>
    <w:link w:val="29"/>
    <w:uiPriority w:val="0"/>
    <w:rPr>
      <w:kern w:val="2"/>
      <w:sz w:val="24"/>
      <w:szCs w:val="24"/>
    </w:rPr>
  </w:style>
  <w:style w:type="character" w:customStyle="1" w:styleId="59">
    <w:name w:val="Body Text First Indent Char"/>
    <w:basedOn w:val="52"/>
    <w:link w:val="33"/>
    <w:uiPriority w:val="99"/>
  </w:style>
  <w:style w:type="character" w:customStyle="1" w:styleId="60">
    <w:name w:val="正文(编号) Char Char"/>
    <w:link w:val="61"/>
    <w:uiPriority w:val="0"/>
    <w:rPr>
      <w:kern w:val="2"/>
      <w:sz w:val="21"/>
      <w:szCs w:val="22"/>
    </w:rPr>
  </w:style>
  <w:style w:type="paragraph" w:customStyle="1" w:styleId="61">
    <w:name w:val="正文(编号)"/>
    <w:basedOn w:val="1"/>
    <w:link w:val="60"/>
    <w:uiPriority w:val="0"/>
    <w:pPr>
      <w:widowControl/>
      <w:numPr>
        <w:ilvl w:val="0"/>
        <w:numId w:val="2"/>
      </w:numPr>
      <w:tabs>
        <w:tab w:val="left" w:pos="420"/>
      </w:tabs>
      <w:jc w:val="left"/>
      <w:outlineLvl w:val="5"/>
    </w:pPr>
    <w:rPr>
      <w:szCs w:val="22"/>
    </w:rPr>
  </w:style>
  <w:style w:type="character" w:customStyle="1" w:styleId="62">
    <w:name w:val="段 Char"/>
    <w:link w:val="63"/>
    <w:uiPriority w:val="0"/>
    <w:rPr>
      <w:rFonts w:ascii="宋体"/>
      <w:sz w:val="21"/>
      <w:lang w:val="en-US" w:eastAsia="zh-CN" w:bidi="ar-SA"/>
    </w:rPr>
  </w:style>
  <w:style w:type="paragraph" w:customStyle="1" w:styleId="63">
    <w:name w:val="段"/>
    <w:link w:val="62"/>
    <w:uiPriority w:val="0"/>
    <w:pPr>
      <w:autoSpaceDE w:val="0"/>
      <w:autoSpaceDN w:val="0"/>
      <w:ind w:firstLine="420" w:firstLineChars="200"/>
      <w:jc w:val="both"/>
    </w:pPr>
    <w:rPr>
      <w:rFonts w:ascii="宋体"/>
      <w:sz w:val="21"/>
      <w:lang w:val="en-US" w:eastAsia="zh-CN" w:bidi="ar-SA"/>
    </w:rPr>
  </w:style>
  <w:style w:type="character" w:customStyle="1" w:styleId="64">
    <w:name w:val="编号正文项目 Char"/>
    <w:link w:val="65"/>
    <w:uiPriority w:val="0"/>
    <w:rPr>
      <w:rFonts w:ascii="宋体" w:hAnsi="宋体" w:eastAsia="黑体"/>
      <w:sz w:val="24"/>
      <w:szCs w:val="24"/>
    </w:rPr>
  </w:style>
  <w:style w:type="paragraph" w:customStyle="1" w:styleId="65">
    <w:name w:val="编号正文项目"/>
    <w:link w:val="64"/>
    <w:qFormat/>
    <w:uiPriority w:val="0"/>
    <w:pPr>
      <w:spacing w:line="360" w:lineRule="auto"/>
      <w:ind w:firstLine="482"/>
    </w:pPr>
    <w:rPr>
      <w:rFonts w:ascii="宋体" w:hAnsi="宋体" w:eastAsia="黑体"/>
      <w:sz w:val="24"/>
      <w:szCs w:val="24"/>
      <w:lang w:val="en-US" w:eastAsia="zh-CN" w:bidi="ar-SA"/>
    </w:rPr>
  </w:style>
  <w:style w:type="character" w:customStyle="1" w:styleId="66">
    <w:name w:val="List Paragraph Char"/>
    <w:link w:val="67"/>
    <w:uiPriority w:val="34"/>
    <w:rPr>
      <w:kern w:val="2"/>
      <w:sz w:val="21"/>
      <w:szCs w:val="24"/>
    </w:rPr>
  </w:style>
  <w:style w:type="paragraph" w:styleId="67">
    <w:name w:val="List Paragraph"/>
    <w:basedOn w:val="1"/>
    <w:link w:val="66"/>
    <w:qFormat/>
    <w:uiPriority w:val="34"/>
    <w:pPr>
      <w:ind w:firstLine="420" w:firstLineChars="200"/>
    </w:pPr>
  </w:style>
  <w:style w:type="character" w:customStyle="1" w:styleId="68">
    <w:name w:val="正文缩进 Char2"/>
    <w:aliases w:val="表正文 Char,正文非缩进 Char1,特点 Char1,段1 Char,正文不缩进 Char1,标题4 Char,四号 Char,ALT+Z Char,正文不缩进 Char Char,正文缩进 Char Char1,正文（首行缩进两字） Char Char,正文缩进1 Char,正文（首行缩进两字） Char1,特点 Char Char,水上软件 Char,缩进 Char,正文非缩进 Char Char Char,正文非缩进 Char Char1,PI Char,bt Cha"/>
    <w:locked/>
    <w:uiPriority w:val="0"/>
    <w:rPr>
      <w:rFonts w:ascii="Times New Roman" w:hAnsi="Times New Roman" w:eastAsia="宋体" w:cs="Times New Roman"/>
      <w:kern w:val="0"/>
      <w:sz w:val="20"/>
      <w:szCs w:val="20"/>
    </w:rPr>
  </w:style>
  <w:style w:type="character" w:customStyle="1" w:styleId="69">
    <w:name w:val="彩色列表 - 强调文字颜色 1 Char"/>
    <w:link w:val="70"/>
    <w:uiPriority w:val="34"/>
    <w:rPr>
      <w:kern w:val="2"/>
      <w:sz w:val="21"/>
      <w:szCs w:val="24"/>
    </w:rPr>
  </w:style>
  <w:style w:type="paragraph" w:customStyle="1" w:styleId="70">
    <w:name w:val="彩色列表 - 强调文字颜色 11"/>
    <w:basedOn w:val="1"/>
    <w:link w:val="69"/>
    <w:qFormat/>
    <w:uiPriority w:val="34"/>
    <w:pPr>
      <w:widowControl/>
      <w:spacing w:line="360" w:lineRule="auto"/>
      <w:ind w:left="482" w:firstLine="420" w:firstLineChars="200"/>
      <w:jc w:val="left"/>
    </w:pPr>
  </w:style>
  <w:style w:type="character" w:customStyle="1" w:styleId="71">
    <w:name w:val="2级标题 Char"/>
    <w:link w:val="72"/>
    <w:uiPriority w:val="0"/>
    <w:rPr>
      <w:b/>
      <w:kern w:val="2"/>
      <w:sz w:val="28"/>
      <w:szCs w:val="24"/>
    </w:rPr>
  </w:style>
  <w:style w:type="paragraph" w:customStyle="1" w:styleId="72">
    <w:name w:val="2级标题"/>
    <w:basedOn w:val="1"/>
    <w:link w:val="71"/>
    <w:qFormat/>
    <w:uiPriority w:val="0"/>
    <w:pPr>
      <w:widowControl/>
      <w:tabs>
        <w:tab w:val="left" w:pos="624"/>
      </w:tabs>
      <w:spacing w:beforeLines="50" w:line="360" w:lineRule="auto"/>
      <w:jc w:val="left"/>
      <w:outlineLvl w:val="1"/>
    </w:pPr>
    <w:rPr>
      <w:b/>
      <w:sz w:val="28"/>
    </w:rPr>
  </w:style>
  <w:style w:type="paragraph" w:styleId="73">
    <w:name w:val=""/>
    <w:basedOn w:val="2"/>
    <w:next w:val="1"/>
    <w:qFormat/>
    <w:uiPriority w:val="0"/>
    <w:pPr>
      <w:widowControl/>
      <w:spacing w:before="480" w:after="0" w:line="276" w:lineRule="auto"/>
      <w:jc w:val="left"/>
      <w:outlineLvl w:val="9"/>
    </w:pPr>
    <w:rPr>
      <w:rFonts w:ascii="Cambria" w:hAnsi="Cambria"/>
      <w:color w:val="365F91"/>
      <w:kern w:val="0"/>
      <w:szCs w:val="28"/>
      <w:lang w:eastAsia="en-US"/>
    </w:rPr>
  </w:style>
  <w:style w:type="paragraph" w:customStyle="1" w:styleId="74">
    <w:name w:val="CM10"/>
    <w:basedOn w:val="75"/>
    <w:next w:val="75"/>
    <w:uiPriority w:val="0"/>
    <w:rPr>
      <w:color w:val="auto"/>
    </w:rPr>
  </w:style>
  <w:style w:type="paragraph" w:customStyle="1" w:styleId="75">
    <w:name w:val="Default"/>
    <w:uiPriority w:val="0"/>
    <w:pPr>
      <w:widowControl w:val="0"/>
      <w:autoSpaceDE w:val="0"/>
      <w:autoSpaceDN w:val="0"/>
      <w:adjustRightInd w:val="0"/>
    </w:pPr>
    <w:rPr>
      <w:rFonts w:ascii="Arial" w:hAnsi="Arial" w:cs="Arial"/>
      <w:color w:val="000000"/>
      <w:sz w:val="24"/>
      <w:szCs w:val="24"/>
      <w:lang w:val="en-US" w:eastAsia="zh-CN" w:bidi="ar-SA"/>
    </w:rPr>
  </w:style>
  <w:style w:type="paragraph" w:customStyle="1" w:styleId="76">
    <w:name w:val="列出段落1"/>
    <w:basedOn w:val="1"/>
    <w:qFormat/>
    <w:uiPriority w:val="34"/>
    <w:pPr>
      <w:ind w:firstLine="420" w:firstLineChars="200"/>
    </w:pPr>
    <w:rPr>
      <w:rFonts w:ascii="Calibri" w:hAnsi="Calibri" w:cs="Calibri"/>
      <w:szCs w:val="21"/>
    </w:rPr>
  </w:style>
  <w:style w:type="paragraph" w:customStyle="1" w:styleId="77">
    <w:name w:val=" Char Char Char1 Char Char Char Char"/>
    <w:basedOn w:val="1"/>
    <w:uiPriority w:val="0"/>
    <w:pPr>
      <w:topLinePunct/>
    </w:pPr>
  </w:style>
  <w:style w:type="paragraph" w:customStyle="1" w:styleId="78">
    <w:name w:val="发布日期"/>
    <w:uiPriority w:val="0"/>
    <w:rPr>
      <w:rFonts w:eastAsia="黑体"/>
      <w:sz w:val="28"/>
      <w:lang w:val="en-US" w:eastAsia="zh-CN" w:bidi="ar-SA"/>
    </w:rPr>
  </w:style>
  <w:style w:type="paragraph" w:customStyle="1" w:styleId="79">
    <w:name w:val="标准书眉一"/>
    <w:uiPriority w:val="0"/>
    <w:pPr>
      <w:jc w:val="both"/>
    </w:pPr>
    <w:rPr>
      <w:lang w:val="en-US" w:eastAsia="zh-CN" w:bidi="ar-SA"/>
    </w:rPr>
  </w:style>
  <w:style w:type="paragraph" w:customStyle="1" w:styleId="80">
    <w:name w:val="标题 小一号"/>
    <w:basedOn w:val="1"/>
    <w:next w:val="33"/>
    <w:qFormat/>
    <w:uiPriority w:val="9"/>
    <w:pPr>
      <w:spacing w:after="120"/>
      <w:jc w:val="center"/>
    </w:pPr>
    <w:rPr>
      <w:rFonts w:ascii="黑体" w:hAnsi="Calibri" w:eastAsia="黑体"/>
      <w:sz w:val="48"/>
      <w:szCs w:val="21"/>
    </w:rPr>
  </w:style>
  <w:style w:type="paragraph" w:customStyle="1" w:styleId="81">
    <w:name w:val="一级条标题"/>
    <w:next w:val="63"/>
    <w:uiPriority w:val="0"/>
    <w:pPr>
      <w:numPr>
        <w:ilvl w:val="2"/>
        <w:numId w:val="3"/>
      </w:numPr>
      <w:tabs>
        <w:tab w:val="left" w:pos="1575"/>
      </w:tabs>
      <w:outlineLvl w:val="2"/>
    </w:pPr>
    <w:rPr>
      <w:rFonts w:eastAsia="黑体"/>
      <w:sz w:val="21"/>
      <w:lang w:val="en-US" w:eastAsia="zh-CN" w:bidi="ar-SA"/>
    </w:rPr>
  </w:style>
  <w:style w:type="paragraph" w:customStyle="1" w:styleId="82">
    <w:name w:val="Char Char Char Char Char Char Char"/>
    <w:basedOn w:val="1"/>
    <w:uiPriority w:val="0"/>
    <w:pPr>
      <w:spacing w:line="360" w:lineRule="auto"/>
    </w:pPr>
    <w:rPr>
      <w:rFonts w:ascii="Tahoma" w:hAnsi="Tahoma"/>
      <w:sz w:val="24"/>
      <w:szCs w:val="20"/>
    </w:rPr>
  </w:style>
  <w:style w:type="paragraph" w:customStyle="1" w:styleId="83">
    <w:name w:val="工程建设节标题"/>
    <w:basedOn w:val="84"/>
    <w:next w:val="63"/>
    <w:uiPriority w:val="0"/>
    <w:pPr>
      <w:numPr>
        <w:ilvl w:val="2"/>
        <w:numId w:val="4"/>
      </w:numPr>
      <w:tabs>
        <w:tab w:val="left" w:pos="742"/>
      </w:tabs>
      <w:spacing w:before="400" w:after="400" w:line="240" w:lineRule="auto"/>
      <w:outlineLvl w:val="2"/>
    </w:pPr>
    <w:rPr>
      <w:sz w:val="21"/>
    </w:rPr>
  </w:style>
  <w:style w:type="paragraph" w:customStyle="1" w:styleId="84">
    <w:name w:val="工程建设章标题"/>
    <w:next w:val="63"/>
    <w:uiPriority w:val="0"/>
    <w:pPr>
      <w:numPr>
        <w:ilvl w:val="1"/>
        <w:numId w:val="4"/>
      </w:numPr>
      <w:spacing w:before="640" w:after="560" w:line="480" w:lineRule="exact"/>
      <w:jc w:val="center"/>
      <w:outlineLvl w:val="1"/>
    </w:pPr>
    <w:rPr>
      <w:rFonts w:ascii="黑体" w:eastAsia="黑体"/>
      <w:b/>
      <w:sz w:val="28"/>
      <w:lang w:val="en-US" w:eastAsia="zh-CN" w:bidi="ar-SA"/>
    </w:rPr>
  </w:style>
  <w:style w:type="paragraph" w:customStyle="1" w:styleId="85">
    <w:name w:val="标准称谓"/>
    <w:next w:val="1"/>
    <w:uiPriority w:val="0"/>
    <w:pPr>
      <w:widowControl w:val="0"/>
      <w:kinsoku w:val="0"/>
      <w:overflowPunct w:val="0"/>
      <w:autoSpaceDE w:val="0"/>
      <w:autoSpaceDN w:val="0"/>
      <w:spacing w:line="0" w:lineRule="atLeast"/>
      <w:jc w:val="distribute"/>
    </w:pPr>
    <w:rPr>
      <w:rFonts w:ascii="宋体"/>
      <w:b/>
      <w:bCs/>
      <w:spacing w:val="20"/>
      <w:w w:val="148"/>
      <w:sz w:val="52"/>
      <w:lang w:val="en-US" w:eastAsia="zh-CN" w:bidi="ar-SA"/>
    </w:rPr>
  </w:style>
  <w:style w:type="paragraph" w:customStyle="1" w:styleId="86">
    <w:name w:val="括号正文"/>
    <w:basedOn w:val="1"/>
    <w:uiPriority w:val="0"/>
    <w:pPr>
      <w:numPr>
        <w:ilvl w:val="0"/>
        <w:numId w:val="5"/>
      </w:numPr>
      <w:tabs>
        <w:tab w:val="left" w:pos="840"/>
      </w:tabs>
    </w:pPr>
    <w:rPr>
      <w:kern w:val="0"/>
      <w:szCs w:val="21"/>
    </w:rPr>
  </w:style>
  <w:style w:type="paragraph" w:customStyle="1" w:styleId="87">
    <w:name w:val="二级条标题"/>
    <w:basedOn w:val="81"/>
    <w:next w:val="63"/>
    <w:uiPriority w:val="0"/>
    <w:pPr>
      <w:numPr>
        <w:ilvl w:val="3"/>
        <w:numId w:val="3"/>
      </w:numPr>
      <w:tabs>
        <w:tab w:val="left" w:pos="1995"/>
        <w:tab w:val="clear" w:pos="1575"/>
      </w:tabs>
      <w:outlineLvl w:val="3"/>
    </w:pPr>
  </w:style>
  <w:style w:type="paragraph" w:customStyle="1" w:styleId="88">
    <w:name w:val="CM17"/>
    <w:basedOn w:val="75"/>
    <w:next w:val="75"/>
    <w:uiPriority w:val="0"/>
    <w:rPr>
      <w:color w:val="auto"/>
    </w:rPr>
  </w:style>
  <w:style w:type="paragraph" w:styleId="89">
    <w:name w:val=""/>
    <w:semiHidden/>
    <w:uiPriority w:val="99"/>
    <w:rPr>
      <w:kern w:val="2"/>
      <w:sz w:val="21"/>
      <w:szCs w:val="24"/>
      <w:lang w:val="en-US" w:eastAsia="zh-CN" w:bidi="ar-SA"/>
    </w:rPr>
  </w:style>
  <w:style w:type="paragraph" w:customStyle="1" w:styleId="90">
    <w:name w:val="_Style 34"/>
    <w:next w:val="1"/>
    <w:uiPriority w:val="0"/>
    <w:pPr>
      <w:widowControl w:val="0"/>
      <w:jc w:val="both"/>
    </w:pPr>
    <w:rPr>
      <w:kern w:val="2"/>
      <w:sz w:val="21"/>
      <w:szCs w:val="24"/>
      <w:lang w:val="en-US" w:eastAsia="zh-CN" w:bidi="ar-SA"/>
    </w:rPr>
  </w:style>
  <w:style w:type="paragraph" w:customStyle="1" w:styleId="91">
    <w:name w:val="工程建设公式标题"/>
    <w:basedOn w:val="92"/>
    <w:uiPriority w:val="0"/>
    <w:pPr>
      <w:numPr>
        <w:ilvl w:val="6"/>
        <w:numId w:val="4"/>
      </w:numPr>
      <w:tabs>
        <w:tab w:val="left" w:pos="284"/>
        <w:tab w:val="left" w:pos="742"/>
        <w:tab w:val="left" w:pos="1162"/>
        <w:tab w:val="left" w:pos="1680"/>
      </w:tabs>
      <w:jc w:val="center"/>
      <w:outlineLvl w:val="6"/>
    </w:pPr>
  </w:style>
  <w:style w:type="paragraph" w:customStyle="1" w:styleId="92">
    <w:name w:val="工程建设条标题"/>
    <w:basedOn w:val="83"/>
    <w:next w:val="63"/>
    <w:uiPriority w:val="0"/>
    <w:pPr>
      <w:numPr>
        <w:ilvl w:val="3"/>
        <w:numId w:val="6"/>
      </w:numPr>
      <w:tabs>
        <w:tab w:val="left" w:pos="284"/>
      </w:tabs>
      <w:spacing w:before="0" w:after="0" w:line="360" w:lineRule="auto"/>
      <w:jc w:val="left"/>
      <w:outlineLvl w:val="3"/>
    </w:pPr>
    <w:rPr>
      <w:b w:val="0"/>
    </w:rPr>
  </w:style>
  <w:style w:type="paragraph" w:customStyle="1" w:styleId="93">
    <w:name w:val="封面正文"/>
    <w:uiPriority w:val="0"/>
    <w:pPr>
      <w:jc w:val="both"/>
    </w:pPr>
    <w:rPr>
      <w:lang w:val="en-US" w:eastAsia="zh-CN" w:bidi="ar-SA"/>
    </w:rPr>
  </w:style>
  <w:style w:type="paragraph" w:customStyle="1" w:styleId="94">
    <w:name w:val="封面标准号1"/>
    <w:uiPriority w:val="0"/>
    <w:pPr>
      <w:widowControl w:val="0"/>
      <w:kinsoku w:val="0"/>
      <w:overflowPunct w:val="0"/>
      <w:autoSpaceDE w:val="0"/>
      <w:autoSpaceDN w:val="0"/>
      <w:spacing w:before="308"/>
      <w:jc w:val="right"/>
      <w:textAlignment w:val="center"/>
    </w:pPr>
    <w:rPr>
      <w:sz w:val="28"/>
      <w:lang w:val="en-US" w:eastAsia="zh-CN" w:bidi="ar-SA"/>
    </w:rPr>
  </w:style>
  <w:style w:type="paragraph" w:customStyle="1" w:styleId="95">
    <w:name w:val="工程建设图标题"/>
    <w:basedOn w:val="92"/>
    <w:uiPriority w:val="0"/>
    <w:pPr>
      <w:numPr>
        <w:ilvl w:val="5"/>
        <w:numId w:val="4"/>
      </w:numPr>
      <w:jc w:val="center"/>
      <w:outlineLvl w:val="5"/>
    </w:pPr>
  </w:style>
  <w:style w:type="paragraph" w:customStyle="1" w:styleId="96">
    <w:name w:val="样式 (中文) 黑体 二号 行距: 1.5 倍行距"/>
    <w:basedOn w:val="1"/>
    <w:uiPriority w:val="0"/>
    <w:pPr>
      <w:spacing w:line="360" w:lineRule="auto"/>
    </w:pPr>
    <w:rPr>
      <w:sz w:val="44"/>
      <w:szCs w:val="20"/>
    </w:rPr>
  </w:style>
  <w:style w:type="paragraph" w:customStyle="1" w:styleId="97">
    <w:name w:val="Char Char Char Char Char Char"/>
    <w:basedOn w:val="1"/>
    <w:uiPriority w:val="0"/>
    <w:pPr>
      <w:spacing w:line="360" w:lineRule="auto"/>
    </w:pPr>
    <w:rPr>
      <w:rFonts w:ascii="Tahoma" w:hAnsi="Tahoma"/>
      <w:sz w:val="24"/>
      <w:szCs w:val="20"/>
    </w:rPr>
  </w:style>
  <w:style w:type="paragraph" w:customStyle="1" w:styleId="98">
    <w:name w:val="工程建设表标题"/>
    <w:basedOn w:val="92"/>
    <w:uiPriority w:val="0"/>
    <w:pPr>
      <w:numPr>
        <w:ilvl w:val="4"/>
        <w:numId w:val="4"/>
      </w:numPr>
      <w:jc w:val="center"/>
      <w:outlineLvl w:val="4"/>
    </w:pPr>
  </w:style>
  <w:style w:type="paragraph" w:customStyle="1" w:styleId="99">
    <w:name w:val="标准书脚_奇数页"/>
    <w:uiPriority w:val="0"/>
    <w:pPr>
      <w:spacing w:before="120"/>
      <w:jc w:val="right"/>
    </w:pPr>
    <w:rPr>
      <w:sz w:val="18"/>
      <w:lang w:val="en-US" w:eastAsia="zh-CN" w:bidi="ar-SA"/>
    </w:rPr>
  </w:style>
  <w:style w:type="paragraph" w:customStyle="1" w:styleId="100">
    <w:name w:val="前言、引言标题"/>
    <w:next w:val="1"/>
    <w:uiPriority w:val="0"/>
    <w:pPr>
      <w:numPr>
        <w:ilvl w:val="0"/>
        <w:numId w:val="3"/>
      </w:numPr>
      <w:shd w:val="clear" w:color="FFFFFF" w:fill="FFFFFF"/>
      <w:tabs>
        <w:tab w:val="left" w:pos="840"/>
      </w:tabs>
      <w:spacing w:before="640" w:after="560"/>
      <w:jc w:val="center"/>
      <w:outlineLvl w:val="0"/>
    </w:pPr>
    <w:rPr>
      <w:rFonts w:ascii="黑体" w:eastAsia="黑体"/>
      <w:sz w:val="32"/>
      <w:lang w:val="en-US" w:eastAsia="zh-CN" w:bidi="ar-SA"/>
    </w:rPr>
  </w:style>
  <w:style w:type="paragraph" w:customStyle="1" w:styleId="101">
    <w:name w:val="CM11"/>
    <w:basedOn w:val="75"/>
    <w:next w:val="75"/>
    <w:uiPriority w:val="0"/>
    <w:rPr>
      <w:color w:val="auto"/>
    </w:rPr>
  </w:style>
  <w:style w:type="paragraph" w:customStyle="1" w:styleId="102">
    <w:name w:val="文献分类号"/>
    <w:uiPriority w:val="0"/>
    <w:pPr>
      <w:widowControl w:val="0"/>
      <w:textAlignment w:val="center"/>
    </w:pPr>
    <w:rPr>
      <w:rFonts w:eastAsia="黑体"/>
      <w:sz w:val="21"/>
      <w:lang w:val="en-US" w:eastAsia="zh-CN" w:bidi="ar-SA"/>
    </w:rPr>
  </w:style>
  <w:style w:type="paragraph" w:customStyle="1" w:styleId="103">
    <w:name w:val="Char Char Char Char Char Char Char Char Char Char"/>
    <w:basedOn w:val="1"/>
    <w:uiPriority w:val="0"/>
    <w:pPr>
      <w:spacing w:line="360" w:lineRule="auto"/>
    </w:pPr>
    <w:rPr>
      <w:rFonts w:ascii="Tahoma" w:hAnsi="Tahoma"/>
      <w:sz w:val="24"/>
      <w:szCs w:val="20"/>
    </w:rPr>
  </w:style>
  <w:style w:type="paragraph" w:customStyle="1" w:styleId="104">
    <w:name w:val="四级条标题"/>
    <w:basedOn w:val="105"/>
    <w:next w:val="63"/>
    <w:uiPriority w:val="0"/>
    <w:pPr>
      <w:numPr>
        <w:ilvl w:val="5"/>
        <w:numId w:val="3"/>
      </w:numPr>
      <w:tabs>
        <w:tab w:val="left" w:pos="1260"/>
        <w:tab w:val="left" w:pos="1680"/>
        <w:tab w:val="left" w:pos="2100"/>
        <w:tab w:val="left" w:pos="2835"/>
      </w:tabs>
      <w:outlineLvl w:val="5"/>
    </w:pPr>
  </w:style>
  <w:style w:type="paragraph" w:customStyle="1" w:styleId="105">
    <w:name w:val="三级条标题"/>
    <w:basedOn w:val="87"/>
    <w:next w:val="63"/>
    <w:uiPriority w:val="0"/>
    <w:pPr>
      <w:numPr>
        <w:ilvl w:val="4"/>
        <w:numId w:val="3"/>
      </w:numPr>
      <w:tabs>
        <w:tab w:val="left" w:pos="2415"/>
        <w:tab w:val="clear" w:pos="1995"/>
      </w:tabs>
      <w:outlineLvl w:val="4"/>
    </w:pPr>
  </w:style>
  <w:style w:type="paragraph" w:customStyle="1" w:styleId="106">
    <w:name w:val="正文(编号)小项"/>
    <w:basedOn w:val="1"/>
    <w:uiPriority w:val="0"/>
    <w:pPr>
      <w:widowControl/>
      <w:numPr>
        <w:ilvl w:val="0"/>
        <w:numId w:val="7"/>
      </w:numPr>
      <w:jc w:val="left"/>
      <w:outlineLvl w:val="6"/>
    </w:pPr>
    <w:rPr>
      <w:szCs w:val="22"/>
    </w:rPr>
  </w:style>
  <w:style w:type="paragraph" w:customStyle="1" w:styleId="107">
    <w:name w:val="其他发布部门"/>
    <w:basedOn w:val="1"/>
    <w:uiPriority w:val="0"/>
    <w:pPr>
      <w:widowControl/>
      <w:spacing w:line="0" w:lineRule="atLeast"/>
      <w:jc w:val="center"/>
    </w:pPr>
    <w:rPr>
      <w:rFonts w:ascii="黑体" w:eastAsia="黑体"/>
      <w:spacing w:val="20"/>
      <w:w w:val="135"/>
      <w:kern w:val="0"/>
      <w:sz w:val="36"/>
      <w:szCs w:val="20"/>
    </w:rPr>
  </w:style>
  <w:style w:type="paragraph" w:customStyle="1" w:styleId="108">
    <w:name w:val=" Char"/>
    <w:basedOn w:val="1"/>
    <w:uiPriority w:val="0"/>
    <w:pPr>
      <w:numPr>
        <w:ilvl w:val="0"/>
        <w:numId w:val="8"/>
      </w:numPr>
      <w:spacing w:line="360" w:lineRule="auto"/>
      <w:ind w:left="0" w:firstLine="0"/>
    </w:pPr>
    <w:rPr>
      <w:rFonts w:ascii="Tahoma" w:hAnsi="Tahoma"/>
      <w:sz w:val="24"/>
      <w:szCs w:val="20"/>
    </w:rPr>
  </w:style>
  <w:style w:type="paragraph" w:customStyle="1" w:styleId="109">
    <w:name w:val="五级条标题"/>
    <w:basedOn w:val="1"/>
    <w:uiPriority w:val="0"/>
  </w:style>
  <w:style w:type="paragraph" w:customStyle="1" w:styleId="110">
    <w:name w:val="默认段落字体 Para Char"/>
    <w:basedOn w:val="1"/>
    <w:uiPriority w:val="0"/>
    <w:pPr>
      <w:spacing w:line="360" w:lineRule="auto"/>
    </w:pPr>
    <w:rPr>
      <w:rFonts w:ascii="Tahoma" w:hAnsi="Tahoma"/>
      <w:sz w:val="24"/>
      <w:szCs w:val="20"/>
    </w:rPr>
  </w:style>
  <w:style w:type="paragraph" w:customStyle="1" w:styleId="111">
    <w:name w:val="标准书眉_奇数页"/>
    <w:next w:val="1"/>
    <w:uiPriority w:val="0"/>
    <w:pPr>
      <w:tabs>
        <w:tab w:val="center" w:pos="4154"/>
        <w:tab w:val="right" w:pos="8306"/>
      </w:tabs>
      <w:spacing w:after="120"/>
      <w:jc w:val="right"/>
    </w:pPr>
    <w:rPr>
      <w:sz w:val="21"/>
      <w:lang w:val="en-US" w:eastAsia="zh-CN" w:bidi="ar-SA"/>
    </w:rPr>
  </w:style>
  <w:style w:type="paragraph" w:customStyle="1" w:styleId="112">
    <w:name w:val="标准书眉_偶数页"/>
    <w:basedOn w:val="111"/>
    <w:next w:val="1"/>
    <w:uiPriority w:val="0"/>
    <w:pPr>
      <w:jc w:val="left"/>
    </w:pPr>
  </w:style>
  <w:style w:type="paragraph" w:customStyle="1" w:styleId="113">
    <w:name w:val="实施日期"/>
    <w:basedOn w:val="78"/>
    <w:uiPriority w:val="0"/>
    <w:pPr>
      <w:jc w:val="right"/>
    </w:pPr>
  </w:style>
  <w:style w:type="paragraph" w:customStyle="1" w:styleId="114">
    <w:name w:val="标准标志"/>
    <w:next w:val="1"/>
    <w:uiPriority w:val="0"/>
    <w:pPr>
      <w:shd w:val="solid" w:color="FFFFFF" w:fill="FFFFFF"/>
      <w:spacing w:line="0" w:lineRule="atLeast"/>
      <w:jc w:val="right"/>
    </w:pPr>
    <w:rPr>
      <w:b/>
      <w:w w:val="130"/>
      <w:sz w:val="96"/>
      <w:lang w:val="en-US" w:eastAsia="zh-CN" w:bidi="ar-SA"/>
    </w:rPr>
  </w:style>
  <w:style w:type="paragraph" w:customStyle="1" w:styleId="115">
    <w:name w:val="Char"/>
    <w:basedOn w:val="1"/>
    <w:uiPriority w:val="0"/>
    <w:pPr>
      <w:spacing w:line="360" w:lineRule="auto"/>
    </w:pPr>
    <w:rPr>
      <w:rFonts w:ascii="Tahoma" w:hAnsi="Tahoma"/>
      <w:sz w:val="24"/>
      <w:szCs w:val="20"/>
    </w:rPr>
  </w:style>
  <w:style w:type="paragraph" w:customStyle="1" w:styleId="116">
    <w:name w:val="封面标准文稿编辑信息"/>
    <w:uiPriority w:val="0"/>
    <w:pPr>
      <w:spacing w:before="180" w:line="180" w:lineRule="exact"/>
      <w:jc w:val="center"/>
    </w:pPr>
    <w:rPr>
      <w:rFonts w:ascii="宋体"/>
      <w:sz w:val="21"/>
      <w:lang w:val="en-US" w:eastAsia="zh-CN" w:bidi="ar-SA"/>
    </w:rPr>
  </w:style>
  <w:style w:type="paragraph" w:customStyle="1" w:styleId="117">
    <w:name w:val="表格文字"/>
    <w:basedOn w:val="1"/>
    <w:uiPriority w:val="0"/>
    <w:pPr>
      <w:widowControl/>
      <w:tabs>
        <w:tab w:val="left" w:pos="480"/>
      </w:tabs>
      <w:autoSpaceDE w:val="0"/>
      <w:autoSpaceDN w:val="0"/>
      <w:adjustRightInd w:val="0"/>
      <w:spacing w:before="156" w:beforeLines="50"/>
    </w:pPr>
    <w:rPr>
      <w:rFonts w:eastAsia="楷体_GB2312"/>
      <w:kern w:val="0"/>
      <w:sz w:val="24"/>
      <w:szCs w:val="20"/>
    </w:rPr>
  </w:style>
  <w:style w:type="paragraph" w:customStyle="1" w:styleId="118">
    <w:name w:val="工程建设无节条标题"/>
    <w:basedOn w:val="1"/>
    <w:next w:val="63"/>
    <w:uiPriority w:val="0"/>
    <w:pPr>
      <w:numPr>
        <w:ilvl w:val="8"/>
        <w:numId w:val="4"/>
      </w:numPr>
      <w:tabs>
        <w:tab w:val="left" w:pos="720"/>
      </w:tabs>
      <w:outlineLvl w:val="3"/>
    </w:pPr>
  </w:style>
  <w:style w:type="paragraph" w:customStyle="1" w:styleId="119">
    <w:name w:val="封面标准名称"/>
    <w:uiPriority w:val="0"/>
    <w:pPr>
      <w:widowControl w:val="0"/>
      <w:spacing w:line="680" w:lineRule="exact"/>
      <w:jc w:val="center"/>
      <w:textAlignment w:val="center"/>
    </w:pPr>
    <w:rPr>
      <w:rFonts w:ascii="黑体" w:eastAsia="黑体"/>
      <w:sz w:val="52"/>
      <w:lang w:val="en-US" w:eastAsia="zh-CN" w:bidi="ar-SA"/>
    </w:rPr>
  </w:style>
  <w:style w:type="paragraph" w:customStyle="1" w:styleId="120">
    <w:name w:val="默认段落字体 Para Char Char Char Char"/>
    <w:basedOn w:val="1"/>
    <w:uiPriority w:val="0"/>
  </w:style>
  <w:style w:type="paragraph" w:customStyle="1" w:styleId="121">
    <w:name w:val="附录表标题"/>
    <w:basedOn w:val="1"/>
    <w:next w:val="1"/>
    <w:uiPriority w:val="0"/>
    <w:pPr>
      <w:widowControl/>
      <w:numPr>
        <w:ilvl w:val="0"/>
        <w:numId w:val="9"/>
      </w:numPr>
      <w:tabs>
        <w:tab w:val="left" w:pos="210"/>
        <w:tab w:val="left" w:pos="420"/>
      </w:tabs>
      <w:jc w:val="center"/>
      <w:textAlignment w:val="baseline"/>
    </w:pPr>
    <w:rPr>
      <w:rFonts w:ascii="宋体"/>
      <w:b/>
      <w:kern w:val="21"/>
      <w:szCs w:val="20"/>
    </w:rPr>
  </w:style>
  <w:style w:type="paragraph" w:customStyle="1" w:styleId="122">
    <w:name w:val="xl24"/>
    <w:basedOn w:val="1"/>
    <w:uiPriority w:val="0"/>
    <w:pPr>
      <w:widowControl/>
      <w:pBdr>
        <w:bottom w:val="single" w:color="auto" w:sz="4" w:space="0"/>
        <w:right w:val="single" w:color="auto" w:sz="4" w:space="0"/>
      </w:pBdr>
      <w:spacing w:before="100" w:beforeAutospacing="1" w:after="100" w:afterAutospacing="1"/>
    </w:pPr>
    <w:rPr>
      <w:rFonts w:eastAsia="Arial Unicode MS"/>
      <w:kern w:val="0"/>
      <w:szCs w:val="21"/>
    </w:rPr>
  </w:style>
  <w:style w:type="paragraph" w:customStyle="1" w:styleId="123">
    <w:name w:val="封面标准英文名称"/>
    <w:uiPriority w:val="0"/>
    <w:pPr>
      <w:widowControl w:val="0"/>
      <w:spacing w:before="370" w:line="400" w:lineRule="exact"/>
      <w:jc w:val="center"/>
    </w:pPr>
    <w:rPr>
      <w:sz w:val="28"/>
      <w:lang w:val="en-US" w:eastAsia="zh-CN" w:bidi="ar-SA"/>
    </w:rPr>
  </w:style>
  <w:style w:type="paragraph" w:customStyle="1" w:styleId="124">
    <w:name w:val="章标题"/>
    <w:next w:val="63"/>
    <w:uiPriority w:val="0"/>
    <w:pPr>
      <w:numPr>
        <w:ilvl w:val="1"/>
        <w:numId w:val="3"/>
      </w:numPr>
      <w:tabs>
        <w:tab w:val="left" w:pos="1155"/>
      </w:tabs>
      <w:spacing w:before="156" w:beforeLines="50" w:after="156" w:afterLines="50"/>
      <w:jc w:val="both"/>
      <w:outlineLvl w:val="1"/>
    </w:pPr>
    <w:rPr>
      <w:rFonts w:ascii="黑体" w:eastAsia="黑体"/>
      <w:sz w:val="21"/>
      <w:lang w:val="en-US" w:eastAsia="zh-CN" w:bidi="ar-SA"/>
    </w:rPr>
  </w:style>
  <w:style w:type="paragraph" w:customStyle="1" w:styleId="125">
    <w:name w:val="PARAGRAPH"/>
    <w:uiPriority w:val="0"/>
    <w:pPr>
      <w:tabs>
        <w:tab w:val="center" w:pos="4536"/>
        <w:tab w:val="right" w:pos="9072"/>
      </w:tabs>
      <w:spacing w:before="100" w:after="200"/>
      <w:jc w:val="both"/>
    </w:pPr>
    <w:rPr>
      <w:rFonts w:ascii="Arial" w:hAnsi="Arial"/>
      <w:spacing w:val="8"/>
      <w:lang w:val="en-US" w:eastAsia="en-US" w:bidi="ar-SA"/>
    </w:rPr>
  </w:style>
  <w:style w:type="paragraph" w:customStyle="1" w:styleId="126">
    <w:name w:val=" Char1"/>
    <w:basedOn w:val="1"/>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127">
    <w:name w:val="C"/>
    <w:basedOn w:val="1"/>
    <w:uiPriority w:val="0"/>
    <w:pPr>
      <w:tabs>
        <w:tab w:val="left" w:pos="5600"/>
      </w:tabs>
      <w:adjustRightInd w:val="0"/>
      <w:spacing w:line="480" w:lineRule="atLeast"/>
      <w:textAlignment w:val="baseline"/>
    </w:pPr>
    <w:rPr>
      <w:spacing w:val="4"/>
      <w:kern w:val="0"/>
      <w:sz w:val="28"/>
      <w:szCs w:val="20"/>
    </w:rPr>
  </w:style>
  <w:style w:type="paragraph" w:customStyle="1" w:styleId="128">
    <w:name w:val="目次、索引正文"/>
    <w:uiPriority w:val="0"/>
    <w:pPr>
      <w:spacing w:line="320" w:lineRule="exact"/>
      <w:jc w:val="both"/>
    </w:pPr>
    <w:rPr>
      <w:rFonts w:ascii="宋体"/>
      <w:sz w:val="21"/>
      <w:lang w:val="en-US" w:eastAsia="zh-CN" w:bidi="ar-SA"/>
    </w:rPr>
  </w:style>
  <w:style w:type="paragraph" w:customStyle="1" w:styleId="129">
    <w:name w:val="CM9"/>
    <w:basedOn w:val="75"/>
    <w:next w:val="75"/>
    <w:uiPriority w:val="0"/>
    <w:rPr>
      <w:color w:val="auto"/>
    </w:rPr>
  </w:style>
  <w:style w:type="paragraph" w:customStyle="1" w:styleId="130">
    <w:name w:val="工程建设款标题"/>
    <w:basedOn w:val="92"/>
    <w:uiPriority w:val="0"/>
    <w:pPr>
      <w:numPr>
        <w:ilvl w:val="7"/>
        <w:numId w:val="4"/>
      </w:numPr>
      <w:tabs>
        <w:tab w:val="left" w:pos="720"/>
        <w:tab w:val="clear" w:pos="284"/>
      </w:tabs>
      <w:outlineLvl w:val="9"/>
    </w:pPr>
  </w:style>
  <w:style w:type="paragraph" w:customStyle="1" w:styleId="131">
    <w:name w:val="标准书脚_偶数页"/>
    <w:uiPriority w:val="0"/>
    <w:pPr>
      <w:spacing w:before="120"/>
    </w:pPr>
    <w:rPr>
      <w:sz w:val="18"/>
      <w:lang w:val="en-US" w:eastAsia="zh-CN" w:bidi="ar-SA"/>
    </w:rPr>
  </w:style>
  <w:style w:type="paragraph" w:customStyle="1" w:styleId="132">
    <w:name w:val="封面一致性程度标识"/>
    <w:uiPriority w:val="0"/>
    <w:pPr>
      <w:spacing w:before="440" w:line="400" w:lineRule="exact"/>
      <w:jc w:val="center"/>
    </w:pPr>
    <w:rPr>
      <w:rFonts w:ascii="宋体"/>
      <w:sz w:val="28"/>
      <w:lang w:val="en-US" w:eastAsia="zh-CN" w:bidi="ar-SA"/>
    </w:rPr>
  </w:style>
  <w:style w:type="paragraph" w:customStyle="1" w:styleId="133">
    <w:name w:val="图注释"/>
    <w:basedOn w:val="1"/>
    <w:uiPriority w:val="0"/>
    <w:pPr>
      <w:jc w:val="center"/>
    </w:pPr>
    <w:rPr>
      <w:bCs/>
      <w:kern w:val="0"/>
      <w:sz w:val="18"/>
      <w:szCs w:val="21"/>
    </w:rPr>
  </w:style>
  <w:style w:type="paragraph" w:customStyle="1" w:styleId="134">
    <w:name w:val="首行缩进"/>
    <w:basedOn w:val="1"/>
    <w:qFormat/>
    <w:uiPriority w:val="0"/>
    <w:pPr>
      <w:spacing w:line="300" w:lineRule="auto"/>
      <w:ind w:firstLine="420" w:firstLineChars="200"/>
    </w:pPr>
    <w:rPr>
      <w:rFonts w:eastAsia="方正书宋简体"/>
    </w:rPr>
  </w:style>
  <w:style w:type="paragraph" w:customStyle="1" w:styleId="135">
    <w:name w:val="括号编号"/>
    <w:basedOn w:val="1"/>
    <w:qFormat/>
    <w:uiPriority w:val="0"/>
    <w:pPr>
      <w:numPr>
        <w:ilvl w:val="0"/>
        <w:numId w:val="10"/>
      </w:numPr>
      <w:adjustRightInd w:val="0"/>
      <w:snapToGrid w:val="0"/>
      <w:spacing w:line="360" w:lineRule="auto"/>
    </w:pPr>
    <w:rPr>
      <w:kern w:val="0"/>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gedi</Company>
  <Pages>14</Pages>
  <Words>8660</Words>
  <Characters>9059</Characters>
  <Lines>51</Lines>
  <Paragraphs>14</Paragraphs>
  <TotalTime>1</TotalTime>
  <ScaleCrop>false</ScaleCrop>
  <LinksUpToDate>false</LinksUpToDate>
  <CharactersWithSpaces>9068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2021-04-19T14:07:00Z</dcterms:created>
  <dc:creator>Administrator</dc:creator>
  <cp:lastModifiedBy>liuyx</cp:lastModifiedBy>
  <cp:lastPrinted>2018-07-11T06:44:00Z</cp:lastPrinted>
  <dcterms:modified xsi:type="dcterms:W3CDTF">2024-09-05T06:01:58Z</dcterms:modified>
  <dc:title>排版主要步骤</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B6EB8F196EC24252B70B7B934EDDEF0E</vt:lpwstr>
  </property>
</Properties>
</file>