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kinsoku/>
        <w:wordWrap/>
        <w:overflowPunct/>
        <w:topLinePunct w:val="0"/>
        <w:bidi w:val="0"/>
        <w:spacing w:line="360" w:lineRule="auto"/>
        <w:jc w:val="center"/>
        <w:rPr>
          <w:rFonts w:hint="eastAsia" w:ascii="隶书" w:eastAsia="隶书"/>
          <w:color w:val="auto"/>
          <w:sz w:val="56"/>
          <w:szCs w:val="56"/>
          <w:highlight w:val="none"/>
          <w:lang w:eastAsia="zh-CN"/>
        </w:rPr>
      </w:pPr>
      <w:bookmarkStart w:id="0" w:name="_Toc1572"/>
      <w:bookmarkStart w:id="1" w:name="_Toc6059"/>
      <w:r>
        <w:rPr>
          <w:sz w:val="44"/>
          <w:highlight w:val="none"/>
        </w:rPr>
        <w:pict>
          <v:shape id="_x0000_s1030" o:spid="_x0000_s1030" o:spt="75" type="#_x0000_t75" style="position:absolute;left:0pt;margin-left:-90pt;margin-top:-72pt;height:152.95pt;width:603pt;z-index:251659264;mso-width-relative:page;mso-height-relative:page;" o:ole="t" filled="f" o:preferrelative="t" stroked="f" coordsize="21600,21600">
            <v:path/>
            <v:fill on="f" focussize="0,0"/>
            <v:stroke on="f"/>
            <v:imagedata r:id="rId7" o:title=""/>
            <o:lock v:ext="edit" aspectratio="t"/>
          </v:shape>
          <o:OLEObject Type="Embed" ProgID="" ShapeID="_x0000_s1030" DrawAspect="Content" ObjectID="_1468075725" r:id="rId6">
            <o:LockedField>false</o:LockedField>
          </o:OLEObject>
        </w:pict>
      </w:r>
    </w:p>
    <w:p>
      <w:pPr>
        <w:pStyle w:val="8"/>
        <w:keepNext w:val="0"/>
        <w:keepLines w:val="0"/>
        <w:pageBreakBefore w:val="0"/>
        <w:kinsoku/>
        <w:wordWrap/>
        <w:overflowPunct/>
        <w:topLinePunct w:val="0"/>
        <w:bidi w:val="0"/>
        <w:spacing w:line="360" w:lineRule="auto"/>
        <w:jc w:val="center"/>
        <w:rPr>
          <w:rFonts w:hint="eastAsia" w:ascii="隶书" w:eastAsia="隶书"/>
          <w:color w:val="auto"/>
          <w:sz w:val="56"/>
          <w:szCs w:val="56"/>
          <w:highlight w:val="none"/>
        </w:rPr>
      </w:pPr>
    </w:p>
    <w:p>
      <w:pPr>
        <w:pStyle w:val="8"/>
        <w:keepNext w:val="0"/>
        <w:keepLines w:val="0"/>
        <w:pageBreakBefore w:val="0"/>
        <w:kinsoku/>
        <w:wordWrap/>
        <w:overflowPunct/>
        <w:topLinePunct w:val="0"/>
        <w:bidi w:val="0"/>
        <w:spacing w:line="360" w:lineRule="auto"/>
        <w:jc w:val="center"/>
        <w:rPr>
          <w:rFonts w:hint="eastAsia" w:ascii="隶书" w:eastAsia="隶书"/>
          <w:color w:val="auto"/>
          <w:sz w:val="56"/>
          <w:szCs w:val="56"/>
          <w:highlight w:val="none"/>
        </w:rPr>
      </w:pPr>
    </w:p>
    <w:p>
      <w:pPr>
        <w:pStyle w:val="8"/>
        <w:keepNext w:val="0"/>
        <w:keepLines w:val="0"/>
        <w:pageBreakBefore w:val="0"/>
        <w:kinsoku/>
        <w:wordWrap/>
        <w:overflowPunct/>
        <w:topLinePunct w:val="0"/>
        <w:bidi w:val="0"/>
        <w:spacing w:line="360" w:lineRule="auto"/>
        <w:jc w:val="both"/>
        <w:rPr>
          <w:rFonts w:hint="eastAsia" w:ascii="隶书" w:eastAsia="隶书"/>
          <w:color w:val="auto"/>
          <w:sz w:val="56"/>
          <w:szCs w:val="56"/>
          <w:highlight w:val="none"/>
        </w:rPr>
      </w:pPr>
    </w:p>
    <w:p>
      <w:pPr>
        <w:pStyle w:val="20"/>
        <w:keepNext w:val="0"/>
        <w:keepLines w:val="0"/>
        <w:pageBreakBefore w:val="0"/>
        <w:kinsoku/>
        <w:wordWrap/>
        <w:overflowPunct/>
        <w:topLinePunct w:val="0"/>
        <w:bidi w:val="0"/>
        <w:spacing w:line="360" w:lineRule="auto"/>
        <w:rPr>
          <w:rFonts w:hint="default" w:ascii="黑体" w:hAnsi="黑体" w:eastAsia="黑体" w:cs="黑体"/>
          <w:color w:val="auto"/>
          <w:sz w:val="52"/>
          <w:szCs w:val="52"/>
          <w:highlight w:val="none"/>
          <w:lang w:val="en-US" w:eastAsia="zh-CN"/>
        </w:rPr>
      </w:pPr>
      <w:r>
        <w:rPr>
          <w:rFonts w:hint="eastAsia" w:ascii="黑体" w:hAnsi="黑体" w:eastAsia="黑体" w:cs="黑体"/>
          <w:color w:val="auto"/>
          <w:sz w:val="52"/>
          <w:szCs w:val="52"/>
          <w:highlight w:val="none"/>
          <w:lang w:val="en-US" w:eastAsia="zh-CN"/>
        </w:rPr>
        <w:t>广东电网公司</w:t>
      </w:r>
    </w:p>
    <w:p>
      <w:pPr>
        <w:pStyle w:val="8"/>
        <w:keepNext w:val="0"/>
        <w:keepLines w:val="0"/>
        <w:pageBreakBefore w:val="0"/>
        <w:kinsoku/>
        <w:wordWrap/>
        <w:overflowPunct/>
        <w:topLinePunct w:val="0"/>
        <w:bidi w:val="0"/>
        <w:spacing w:line="360" w:lineRule="auto"/>
        <w:jc w:val="center"/>
        <w:rPr>
          <w:rFonts w:hint="eastAsia" w:ascii="隶书" w:eastAsia="隶书"/>
          <w:color w:val="auto"/>
          <w:sz w:val="48"/>
          <w:szCs w:val="48"/>
          <w:highlight w:val="none"/>
          <w:lang w:val="en-US" w:eastAsia="zh-CN"/>
        </w:rPr>
      </w:pPr>
      <w:r>
        <w:rPr>
          <w:rFonts w:hint="eastAsia" w:ascii="黑体" w:hAnsi="黑体" w:eastAsia="黑体" w:cs="黑体"/>
          <w:color w:val="auto"/>
          <w:sz w:val="52"/>
          <w:szCs w:val="52"/>
          <w:highlight w:val="none"/>
          <w:lang w:val="en-US" w:eastAsia="zh-CN"/>
        </w:rPr>
        <w:t>全流程电子化会计档案管理模式深化应用研究与实践</w:t>
      </w:r>
    </w:p>
    <w:p>
      <w:pPr>
        <w:pStyle w:val="8"/>
        <w:keepNext w:val="0"/>
        <w:keepLines w:val="0"/>
        <w:pageBreakBefore w:val="0"/>
        <w:kinsoku/>
        <w:wordWrap/>
        <w:overflowPunct/>
        <w:topLinePunct w:val="0"/>
        <w:bidi w:val="0"/>
        <w:spacing w:line="360" w:lineRule="auto"/>
        <w:jc w:val="center"/>
        <w:rPr>
          <w:rFonts w:hint="eastAsia" w:ascii="隶书" w:eastAsia="隶书"/>
          <w:color w:val="auto"/>
          <w:sz w:val="48"/>
          <w:szCs w:val="48"/>
          <w:highlight w:val="none"/>
          <w:lang w:val="en-US" w:eastAsia="zh-CN"/>
        </w:rPr>
      </w:pPr>
    </w:p>
    <w:p>
      <w:pPr>
        <w:pStyle w:val="8"/>
        <w:keepNext w:val="0"/>
        <w:keepLines w:val="0"/>
        <w:pageBreakBefore w:val="0"/>
        <w:kinsoku/>
        <w:wordWrap/>
        <w:overflowPunct/>
        <w:topLinePunct w:val="0"/>
        <w:bidi w:val="0"/>
        <w:spacing w:line="360" w:lineRule="auto"/>
        <w:jc w:val="center"/>
        <w:rPr>
          <w:rFonts w:hint="eastAsia" w:ascii="隶书" w:eastAsia="隶书"/>
          <w:color w:val="auto"/>
          <w:sz w:val="48"/>
          <w:szCs w:val="48"/>
          <w:highlight w:val="none"/>
          <w:lang w:val="en-US" w:eastAsia="zh-CN"/>
        </w:rPr>
      </w:pPr>
    </w:p>
    <w:p>
      <w:pPr>
        <w:pStyle w:val="8"/>
        <w:keepNext w:val="0"/>
        <w:keepLines w:val="0"/>
        <w:pageBreakBefore w:val="0"/>
        <w:kinsoku/>
        <w:wordWrap/>
        <w:overflowPunct/>
        <w:topLinePunct w:val="0"/>
        <w:bidi w:val="0"/>
        <w:spacing w:line="360" w:lineRule="auto"/>
        <w:jc w:val="center"/>
        <w:rPr>
          <w:rFonts w:hint="eastAsia" w:ascii="黑体" w:hAnsi="黑体" w:eastAsia="黑体" w:cs="黑体"/>
          <w:color w:val="auto"/>
          <w:sz w:val="52"/>
          <w:szCs w:val="52"/>
          <w:highlight w:val="none"/>
          <w:lang w:val="en-US" w:eastAsia="zh-CN"/>
        </w:rPr>
      </w:pPr>
      <w:r>
        <w:rPr>
          <w:rFonts w:hint="eastAsia" w:ascii="黑体" w:hAnsi="黑体" w:eastAsia="黑体" w:cs="黑体"/>
          <w:color w:val="auto"/>
          <w:sz w:val="52"/>
          <w:szCs w:val="52"/>
          <w:highlight w:val="none"/>
          <w:lang w:val="en-US" w:eastAsia="zh-CN"/>
        </w:rPr>
        <w:t>技术规范书</w:t>
      </w:r>
    </w:p>
    <w:p>
      <w:pPr>
        <w:keepNext w:val="0"/>
        <w:keepLines w:val="0"/>
        <w:pageBreakBefore w:val="0"/>
        <w:kinsoku/>
        <w:wordWrap/>
        <w:overflowPunct/>
        <w:topLinePunct w:val="0"/>
        <w:bidi w:val="0"/>
        <w:spacing w:line="360" w:lineRule="auto"/>
        <w:jc w:val="both"/>
        <w:rPr>
          <w:rFonts w:hint="eastAsia" w:ascii="楷体_GB2312" w:hAnsi="宋体" w:eastAsia="楷体_GB2312"/>
          <w:color w:val="auto"/>
          <w:sz w:val="32"/>
          <w:szCs w:val="32"/>
          <w:highlight w:val="none"/>
        </w:rPr>
      </w:pPr>
    </w:p>
    <w:p>
      <w:pPr>
        <w:pStyle w:val="18"/>
        <w:rPr>
          <w:rFonts w:hint="eastAsia"/>
          <w:highlight w:val="none"/>
        </w:rPr>
      </w:pPr>
    </w:p>
    <w:p>
      <w:pPr>
        <w:pStyle w:val="18"/>
        <w:rPr>
          <w:rFonts w:hint="eastAsia"/>
          <w:highlight w:val="none"/>
        </w:rPr>
      </w:pPr>
    </w:p>
    <w:p>
      <w:pPr>
        <w:keepNext w:val="0"/>
        <w:keepLines w:val="0"/>
        <w:pageBreakBefore w:val="0"/>
        <w:kinsoku/>
        <w:wordWrap/>
        <w:overflowPunct/>
        <w:topLinePunct w:val="0"/>
        <w:bidi w:val="0"/>
        <w:spacing w:line="360" w:lineRule="auto"/>
        <w:jc w:val="center"/>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rPr>
        <w:t>广东电网</w:t>
      </w:r>
      <w:r>
        <w:rPr>
          <w:rFonts w:hint="eastAsia" w:ascii="黑体" w:hAnsi="黑体" w:eastAsia="黑体" w:cs="黑体"/>
          <w:color w:val="auto"/>
          <w:sz w:val="32"/>
          <w:szCs w:val="32"/>
          <w:highlight w:val="none"/>
          <w:lang w:eastAsia="zh-CN"/>
        </w:rPr>
        <w:t>有限责任</w:t>
      </w:r>
      <w:r>
        <w:rPr>
          <w:rFonts w:hint="eastAsia" w:ascii="黑体" w:hAnsi="黑体" w:eastAsia="黑体" w:cs="黑体"/>
          <w:color w:val="auto"/>
          <w:sz w:val="32"/>
          <w:szCs w:val="32"/>
          <w:highlight w:val="none"/>
        </w:rPr>
        <w:t>公司</w:t>
      </w:r>
    </w:p>
    <w:p>
      <w:pPr>
        <w:pStyle w:val="21"/>
        <w:keepNext w:val="0"/>
        <w:keepLines w:val="0"/>
        <w:pageBreakBefore w:val="0"/>
        <w:kinsoku/>
        <w:wordWrap/>
        <w:overflowPunct/>
        <w:topLinePunct w:val="0"/>
        <w:bidi w:val="0"/>
        <w:spacing w:line="360" w:lineRule="auto"/>
        <w:rPr>
          <w:rFonts w:hint="eastAsia" w:ascii="黑体" w:hAnsi="黑体" w:eastAsia="黑体" w:cs="黑体"/>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Style w:val="23"/>
          <w:rFonts w:hint="eastAsia" w:ascii="黑体" w:hAnsi="黑体" w:eastAsia="黑体" w:cs="黑体"/>
          <w:highlight w:val="none"/>
          <w:lang w:val="en-US" w:eastAsia="zh-CN"/>
        </w:rPr>
        <w:t>2024</w:t>
      </w:r>
      <w:r>
        <w:rPr>
          <w:rStyle w:val="23"/>
          <w:rFonts w:hint="eastAsia" w:ascii="黑体" w:hAnsi="黑体" w:eastAsia="黑体" w:cs="黑体"/>
          <w:highlight w:val="none"/>
        </w:rPr>
        <w:t>年</w:t>
      </w:r>
      <w:r>
        <w:rPr>
          <w:rStyle w:val="23"/>
          <w:rFonts w:hint="eastAsia" w:ascii="黑体" w:hAnsi="黑体" w:eastAsia="黑体" w:cs="黑体"/>
          <w:highlight w:val="none"/>
          <w:lang w:val="en-US" w:eastAsia="zh-CN"/>
        </w:rPr>
        <w:t>6</w:t>
      </w:r>
      <w:r>
        <w:rPr>
          <w:rStyle w:val="23"/>
          <w:rFonts w:hint="eastAsia" w:ascii="黑体" w:hAnsi="黑体" w:eastAsia="黑体" w:cs="黑体"/>
          <w:highlight w:val="none"/>
        </w:rPr>
        <w:t>月</w:t>
      </w:r>
    </w:p>
    <w:p>
      <w:pPr>
        <w:pStyle w:val="13"/>
        <w:keepNext w:val="0"/>
        <w:keepLines w:val="0"/>
        <w:pageBreakBefore w:val="0"/>
        <w:widowControl w:val="0"/>
        <w:tabs>
          <w:tab w:val="right" w:leader="dot" w:pos="8306"/>
          <w:tab w:val="clear" w:pos="8302"/>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28"/>
          <w:szCs w:val="28"/>
          <w:highlight w:val="none"/>
          <w:lang w:val="en-US" w:eastAsia="zh-CN" w:bidi="ar-SA"/>
        </w:rPr>
      </w:pPr>
      <w:bookmarkStart w:id="2" w:name="_Toc18700"/>
      <w:bookmarkStart w:id="3" w:name="_Toc30850"/>
      <w:r>
        <w:rPr>
          <w:rFonts w:hint="eastAsia" w:ascii="宋体" w:hAnsi="宋体"/>
          <w:b w:val="0"/>
          <w:bCs/>
          <w:color w:val="auto"/>
          <w:sz w:val="44"/>
          <w:szCs w:val="36"/>
          <w:highlight w:val="none"/>
        </w:rPr>
        <w:t>目</w:t>
      </w:r>
      <w:r>
        <w:rPr>
          <w:rFonts w:hint="eastAsia" w:ascii="宋体" w:hAnsi="宋体"/>
          <w:b w:val="0"/>
          <w:bCs/>
          <w:color w:val="auto"/>
          <w:sz w:val="44"/>
          <w:szCs w:val="36"/>
          <w:highlight w:val="none"/>
          <w:lang w:val="en-US" w:eastAsia="zh-CN"/>
        </w:rPr>
        <w:t xml:space="preserve">  </w:t>
      </w:r>
      <w:r>
        <w:rPr>
          <w:rFonts w:hint="eastAsia" w:ascii="宋体" w:hAnsi="宋体"/>
          <w:b w:val="0"/>
          <w:bCs/>
          <w:color w:val="auto"/>
          <w:sz w:val="44"/>
          <w:szCs w:val="36"/>
          <w:highlight w:val="none"/>
        </w:rPr>
        <w:t>录</w:t>
      </w:r>
      <w:bookmarkEnd w:id="0"/>
      <w:bookmarkEnd w:id="1"/>
      <w:bookmarkEnd w:id="2"/>
      <w:bookmarkEnd w:id="3"/>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"1-2" \h \u </w:instrText>
      </w:r>
      <w:r>
        <w:rPr>
          <w:rFonts w:hint="eastAsia" w:asciiTheme="minorEastAsia" w:hAnsiTheme="minorEastAsia" w:eastAsiaTheme="minorEastAsia" w:cstheme="minorEastAsia"/>
          <w:color w:val="auto"/>
          <w:sz w:val="28"/>
          <w:szCs w:val="28"/>
          <w:highlight w:val="none"/>
        </w:rPr>
        <w:fldChar w:fldCharType="separate"/>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_Toc8018 </w:instrText>
      </w:r>
      <w:r>
        <w:rPr>
          <w:rFonts w:hint="eastAsia" w:asciiTheme="minorEastAsia" w:hAnsiTheme="minorEastAsia" w:eastAsiaTheme="minorEastAsia" w:cstheme="minorEastAsia"/>
          <w:szCs w:val="28"/>
          <w:highlight w:val="none"/>
        </w:rPr>
        <w:fldChar w:fldCharType="separate"/>
      </w:r>
      <w:r>
        <w:rPr>
          <w:rFonts w:hint="eastAsia" w:ascii="宋体" w:hAnsi="宋体"/>
          <w:highlight w:val="none"/>
        </w:rPr>
        <w:t>总</w:t>
      </w:r>
      <w:r>
        <w:rPr>
          <w:rFonts w:hint="eastAsia" w:ascii="宋体" w:hAnsi="宋体"/>
          <w:highlight w:val="none"/>
          <w:lang w:val="en-US" w:eastAsia="zh-CN"/>
        </w:rPr>
        <w:t xml:space="preserve"> </w:t>
      </w:r>
      <w:r>
        <w:rPr>
          <w:rFonts w:hint="eastAsia" w:ascii="宋体" w:hAnsi="宋体"/>
          <w:highlight w:val="none"/>
        </w:rPr>
        <w:t>则</w:t>
      </w:r>
      <w:r>
        <w:rPr>
          <w:highlight w:val="none"/>
        </w:rPr>
        <w:tab/>
      </w:r>
      <w:r>
        <w:rPr>
          <w:highlight w:val="none"/>
        </w:rPr>
        <w:fldChar w:fldCharType="begin"/>
      </w:r>
      <w:r>
        <w:rPr>
          <w:highlight w:val="none"/>
        </w:rPr>
        <w:instrText xml:space="preserve"> PAGEREF _Toc8018 \h </w:instrText>
      </w:r>
      <w:r>
        <w:rPr>
          <w:highlight w:val="none"/>
        </w:rPr>
        <w:fldChar w:fldCharType="separate"/>
      </w:r>
      <w:r>
        <w:rPr>
          <w:highlight w:val="none"/>
        </w:rPr>
        <w:t>1</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_Toc28046 </w:instrText>
      </w:r>
      <w:r>
        <w:rPr>
          <w:rFonts w:hint="eastAsia" w:asciiTheme="minorEastAsia" w:hAnsiTheme="minorEastAsia" w:eastAsiaTheme="minorEastAsia" w:cstheme="minorEastAsia"/>
          <w:szCs w:val="28"/>
          <w:highlight w:val="none"/>
        </w:rPr>
        <w:fldChar w:fldCharType="separate"/>
      </w:r>
      <w:r>
        <w:rPr>
          <w:rFonts w:hint="eastAsia" w:asciiTheme="minorEastAsia" w:hAnsiTheme="minorEastAsia" w:eastAsiaTheme="minorEastAsia" w:cstheme="minorEastAsia"/>
          <w:szCs w:val="28"/>
          <w:highlight w:val="none"/>
          <w:lang w:val="en-US" w:eastAsia="zh-CN"/>
        </w:rPr>
        <w:t>1  标的概况</w:t>
      </w:r>
      <w:r>
        <w:rPr>
          <w:highlight w:val="none"/>
        </w:rPr>
        <w:tab/>
      </w:r>
      <w:r>
        <w:rPr>
          <w:highlight w:val="none"/>
        </w:rPr>
        <w:fldChar w:fldCharType="begin"/>
      </w:r>
      <w:r>
        <w:rPr>
          <w:highlight w:val="none"/>
        </w:rPr>
        <w:instrText xml:space="preserve"> PAGEREF _Toc28046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_Toc21588 </w:instrText>
      </w:r>
      <w:r>
        <w:rPr>
          <w:rFonts w:hint="eastAsia" w:asciiTheme="minorEastAsia" w:hAnsiTheme="minorEastAsia" w:eastAsiaTheme="minorEastAsia" w:cstheme="minorEastAsia"/>
          <w:szCs w:val="28"/>
          <w:highlight w:val="none"/>
        </w:rPr>
        <w:fldChar w:fldCharType="separate"/>
      </w:r>
      <w:r>
        <w:rPr>
          <w:rFonts w:hint="eastAsia" w:asciiTheme="minorEastAsia" w:hAnsiTheme="minorEastAsia" w:eastAsiaTheme="minorEastAsia" w:cstheme="minorEastAsia"/>
          <w:szCs w:val="28"/>
          <w:highlight w:val="none"/>
          <w:lang w:val="en-US" w:eastAsia="zh-CN"/>
        </w:rPr>
        <w:t>2  服务内容及</w:t>
      </w:r>
      <w:r>
        <w:rPr>
          <w:rFonts w:hint="eastAsia" w:asciiTheme="minorEastAsia" w:hAnsiTheme="minorEastAsia" w:eastAsiaTheme="minorEastAsia" w:cstheme="minorEastAsia"/>
          <w:bCs/>
          <w:szCs w:val="28"/>
          <w:highlight w:val="none"/>
          <w:lang w:val="en-US" w:eastAsia="zh-CN"/>
        </w:rPr>
        <w:t>项目</w:t>
      </w:r>
      <w:r>
        <w:rPr>
          <w:rFonts w:hint="eastAsia" w:asciiTheme="minorEastAsia" w:hAnsiTheme="minorEastAsia" w:cstheme="minorEastAsia"/>
          <w:bCs/>
          <w:szCs w:val="28"/>
          <w:highlight w:val="none"/>
          <w:lang w:val="en-US" w:eastAsia="zh-CN"/>
        </w:rPr>
        <w:t>建设地点要求</w:t>
      </w:r>
      <w:r>
        <w:rPr>
          <w:highlight w:val="none"/>
        </w:rPr>
        <w:tab/>
      </w:r>
      <w:r>
        <w:rPr>
          <w:highlight w:val="none"/>
        </w:rPr>
        <w:fldChar w:fldCharType="begin"/>
      </w:r>
      <w:r>
        <w:rPr>
          <w:highlight w:val="none"/>
        </w:rPr>
        <w:instrText xml:space="preserve"> PAGEREF _Toc21588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_Toc5053 </w:instrText>
      </w:r>
      <w:r>
        <w:rPr>
          <w:rFonts w:hint="eastAsia" w:asciiTheme="minorEastAsia" w:hAnsiTheme="minorEastAsia" w:eastAsiaTheme="minorEastAsia" w:cstheme="minorEastAsia"/>
          <w:szCs w:val="28"/>
          <w:highlight w:val="none"/>
        </w:rPr>
        <w:fldChar w:fldCharType="separate"/>
      </w:r>
      <w:r>
        <w:rPr>
          <w:rFonts w:hint="eastAsia" w:asciiTheme="minorEastAsia" w:hAnsiTheme="minorEastAsia" w:eastAsiaTheme="minorEastAsia" w:cstheme="minorEastAsia"/>
          <w:szCs w:val="28"/>
          <w:highlight w:val="none"/>
          <w:lang w:val="en-US" w:eastAsia="zh-CN"/>
        </w:rPr>
        <w:t>3  主要技术要求</w:t>
      </w:r>
      <w:r>
        <w:rPr>
          <w:highlight w:val="none"/>
        </w:rPr>
        <w:tab/>
      </w:r>
      <w:r>
        <w:rPr>
          <w:highlight w:val="none"/>
        </w:rPr>
        <w:fldChar w:fldCharType="begin"/>
      </w:r>
      <w:r>
        <w:rPr>
          <w:highlight w:val="none"/>
        </w:rPr>
        <w:instrText xml:space="preserve"> PAGEREF _Toc5053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_Toc449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bCs w:val="0"/>
          <w:kern w:val="2"/>
          <w:szCs w:val="24"/>
          <w:highlight w:val="none"/>
          <w:lang w:val="en-US" w:eastAsia="zh-CN" w:bidi="ar-SA"/>
        </w:rPr>
        <w:t>3.1 人员组织要求</w:t>
      </w:r>
      <w:r>
        <w:rPr>
          <w:highlight w:val="none"/>
        </w:rPr>
        <w:tab/>
      </w:r>
      <w:r>
        <w:rPr>
          <w:highlight w:val="none"/>
        </w:rPr>
        <w:fldChar w:fldCharType="begin"/>
      </w:r>
      <w:r>
        <w:rPr>
          <w:highlight w:val="none"/>
        </w:rPr>
        <w:instrText xml:space="preserve"> PAGEREF _Toc449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_Toc23720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szCs w:val="24"/>
          <w:highlight w:val="none"/>
          <w:lang w:val="en-US" w:eastAsia="zh-CN"/>
        </w:rPr>
        <w:t>3.2 技术支撑能力要求（视项目具体情况编写，以下仅供参考）</w:t>
      </w:r>
      <w:r>
        <w:rPr>
          <w:highlight w:val="none"/>
        </w:rPr>
        <w:tab/>
      </w:r>
      <w:r>
        <w:rPr>
          <w:highlight w:val="none"/>
        </w:rPr>
        <w:fldChar w:fldCharType="begin"/>
      </w:r>
      <w:r>
        <w:rPr>
          <w:highlight w:val="none"/>
        </w:rPr>
        <w:instrText xml:space="preserve"> PAGEREF _Toc23720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_Toc8200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szCs w:val="24"/>
          <w:highlight w:val="none"/>
          <w:lang w:val="en-US" w:eastAsia="zh-CN"/>
        </w:rPr>
        <w:t>3.3 转包及分包要求</w:t>
      </w:r>
      <w:r>
        <w:rPr>
          <w:highlight w:val="none"/>
        </w:rPr>
        <w:tab/>
      </w:r>
      <w:r>
        <w:rPr>
          <w:highlight w:val="none"/>
        </w:rPr>
        <w:fldChar w:fldCharType="begin"/>
      </w:r>
      <w:r>
        <w:rPr>
          <w:highlight w:val="none"/>
        </w:rPr>
        <w:instrText xml:space="preserve"> PAGEREF _Toc8200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_Toc20702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szCs w:val="24"/>
          <w:highlight w:val="none"/>
          <w:lang w:val="en-US" w:eastAsia="zh-CN"/>
        </w:rPr>
        <w:t>3.4 信息保密要求</w:t>
      </w:r>
      <w:r>
        <w:rPr>
          <w:highlight w:val="none"/>
        </w:rPr>
        <w:tab/>
      </w:r>
      <w:r>
        <w:rPr>
          <w:highlight w:val="none"/>
        </w:rPr>
        <w:fldChar w:fldCharType="begin"/>
      </w:r>
      <w:r>
        <w:rPr>
          <w:highlight w:val="none"/>
        </w:rPr>
        <w:instrText xml:space="preserve"> PAGEREF _Toc20702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_Toc10223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szCs w:val="24"/>
          <w:highlight w:val="none"/>
          <w:lang w:val="en-US" w:eastAsia="zh-CN"/>
        </w:rPr>
        <w:t>3.5 技术支持与售后服务</w:t>
      </w:r>
      <w:r>
        <w:rPr>
          <w:highlight w:val="none"/>
        </w:rPr>
        <w:tab/>
      </w:r>
      <w:r>
        <w:rPr>
          <w:highlight w:val="none"/>
        </w:rPr>
        <w:fldChar w:fldCharType="begin"/>
      </w:r>
      <w:r>
        <w:rPr>
          <w:highlight w:val="none"/>
        </w:rPr>
        <w:instrText xml:space="preserve"> PAGEREF _Toc10223 \h </w:instrText>
      </w:r>
      <w:r>
        <w:rPr>
          <w:highlight w:val="none"/>
        </w:rPr>
        <w:fldChar w:fldCharType="separate"/>
      </w:r>
      <w:r>
        <w:rPr>
          <w:highlight w:val="none"/>
        </w:rPr>
        <w:t>2</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_Toc5808 </w:instrText>
      </w:r>
      <w:r>
        <w:rPr>
          <w:rFonts w:hint="eastAsia" w:asciiTheme="minorEastAsia" w:hAnsiTheme="minorEastAsia" w:eastAsiaTheme="minorEastAsia" w:cstheme="minorEastAsia"/>
          <w:szCs w:val="28"/>
          <w:highlight w:val="none"/>
        </w:rPr>
        <w:fldChar w:fldCharType="separate"/>
      </w:r>
      <w:r>
        <w:rPr>
          <w:rFonts w:hint="eastAsia" w:asciiTheme="minorEastAsia" w:hAnsiTheme="minorEastAsia" w:eastAsiaTheme="minorEastAsia" w:cstheme="minorEastAsia"/>
          <w:szCs w:val="28"/>
          <w:highlight w:val="none"/>
          <w:lang w:val="en-US" w:eastAsia="zh-CN"/>
        </w:rPr>
        <w:t>4  时间进度要求</w:t>
      </w:r>
      <w:r>
        <w:rPr>
          <w:highlight w:val="none"/>
        </w:rPr>
        <w:tab/>
      </w:r>
      <w:r>
        <w:rPr>
          <w:highlight w:val="none"/>
        </w:rPr>
        <w:fldChar w:fldCharType="begin"/>
      </w:r>
      <w:r>
        <w:rPr>
          <w:highlight w:val="none"/>
        </w:rPr>
        <w:instrText xml:space="preserve"> PAGEREF _Toc5808 \h </w:instrText>
      </w:r>
      <w:r>
        <w:rPr>
          <w:highlight w:val="none"/>
        </w:rPr>
        <w:fldChar w:fldCharType="separate"/>
      </w:r>
      <w:r>
        <w:rPr>
          <w:highlight w:val="none"/>
        </w:rPr>
        <w:t>3</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_Toc7300 </w:instrText>
      </w:r>
      <w:r>
        <w:rPr>
          <w:rFonts w:hint="eastAsia" w:asciiTheme="minorEastAsia" w:hAnsiTheme="minorEastAsia" w:eastAsiaTheme="minorEastAsia" w:cstheme="minorEastAsia"/>
          <w:szCs w:val="28"/>
          <w:highlight w:val="none"/>
        </w:rPr>
        <w:fldChar w:fldCharType="separate"/>
      </w:r>
      <w:r>
        <w:rPr>
          <w:rFonts w:hint="eastAsia" w:asciiTheme="minorEastAsia" w:hAnsiTheme="minorEastAsia" w:eastAsiaTheme="minorEastAsia" w:cstheme="minorEastAsia"/>
          <w:szCs w:val="28"/>
          <w:highlight w:val="none"/>
          <w:lang w:val="en-US" w:eastAsia="zh-CN"/>
        </w:rPr>
        <w:t>5  交付与验收</w:t>
      </w:r>
      <w:r>
        <w:rPr>
          <w:highlight w:val="none"/>
        </w:rPr>
        <w:tab/>
      </w:r>
      <w:r>
        <w:rPr>
          <w:highlight w:val="none"/>
        </w:rPr>
        <w:fldChar w:fldCharType="begin"/>
      </w:r>
      <w:r>
        <w:rPr>
          <w:highlight w:val="none"/>
        </w:rPr>
        <w:instrText xml:space="preserve"> PAGEREF _Toc7300 \h </w:instrText>
      </w:r>
      <w:r>
        <w:rPr>
          <w:highlight w:val="none"/>
        </w:rPr>
        <w:fldChar w:fldCharType="separate"/>
      </w:r>
      <w:r>
        <w:rPr>
          <w:highlight w:val="none"/>
        </w:rPr>
        <w:t>3</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_Toc19184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bCs w:val="0"/>
          <w:kern w:val="2"/>
          <w:szCs w:val="24"/>
          <w:highlight w:val="none"/>
          <w:lang w:val="en-US" w:eastAsia="zh-CN" w:bidi="ar-SA"/>
        </w:rPr>
        <w:t>5.1 交付形式及要求</w:t>
      </w:r>
      <w:r>
        <w:rPr>
          <w:highlight w:val="none"/>
        </w:rPr>
        <w:tab/>
      </w:r>
      <w:r>
        <w:rPr>
          <w:highlight w:val="none"/>
        </w:rPr>
        <w:fldChar w:fldCharType="begin"/>
      </w:r>
      <w:r>
        <w:rPr>
          <w:highlight w:val="none"/>
        </w:rPr>
        <w:instrText xml:space="preserve"> PAGEREF _Toc19184 \h </w:instrText>
      </w:r>
      <w:r>
        <w:rPr>
          <w:highlight w:val="none"/>
        </w:rPr>
        <w:fldChar w:fldCharType="separate"/>
      </w:r>
      <w:r>
        <w:rPr>
          <w:highlight w:val="none"/>
        </w:rPr>
        <w:t>3</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3"/>
        <w:tabs>
          <w:tab w:val="right" w:leader="dot" w:pos="8306"/>
          <w:tab w:val="clear" w:pos="8302"/>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_Toc7523 </w:instrText>
      </w:r>
      <w:r>
        <w:rPr>
          <w:rFonts w:hint="eastAsia" w:asciiTheme="minorEastAsia" w:hAnsiTheme="minorEastAsia" w:eastAsiaTheme="minorEastAsia" w:cstheme="minorEastAsia"/>
          <w:szCs w:val="28"/>
          <w:highlight w:val="none"/>
        </w:rPr>
        <w:fldChar w:fldCharType="separate"/>
      </w:r>
      <w:r>
        <w:rPr>
          <w:rFonts w:hint="eastAsia" w:ascii="黑体" w:hAnsi="黑体" w:eastAsia="黑体" w:cs="黑体"/>
          <w:szCs w:val="24"/>
          <w:highlight w:val="none"/>
          <w:lang w:val="en-US" w:eastAsia="zh-CN"/>
        </w:rPr>
        <w:t>5.2 验收</w:t>
      </w:r>
      <w:r>
        <w:rPr>
          <w:highlight w:val="none"/>
        </w:rPr>
        <w:tab/>
      </w:r>
      <w:r>
        <w:rPr>
          <w:highlight w:val="none"/>
        </w:rPr>
        <w:fldChar w:fldCharType="begin"/>
      </w:r>
      <w:r>
        <w:rPr>
          <w:highlight w:val="none"/>
        </w:rPr>
        <w:instrText xml:space="preserve"> PAGEREF _Toc7523 \h </w:instrText>
      </w:r>
      <w:r>
        <w:rPr>
          <w:highlight w:val="none"/>
        </w:rPr>
        <w:fldChar w:fldCharType="separate"/>
      </w:r>
      <w:r>
        <w:rPr>
          <w:highlight w:val="none"/>
        </w:rPr>
        <w:t>3</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tabs>
          <w:tab w:val="right" w:leader="dot" w:pos="8306"/>
        </w:tabs>
        <w:rPr>
          <w:highlight w:val="none"/>
        </w:rPr>
      </w:pPr>
      <w:r>
        <w:rPr>
          <w:rFonts w:hint="eastAsia" w:asciiTheme="minorEastAsia" w:hAnsiTheme="minorEastAsia" w:eastAsiaTheme="minorEastAsia" w:cstheme="minorEastAsia"/>
          <w:color w:val="auto"/>
          <w:szCs w:val="28"/>
          <w:highlight w:val="none"/>
        </w:rPr>
        <w:fldChar w:fldCharType="begin"/>
      </w:r>
      <w:r>
        <w:rPr>
          <w:rFonts w:hint="eastAsia" w:asciiTheme="minorEastAsia" w:hAnsiTheme="minorEastAsia" w:eastAsiaTheme="minorEastAsia" w:cstheme="minorEastAsia"/>
          <w:szCs w:val="28"/>
          <w:highlight w:val="none"/>
        </w:rPr>
        <w:instrText xml:space="preserve"> HYPERLINK \l _Toc29848 </w:instrText>
      </w:r>
      <w:r>
        <w:rPr>
          <w:rFonts w:hint="eastAsia" w:asciiTheme="minorEastAsia" w:hAnsiTheme="minorEastAsia" w:eastAsiaTheme="minorEastAsia" w:cstheme="minorEastAsia"/>
          <w:szCs w:val="28"/>
          <w:highlight w:val="none"/>
        </w:rPr>
        <w:fldChar w:fldCharType="separate"/>
      </w:r>
      <w:r>
        <w:rPr>
          <w:rFonts w:hint="eastAsia" w:asciiTheme="minorEastAsia" w:hAnsiTheme="minorEastAsia" w:eastAsiaTheme="minorEastAsia" w:cstheme="minorEastAsia"/>
          <w:szCs w:val="28"/>
          <w:highlight w:val="none"/>
          <w:lang w:val="en-US" w:eastAsia="zh-CN"/>
        </w:rPr>
        <w:t>6  其他</w:t>
      </w:r>
      <w:r>
        <w:rPr>
          <w:highlight w:val="none"/>
        </w:rPr>
        <w:tab/>
      </w:r>
      <w:r>
        <w:rPr>
          <w:highlight w:val="none"/>
        </w:rPr>
        <w:fldChar w:fldCharType="begin"/>
      </w:r>
      <w:r>
        <w:rPr>
          <w:highlight w:val="none"/>
        </w:rPr>
        <w:instrText xml:space="preserve"> PAGEREF _Toc29848 \h </w:instrText>
      </w:r>
      <w:r>
        <w:rPr>
          <w:highlight w:val="none"/>
        </w:rPr>
        <w:fldChar w:fldCharType="separate"/>
      </w:r>
      <w:r>
        <w:rPr>
          <w:highlight w:val="none"/>
        </w:rPr>
        <w:t>3</w:t>
      </w:r>
      <w:r>
        <w:rPr>
          <w:highlight w:val="none"/>
        </w:rPr>
        <w:fldChar w:fldCharType="end"/>
      </w:r>
      <w:r>
        <w:rPr>
          <w:rFonts w:hint="eastAsia" w:asciiTheme="minorEastAsia" w:hAnsiTheme="minorEastAsia" w:eastAsiaTheme="minorEastAsia" w:cstheme="minorEastAsia"/>
          <w:color w:val="auto"/>
          <w:szCs w:val="28"/>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highlight w:val="none"/>
        </w:rPr>
      </w:pPr>
      <w:r>
        <w:rPr>
          <w:rFonts w:hint="eastAsia" w:asciiTheme="minorEastAsia" w:hAnsiTheme="minorEastAsia" w:eastAsiaTheme="minorEastAsia" w:cstheme="minorEastAsia"/>
          <w:color w:val="auto"/>
          <w:sz w:val="28"/>
          <w:szCs w:val="28"/>
          <w:highlight w:val="none"/>
        </w:rPr>
        <w:fldChar w:fldCharType="end"/>
      </w:r>
    </w:p>
    <w:p>
      <w:pPr>
        <w:keepNext w:val="0"/>
        <w:keepLines w:val="0"/>
        <w:pageBreakBefore w:val="0"/>
        <w:kinsoku/>
        <w:wordWrap/>
        <w:overflowPunct/>
        <w:topLinePunct w:val="0"/>
        <w:bidi w:val="0"/>
        <w:spacing w:line="360" w:lineRule="auto"/>
        <w:rPr>
          <w:rFonts w:ascii="宋体" w:hAnsi="宋体"/>
          <w:b/>
          <w:color w:val="auto"/>
          <w:sz w:val="30"/>
          <w:highlight w:val="none"/>
        </w:rPr>
      </w:pPr>
      <w:r>
        <w:rPr>
          <w:rFonts w:ascii="宋体" w:hAnsi="宋体"/>
          <w:b/>
          <w:color w:val="auto"/>
          <w:sz w:val="30"/>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534" w:firstLineChars="1100"/>
        <w:jc w:val="both"/>
        <w:textAlignment w:val="auto"/>
        <w:outlineLvl w:val="0"/>
        <w:rPr>
          <w:rFonts w:hint="eastAsia" w:ascii="宋体" w:hAnsi="宋体"/>
          <w:b/>
          <w:color w:val="auto"/>
          <w:sz w:val="32"/>
          <w:highlight w:val="none"/>
        </w:rPr>
      </w:pPr>
      <w:bookmarkStart w:id="4" w:name="_Toc4939"/>
      <w:bookmarkStart w:id="5" w:name="_Toc20483"/>
      <w:bookmarkStart w:id="6" w:name="_Toc32374"/>
      <w:bookmarkStart w:id="7" w:name="_Toc19589"/>
      <w:bookmarkStart w:id="8" w:name="_Toc8018"/>
      <w:bookmarkStart w:id="9" w:name="_Toc266713645"/>
      <w:bookmarkStart w:id="10" w:name="_Toc17586"/>
      <w:r>
        <w:rPr>
          <w:rFonts w:hint="eastAsia" w:ascii="宋体" w:hAnsi="宋体"/>
          <w:b/>
          <w:color w:val="auto"/>
          <w:sz w:val="32"/>
          <w:highlight w:val="none"/>
        </w:rPr>
        <w:t>总</w:t>
      </w:r>
      <w:r>
        <w:rPr>
          <w:rFonts w:hint="eastAsia" w:ascii="宋体" w:hAnsi="宋体"/>
          <w:b/>
          <w:color w:val="auto"/>
          <w:sz w:val="32"/>
          <w:highlight w:val="none"/>
          <w:lang w:val="en-US" w:eastAsia="zh-CN"/>
        </w:rPr>
        <w:t xml:space="preserve"> </w:t>
      </w:r>
      <w:r>
        <w:rPr>
          <w:rFonts w:hint="eastAsia" w:ascii="宋体" w:hAnsi="宋体"/>
          <w:b/>
          <w:color w:val="auto"/>
          <w:sz w:val="32"/>
          <w:highlight w:val="none"/>
        </w:rPr>
        <w:t>则</w:t>
      </w:r>
      <w:bookmarkEnd w:id="4"/>
      <w:bookmarkEnd w:id="5"/>
      <w:bookmarkEnd w:id="6"/>
      <w:bookmarkEnd w:id="7"/>
      <w:bookmarkEnd w:id="8"/>
      <w:bookmarkEnd w:id="9"/>
      <w:bookmarkEnd w:id="10"/>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本文</w:t>
      </w:r>
      <w:r>
        <w:rPr>
          <w:rFonts w:hint="eastAsia" w:asciiTheme="minorEastAsia" w:hAnsiTheme="minorEastAsia" w:eastAsiaTheme="minorEastAsia" w:cstheme="minorEastAsia"/>
          <w:bCs/>
          <w:color w:val="auto"/>
          <w:sz w:val="24"/>
          <w:szCs w:val="22"/>
          <w:highlight w:val="none"/>
          <w:lang w:eastAsia="zh-CN"/>
        </w:rPr>
        <w:t>件为全流程电子化会计档案管理模式深化应用研究与实践</w:t>
      </w:r>
      <w:r>
        <w:rPr>
          <w:rFonts w:hint="eastAsia" w:asciiTheme="minorEastAsia" w:hAnsiTheme="minorEastAsia" w:eastAsiaTheme="minorEastAsia" w:cstheme="minorEastAsia"/>
          <w:bCs/>
          <w:color w:val="auto"/>
          <w:sz w:val="24"/>
          <w:szCs w:val="22"/>
          <w:highlight w:val="none"/>
          <w:u w:val="single"/>
          <w:lang w:eastAsia="zh-CN"/>
        </w:rPr>
        <w:t>项目</w:t>
      </w:r>
      <w:r>
        <w:rPr>
          <w:rFonts w:hint="eastAsia" w:asciiTheme="minorEastAsia" w:hAnsiTheme="minorEastAsia" w:eastAsiaTheme="minorEastAsia" w:cstheme="minorEastAsia"/>
          <w:bCs/>
          <w:color w:val="auto"/>
          <w:sz w:val="24"/>
          <w:szCs w:val="22"/>
          <w:highlight w:val="none"/>
          <w:lang w:eastAsia="zh-CN"/>
        </w:rPr>
        <w:t>技术招标</w:t>
      </w:r>
      <w:r>
        <w:rPr>
          <w:rFonts w:hint="eastAsia" w:asciiTheme="minorEastAsia" w:hAnsiTheme="minorEastAsia" w:eastAsiaTheme="minorEastAsia" w:cstheme="minorEastAsia"/>
          <w:bCs/>
          <w:color w:val="auto"/>
          <w:sz w:val="24"/>
          <w:highlight w:val="none"/>
        </w:rPr>
        <w:t>文件。</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本文件所描述的各</w:t>
      </w:r>
      <w:r>
        <w:rPr>
          <w:rFonts w:hint="eastAsia" w:asciiTheme="minorEastAsia" w:hAnsiTheme="minorEastAsia" w:eastAsiaTheme="minorEastAsia" w:cstheme="minorEastAsia"/>
          <w:bCs/>
          <w:color w:val="auto"/>
          <w:sz w:val="24"/>
          <w:highlight w:val="none"/>
          <w:lang w:val="en-US" w:eastAsia="zh-CN"/>
        </w:rPr>
        <w:t>项技术要求</w:t>
      </w:r>
      <w:r>
        <w:rPr>
          <w:rFonts w:hint="eastAsia" w:asciiTheme="minorEastAsia" w:hAnsiTheme="minorEastAsia" w:eastAsiaTheme="minorEastAsia" w:cstheme="minorEastAsia"/>
          <w:bCs/>
          <w:color w:val="auto"/>
          <w:sz w:val="24"/>
          <w:highlight w:val="none"/>
        </w:rPr>
        <w:t>仅供投标方编制投标文件之用。</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本标书仅描述基本的技术需求，并未对一切技术细节做出规定，也未充分引述有关标准和技术条文，投标方应根据需求目标提供进一步具体的可满足要求的</w:t>
      </w:r>
      <w:r>
        <w:rPr>
          <w:rFonts w:hint="eastAsia" w:asciiTheme="minorEastAsia" w:hAnsiTheme="minorEastAsia" w:eastAsiaTheme="minorEastAsia" w:cstheme="minorEastAsia"/>
          <w:bCs/>
          <w:color w:val="auto"/>
          <w:sz w:val="24"/>
          <w:highlight w:val="none"/>
          <w:lang w:eastAsia="zh-CN"/>
        </w:rPr>
        <w:t>技术</w:t>
      </w:r>
      <w:r>
        <w:rPr>
          <w:rFonts w:hint="eastAsia" w:asciiTheme="minorEastAsia" w:hAnsiTheme="minorEastAsia" w:eastAsiaTheme="minorEastAsia" w:cstheme="minorEastAsia"/>
          <w:bCs/>
          <w:color w:val="auto"/>
          <w:sz w:val="24"/>
          <w:highlight w:val="none"/>
        </w:rPr>
        <w:t>指标。</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投标技术文件要求文字精练、数据准确、表述及图示清晰明确，具有针对性。</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szCs w:val="22"/>
          <w:highlight w:val="none"/>
        </w:rPr>
        <w:t>投标方在投标技术文件中应对本标书逐项予以说明和答复</w:t>
      </w:r>
      <w:r>
        <w:rPr>
          <w:rFonts w:hint="eastAsia" w:asciiTheme="minorEastAsia" w:hAnsiTheme="minorEastAsia" w:eastAsiaTheme="minorEastAsia" w:cstheme="minorEastAsia"/>
          <w:bCs/>
          <w:color w:val="auto"/>
          <w:sz w:val="24"/>
          <w:szCs w:val="22"/>
          <w:highlight w:val="none"/>
          <w:lang w:val="en-US" w:eastAsia="zh-CN"/>
        </w:rPr>
        <w:t>,</w:t>
      </w:r>
      <w:r>
        <w:rPr>
          <w:rFonts w:hint="eastAsia" w:asciiTheme="minorEastAsia" w:hAnsiTheme="minorEastAsia" w:eastAsiaTheme="minorEastAsia" w:cstheme="minorEastAsia"/>
          <w:bCs/>
          <w:color w:val="auto"/>
          <w:sz w:val="24"/>
          <w:szCs w:val="22"/>
          <w:highlight w:val="none"/>
        </w:rPr>
        <w:t>应如实反映投标</w:t>
      </w:r>
      <w:r>
        <w:rPr>
          <w:rFonts w:hint="eastAsia" w:asciiTheme="minorEastAsia" w:hAnsiTheme="minorEastAsia" w:eastAsiaTheme="minorEastAsia" w:cstheme="minorEastAsia"/>
          <w:bCs/>
          <w:color w:val="auto"/>
          <w:sz w:val="24"/>
          <w:szCs w:val="22"/>
          <w:highlight w:val="none"/>
          <w:lang w:val="en-US" w:eastAsia="zh-CN"/>
        </w:rPr>
        <w:t>服务</w:t>
      </w:r>
      <w:r>
        <w:rPr>
          <w:rFonts w:hint="eastAsia" w:asciiTheme="minorEastAsia" w:hAnsiTheme="minorEastAsia" w:eastAsiaTheme="minorEastAsia" w:cstheme="minorEastAsia"/>
          <w:bCs/>
          <w:color w:val="auto"/>
          <w:sz w:val="24"/>
          <w:szCs w:val="22"/>
          <w:highlight w:val="none"/>
        </w:rPr>
        <w:t>与本技术规范书的技术差异。如果投标方没有提出技术差异，而在执行合同的过程中，招标方发现投标方提供的</w:t>
      </w:r>
      <w:r>
        <w:rPr>
          <w:rFonts w:hint="eastAsia" w:asciiTheme="minorEastAsia" w:hAnsiTheme="minorEastAsia" w:eastAsiaTheme="minorEastAsia" w:cstheme="minorEastAsia"/>
          <w:bCs/>
          <w:color w:val="auto"/>
          <w:sz w:val="24"/>
          <w:szCs w:val="22"/>
          <w:highlight w:val="none"/>
          <w:lang w:val="en-US" w:eastAsia="zh-CN"/>
        </w:rPr>
        <w:t>服务</w:t>
      </w:r>
      <w:r>
        <w:rPr>
          <w:rFonts w:hint="eastAsia" w:asciiTheme="minorEastAsia" w:hAnsiTheme="minorEastAsia" w:eastAsiaTheme="minorEastAsia" w:cstheme="minorEastAsia"/>
          <w:bCs/>
          <w:color w:val="auto"/>
          <w:sz w:val="24"/>
          <w:szCs w:val="22"/>
          <w:highlight w:val="none"/>
        </w:rPr>
        <w:t>与其投标技术文件的条文存在差异，招标方</w:t>
      </w:r>
      <w:r>
        <w:rPr>
          <w:rFonts w:hint="eastAsia" w:asciiTheme="minorEastAsia" w:hAnsiTheme="minorEastAsia" w:eastAsiaTheme="minorEastAsia" w:cstheme="minorEastAsia"/>
          <w:bCs/>
          <w:color w:val="auto"/>
          <w:sz w:val="24"/>
          <w:szCs w:val="22"/>
          <w:highlight w:val="none"/>
          <w:lang w:eastAsia="zh-CN"/>
        </w:rPr>
        <w:t>将</w:t>
      </w:r>
      <w:r>
        <w:rPr>
          <w:rFonts w:hint="eastAsia" w:asciiTheme="minorEastAsia" w:hAnsiTheme="minorEastAsia" w:eastAsiaTheme="minorEastAsia" w:cstheme="minorEastAsia"/>
          <w:bCs/>
          <w:color w:val="auto"/>
          <w:sz w:val="24"/>
          <w:szCs w:val="22"/>
          <w:highlight w:val="none"/>
        </w:rPr>
        <w:t>追究投标方违约责任</w:t>
      </w:r>
      <w:r>
        <w:rPr>
          <w:rFonts w:hint="eastAsia" w:asciiTheme="minorEastAsia" w:hAnsiTheme="minorEastAsia" w:eastAsiaTheme="minorEastAsia" w:cstheme="minorEastAsia"/>
          <w:bCs/>
          <w:color w:val="auto"/>
          <w:sz w:val="24"/>
          <w:highlight w:val="none"/>
        </w:rPr>
        <w:t>。</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szCs w:val="22"/>
          <w:highlight w:val="none"/>
          <w:lang w:eastAsia="zh-CN"/>
        </w:rPr>
      </w:pPr>
      <w:r>
        <w:rPr>
          <w:rFonts w:hint="eastAsia" w:asciiTheme="minorEastAsia" w:hAnsiTheme="minorEastAsia" w:eastAsiaTheme="minorEastAsia" w:cstheme="minorEastAsia"/>
          <w:bCs/>
          <w:color w:val="auto"/>
          <w:sz w:val="24"/>
          <w:szCs w:val="22"/>
          <w:highlight w:val="none"/>
        </w:rPr>
        <w:t>投标方应在投标技术部分按本技术规范书的要求</w:t>
      </w:r>
      <w:r>
        <w:rPr>
          <w:rFonts w:hint="eastAsia" w:asciiTheme="minorEastAsia" w:hAnsiTheme="minorEastAsia" w:eastAsiaTheme="minorEastAsia" w:cstheme="minorEastAsia"/>
          <w:bCs/>
          <w:color w:val="auto"/>
          <w:sz w:val="24"/>
          <w:szCs w:val="22"/>
          <w:highlight w:val="none"/>
          <w:lang w:eastAsia="zh-CN"/>
        </w:rPr>
        <w:t>内容</w:t>
      </w:r>
      <w:r>
        <w:rPr>
          <w:rFonts w:hint="eastAsia" w:asciiTheme="minorEastAsia" w:hAnsiTheme="minorEastAsia" w:eastAsiaTheme="minorEastAsia" w:cstheme="minorEastAsia"/>
          <w:bCs/>
          <w:color w:val="auto"/>
          <w:sz w:val="24"/>
          <w:szCs w:val="22"/>
          <w:highlight w:val="none"/>
        </w:rPr>
        <w:t>如实详细填写投标</w:t>
      </w:r>
      <w:r>
        <w:rPr>
          <w:rFonts w:hint="eastAsia" w:asciiTheme="minorEastAsia" w:hAnsiTheme="minorEastAsia" w:eastAsiaTheme="minorEastAsia" w:cstheme="minorEastAsia"/>
          <w:bCs/>
          <w:color w:val="auto"/>
          <w:sz w:val="24"/>
          <w:szCs w:val="22"/>
          <w:highlight w:val="none"/>
          <w:lang w:val="en-US" w:eastAsia="zh-CN"/>
        </w:rPr>
        <w:t>服务</w:t>
      </w:r>
      <w:r>
        <w:rPr>
          <w:rFonts w:hint="eastAsia" w:asciiTheme="minorEastAsia" w:hAnsiTheme="minorEastAsia" w:eastAsiaTheme="minorEastAsia" w:cstheme="minorEastAsia"/>
          <w:bCs/>
          <w:color w:val="auto"/>
          <w:sz w:val="24"/>
          <w:szCs w:val="22"/>
          <w:highlight w:val="none"/>
        </w:rPr>
        <w:t>的</w:t>
      </w:r>
      <w:r>
        <w:rPr>
          <w:rFonts w:hint="eastAsia" w:asciiTheme="minorEastAsia" w:hAnsiTheme="minorEastAsia" w:eastAsiaTheme="minorEastAsia" w:cstheme="minorEastAsia"/>
          <w:bCs/>
          <w:color w:val="auto"/>
          <w:sz w:val="24"/>
          <w:szCs w:val="22"/>
          <w:highlight w:val="none"/>
          <w:lang w:eastAsia="zh-CN"/>
        </w:rPr>
        <w:t>范围及明细</w:t>
      </w:r>
      <w:r>
        <w:rPr>
          <w:rFonts w:hint="eastAsia" w:asciiTheme="minorEastAsia" w:hAnsiTheme="minorEastAsia" w:eastAsiaTheme="minorEastAsia" w:cstheme="minorEastAsia"/>
          <w:bCs/>
          <w:color w:val="auto"/>
          <w:sz w:val="24"/>
          <w:szCs w:val="22"/>
          <w:highlight w:val="none"/>
        </w:rPr>
        <w:t>，并在投标商务部分</w:t>
      </w:r>
      <w:r>
        <w:rPr>
          <w:rFonts w:hint="eastAsia" w:asciiTheme="minorEastAsia" w:hAnsiTheme="minorEastAsia" w:eastAsiaTheme="minorEastAsia" w:cstheme="minorEastAsia"/>
          <w:bCs/>
          <w:color w:val="auto"/>
          <w:sz w:val="24"/>
          <w:szCs w:val="22"/>
          <w:highlight w:val="none"/>
          <w:lang w:eastAsia="zh-CN"/>
        </w:rPr>
        <w:t>（或报价部分）</w:t>
      </w:r>
      <w:r>
        <w:rPr>
          <w:rFonts w:hint="eastAsia" w:asciiTheme="minorEastAsia" w:hAnsiTheme="minorEastAsia" w:eastAsiaTheme="minorEastAsia" w:cstheme="minorEastAsia"/>
          <w:bCs/>
          <w:color w:val="auto"/>
          <w:sz w:val="24"/>
          <w:szCs w:val="22"/>
          <w:highlight w:val="none"/>
        </w:rPr>
        <w:t>按</w:t>
      </w:r>
      <w:r>
        <w:rPr>
          <w:rFonts w:hint="eastAsia" w:asciiTheme="minorEastAsia" w:hAnsiTheme="minorEastAsia" w:eastAsiaTheme="minorEastAsia" w:cstheme="minorEastAsia"/>
          <w:bCs/>
          <w:color w:val="auto"/>
          <w:sz w:val="24"/>
          <w:szCs w:val="22"/>
          <w:highlight w:val="none"/>
          <w:lang w:eastAsia="zh-CN"/>
        </w:rPr>
        <w:t>此范围及明细</w:t>
      </w:r>
      <w:r>
        <w:rPr>
          <w:rFonts w:hint="eastAsia" w:asciiTheme="minorEastAsia" w:hAnsiTheme="minorEastAsia" w:eastAsiaTheme="minorEastAsia" w:cstheme="minorEastAsia"/>
          <w:bCs/>
          <w:color w:val="auto"/>
          <w:sz w:val="24"/>
          <w:szCs w:val="22"/>
          <w:highlight w:val="none"/>
        </w:rPr>
        <w:t>进行</w:t>
      </w:r>
      <w:r>
        <w:rPr>
          <w:rFonts w:hint="eastAsia" w:asciiTheme="minorEastAsia" w:hAnsiTheme="minorEastAsia" w:eastAsiaTheme="minorEastAsia" w:cstheme="minorEastAsia"/>
          <w:bCs/>
          <w:color w:val="auto"/>
          <w:sz w:val="24"/>
          <w:szCs w:val="22"/>
          <w:highlight w:val="none"/>
          <w:lang w:eastAsia="zh-CN"/>
        </w:rPr>
        <w:t>分项</w:t>
      </w:r>
      <w:r>
        <w:rPr>
          <w:rFonts w:hint="eastAsia" w:asciiTheme="minorEastAsia" w:hAnsiTheme="minorEastAsia" w:eastAsiaTheme="minorEastAsia" w:cstheme="minorEastAsia"/>
          <w:bCs/>
          <w:color w:val="auto"/>
          <w:sz w:val="24"/>
          <w:szCs w:val="22"/>
          <w:highlight w:val="none"/>
        </w:rPr>
        <w:t>报价，如发现</w:t>
      </w:r>
      <w:r>
        <w:rPr>
          <w:rFonts w:hint="eastAsia" w:asciiTheme="minorEastAsia" w:hAnsiTheme="minorEastAsia" w:eastAsiaTheme="minorEastAsia" w:cstheme="minorEastAsia"/>
          <w:bCs/>
          <w:color w:val="auto"/>
          <w:sz w:val="24"/>
          <w:szCs w:val="22"/>
          <w:highlight w:val="none"/>
          <w:lang w:eastAsia="zh-CN"/>
        </w:rPr>
        <w:t>总报价与分项报价</w:t>
      </w:r>
      <w:r>
        <w:rPr>
          <w:rFonts w:hint="eastAsia" w:asciiTheme="minorEastAsia" w:hAnsiTheme="minorEastAsia" w:eastAsiaTheme="minorEastAsia" w:cstheme="minorEastAsia"/>
          <w:bCs/>
          <w:color w:val="auto"/>
          <w:sz w:val="24"/>
          <w:szCs w:val="22"/>
          <w:highlight w:val="none"/>
        </w:rPr>
        <w:t>有矛盾之处，将按有利于招标方的条款执</w:t>
      </w:r>
      <w:r>
        <w:rPr>
          <w:rFonts w:hint="eastAsia" w:asciiTheme="minorEastAsia" w:hAnsiTheme="minorEastAsia" w:eastAsiaTheme="minorEastAsia" w:cstheme="minorEastAsia"/>
          <w:bCs/>
          <w:color w:val="auto"/>
          <w:sz w:val="24"/>
          <w:szCs w:val="22"/>
          <w:highlight w:val="none"/>
          <w:lang w:eastAsia="zh-CN"/>
        </w:rPr>
        <w:t xml:space="preserve">行。 </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szCs w:val="22"/>
          <w:highlight w:val="none"/>
          <w:lang w:eastAsia="zh-CN"/>
        </w:rPr>
      </w:pPr>
      <w:r>
        <w:rPr>
          <w:rFonts w:hint="eastAsia" w:asciiTheme="minorEastAsia" w:hAnsiTheme="minorEastAsia" w:eastAsiaTheme="minorEastAsia" w:cstheme="minorEastAsia"/>
          <w:bCs/>
          <w:color w:val="auto"/>
          <w:sz w:val="24"/>
          <w:szCs w:val="22"/>
          <w:highlight w:val="none"/>
          <w:lang w:eastAsia="zh-CN"/>
        </w:rPr>
        <w:t>投标方必须仔细阅读采购文件的全部条款，并作出明确响应。如采购文件带“★”号的条款及要求，报价方必须满足，若有一项不满足将可能导致废标。</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szCs w:val="22"/>
          <w:highlight w:val="none"/>
        </w:rPr>
      </w:pPr>
      <w:r>
        <w:rPr>
          <w:rFonts w:hint="eastAsia" w:asciiTheme="minorEastAsia" w:hAnsiTheme="minorEastAsia" w:eastAsiaTheme="minorEastAsia" w:cstheme="minorEastAsia"/>
          <w:bCs/>
          <w:color w:val="auto"/>
          <w:sz w:val="24"/>
          <w:szCs w:val="22"/>
          <w:highlight w:val="none"/>
        </w:rPr>
        <w:t>本技术规范书经买、卖双方确认后作为订货合同的技术附件，与合同正文具有同等的法律效力。</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szCs w:val="22"/>
          <w:highlight w:val="none"/>
        </w:rPr>
      </w:pPr>
      <w:r>
        <w:rPr>
          <w:rFonts w:hint="eastAsia" w:asciiTheme="minorEastAsia" w:hAnsiTheme="minorEastAsia" w:eastAsiaTheme="minorEastAsia" w:cstheme="minorEastAsia"/>
          <w:bCs/>
          <w:color w:val="auto"/>
          <w:sz w:val="24"/>
          <w:szCs w:val="22"/>
          <w:highlight w:val="none"/>
        </w:rPr>
        <w:t>本技术规范书未尽事宜，由买、卖双方协商确定。</w:t>
      </w:r>
    </w:p>
    <w:p>
      <w:pPr>
        <w:keepNext w:val="0"/>
        <w:keepLines w:val="0"/>
        <w:pageBreakBefore w:val="0"/>
        <w:numPr>
          <w:ilvl w:val="0"/>
          <w:numId w:val="2"/>
        </w:numPr>
        <w:kinsoku/>
        <w:wordWrap/>
        <w:overflowPunct/>
        <w:topLinePunct w:val="0"/>
        <w:bidi w:val="0"/>
        <w:spacing w:line="360" w:lineRule="auto"/>
        <w:ind w:left="425" w:leftChars="0" w:hanging="425" w:firstLine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本标书的最终解释权归招标方。</w:t>
      </w:r>
    </w:p>
    <w:p>
      <w:pPr>
        <w:pStyle w:val="24"/>
        <w:keepNext w:val="0"/>
        <w:keepLines w:val="0"/>
        <w:pageBreakBefore w:val="0"/>
        <w:widowControl/>
        <w:kinsoku/>
        <w:wordWrap/>
        <w:overflowPunct/>
        <w:topLinePunct w:val="0"/>
        <w:autoSpaceDE/>
        <w:autoSpaceDN/>
        <w:bidi w:val="0"/>
        <w:adjustRightInd/>
        <w:snapToGrid/>
        <w:spacing w:before="0" w:beforeLines="0"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szCs w:val="22"/>
          <w:highlight w:val="none"/>
          <w:lang w:val="en-US" w:eastAsia="zh-CN"/>
        </w:rPr>
      </w:pPr>
      <w:r>
        <w:rPr>
          <w:rFonts w:hint="eastAsia" w:asciiTheme="minorEastAsia" w:hAnsiTheme="minorEastAsia" w:eastAsiaTheme="minorEastAsia" w:cstheme="minorEastAsia"/>
          <w:szCs w:val="22"/>
          <w:highlight w:val="none"/>
          <w:lang w:val="en-US" w:eastAsia="zh-CN"/>
        </w:rPr>
        <w:br w:type="page"/>
      </w:r>
    </w:p>
    <w:p>
      <w:pPr>
        <w:pStyle w:val="24"/>
        <w:keepNext w:val="0"/>
        <w:keepLines w:val="0"/>
        <w:pageBreakBefore w:val="0"/>
        <w:widowControl/>
        <w:kinsoku/>
        <w:wordWrap/>
        <w:overflowPunct/>
        <w:topLinePunct w:val="0"/>
        <w:autoSpaceDE/>
        <w:autoSpaceDN/>
        <w:bidi w:val="0"/>
        <w:adjustRightInd/>
        <w:snapToGrid/>
        <w:spacing w:before="0" w:beforeLines="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8"/>
          <w:szCs w:val="28"/>
          <w:highlight w:val="none"/>
          <w:lang w:val="en-US" w:eastAsia="zh-CN"/>
        </w:rPr>
      </w:pPr>
      <w:bookmarkStart w:id="11" w:name="_Toc28046"/>
      <w:r>
        <w:rPr>
          <w:rFonts w:hint="eastAsia" w:asciiTheme="minorEastAsia" w:hAnsiTheme="minorEastAsia" w:eastAsiaTheme="minorEastAsia" w:cstheme="minorEastAsia"/>
          <w:sz w:val="28"/>
          <w:szCs w:val="28"/>
          <w:highlight w:val="none"/>
          <w:lang w:val="en-US" w:eastAsia="zh-CN"/>
        </w:rPr>
        <w:t>1  标的概况</w:t>
      </w:r>
      <w:bookmarkEnd w:id="11"/>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sz w:val="24"/>
          <w:szCs w:val="24"/>
          <w:highlight w:val="none"/>
          <w:u w:val="none"/>
        </w:rPr>
      </w:pPr>
      <w:bookmarkStart w:id="12" w:name="_Toc22920"/>
      <w:bookmarkStart w:id="13" w:name="_Toc17081"/>
      <w:r>
        <w:rPr>
          <w:rFonts w:hint="eastAsia" w:asciiTheme="minorEastAsia" w:hAnsiTheme="minorEastAsia" w:eastAsiaTheme="minorEastAsia" w:cstheme="minorEastAsia"/>
          <w:color w:val="000000"/>
          <w:sz w:val="24"/>
          <w:szCs w:val="24"/>
          <w:highlight w:val="none"/>
          <w:u w:val="none"/>
        </w:rPr>
        <w:t>标的名称：</w:t>
      </w:r>
      <w:bookmarkEnd w:id="12"/>
      <w:bookmarkEnd w:id="13"/>
      <w:r>
        <w:rPr>
          <w:rFonts w:hint="eastAsia" w:asciiTheme="minorEastAsia" w:hAnsiTheme="minorEastAsia" w:eastAsiaTheme="minorEastAsia" w:cstheme="minorEastAsia"/>
          <w:color w:val="000000"/>
          <w:sz w:val="24"/>
          <w:szCs w:val="24"/>
          <w:highlight w:val="none"/>
          <w:u w:val="none"/>
        </w:rPr>
        <w:t>全流程电子化会计档案管理模式深化应用研究与实践</w:t>
      </w:r>
    </w:p>
    <w:p>
      <w:pPr>
        <w:pStyle w:val="24"/>
        <w:keepNext w:val="0"/>
        <w:keepLines w:val="0"/>
        <w:pageBreakBefore w:val="0"/>
        <w:widowControl/>
        <w:kinsoku/>
        <w:wordWrap/>
        <w:overflowPunct/>
        <w:topLinePunct w:val="0"/>
        <w:autoSpaceDE/>
        <w:autoSpaceDN/>
        <w:bidi w:val="0"/>
        <w:adjustRightInd/>
        <w:snapToGrid/>
        <w:spacing w:before="0" w:beforeLines="0" w:line="360" w:lineRule="auto"/>
        <w:ind w:left="0" w:leftChars="0"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bookmarkStart w:id="14" w:name="_Toc21588"/>
      <w:r>
        <w:rPr>
          <w:rFonts w:hint="eastAsia" w:asciiTheme="minorEastAsia" w:hAnsiTheme="minorEastAsia" w:eastAsiaTheme="minorEastAsia" w:cstheme="minorEastAsia"/>
          <w:b w:val="0"/>
          <w:color w:val="000000"/>
          <w:kern w:val="2"/>
          <w:sz w:val="24"/>
          <w:szCs w:val="24"/>
          <w:highlight w:val="none"/>
          <w:u w:val="none"/>
          <w:lang w:val="en-US" w:eastAsia="zh-CN" w:bidi="ar-SA"/>
        </w:rPr>
        <w:t>构建与公司发展战略、财务数字化发展相匹配的具有创新性的电子会计档案管理体系，充分利用新平台、新技术实现电子会计档案全流程线上智能化管理，推动电子会计档案单套管理赋能企业价值创造，实现降本增效、基层减负、绿色低碳，力争成为全国首个全面实现电子会计档案单套管理的标杆企业，</w:t>
      </w:r>
      <w:bookmarkStart w:id="15" w:name="_Hlk160354199"/>
      <w:r>
        <w:rPr>
          <w:rFonts w:hint="eastAsia" w:asciiTheme="minorEastAsia" w:hAnsiTheme="minorEastAsia" w:eastAsiaTheme="minorEastAsia" w:cstheme="minorEastAsia"/>
          <w:b w:val="0"/>
          <w:color w:val="000000"/>
          <w:kern w:val="2"/>
          <w:sz w:val="24"/>
          <w:szCs w:val="24"/>
          <w:highlight w:val="none"/>
          <w:u w:val="none"/>
          <w:lang w:val="en-US" w:eastAsia="zh-CN" w:bidi="ar-SA"/>
        </w:rPr>
        <w:t>创建广东数字档案建设示范单位</w:t>
      </w:r>
      <w:bookmarkEnd w:id="15"/>
      <w:r>
        <w:rPr>
          <w:rFonts w:hint="eastAsia" w:asciiTheme="minorEastAsia" w:hAnsiTheme="minorEastAsia" w:eastAsiaTheme="minorEastAsia" w:cstheme="minorEastAsia"/>
          <w:b w:val="0"/>
          <w:color w:val="000000"/>
          <w:kern w:val="2"/>
          <w:sz w:val="24"/>
          <w:szCs w:val="24"/>
          <w:highlight w:val="none"/>
          <w:u w:val="none"/>
          <w:lang w:val="en-US" w:eastAsia="zh-CN" w:bidi="ar-SA"/>
        </w:rPr>
        <w:t>。主要解决的问题包括：</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1）实现会计电子档案“从纸质化到无纸化”、“从零到有”的突破，解决纸质档案在收集、整理、移交、保管、借阅、鉴定销毁等环节存在的管理难点和问题，推动打造与世界一流企业相匹配的行业先进标杆，助力南网加快建设世界一流电网企业。</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（2）促进业务部门重新审视各自负责领域的全业务链路，实现数据共享互通，为业务处理全流程智能化夯实基础，加快推动公司数字化转型，将国家和公司战略部署落实到具体工作实践。</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 xml:space="preserve">（3）大幅提升财务信息管理效率，切实为基层减负，显著减少纸张浪费，节省存储物理空间，以创新赋能环保节约办企理念，服务国家绿色低碳发展目标。     </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（4）力争成为全国首个全面实现电子会计档案单套管理的标杆企业，创建广东数字档案建设示范单位。</w:t>
      </w:r>
    </w:p>
    <w:p>
      <w:pPr>
        <w:pStyle w:val="24"/>
        <w:keepNext w:val="0"/>
        <w:keepLines w:val="0"/>
        <w:pageBreakBefore w:val="0"/>
        <w:widowControl/>
        <w:kinsoku/>
        <w:wordWrap/>
        <w:overflowPunct/>
        <w:topLinePunct w:val="0"/>
        <w:autoSpaceDE/>
        <w:autoSpaceDN/>
        <w:bidi w:val="0"/>
        <w:adjustRightInd/>
        <w:snapToGrid/>
        <w:spacing w:before="0" w:beforeLines="0" w:line="360" w:lineRule="auto"/>
        <w:ind w:left="0" w:leftChars="0"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p>
    <w:p>
      <w:pPr>
        <w:pStyle w:val="24"/>
        <w:keepNext w:val="0"/>
        <w:keepLines w:val="0"/>
        <w:pageBreakBefore w:val="0"/>
        <w:widowControl/>
        <w:kinsoku/>
        <w:wordWrap/>
        <w:overflowPunct/>
        <w:topLinePunct w:val="0"/>
        <w:autoSpaceDE/>
        <w:autoSpaceDN/>
        <w:bidi w:val="0"/>
        <w:adjustRightInd/>
        <w:snapToGrid/>
        <w:spacing w:before="313" w:beforeLines="100" w:line="240" w:lineRule="auto"/>
        <w:ind w:left="0" w:leftChars="0" w:right="0" w:rightChars="0" w:firstLine="0" w:firstLineChars="0"/>
        <w:jc w:val="left"/>
        <w:textAlignment w:val="auto"/>
        <w:outlineLvl w:val="0"/>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2  服务内容及</w:t>
      </w:r>
      <w:r>
        <w:rPr>
          <w:rFonts w:hint="eastAsia" w:asciiTheme="minorEastAsia" w:hAnsiTheme="minorEastAsia" w:eastAsiaTheme="minorEastAsia" w:cstheme="minorEastAsia"/>
          <w:b/>
          <w:bCs/>
          <w:sz w:val="28"/>
          <w:szCs w:val="28"/>
          <w:highlight w:val="none"/>
          <w:lang w:val="en-US" w:eastAsia="zh-CN"/>
        </w:rPr>
        <w:t>项目</w:t>
      </w:r>
      <w:r>
        <w:rPr>
          <w:rFonts w:hint="eastAsia" w:asciiTheme="minorEastAsia" w:hAnsiTheme="minorEastAsia" w:cstheme="minorEastAsia"/>
          <w:b/>
          <w:bCs/>
          <w:sz w:val="28"/>
          <w:szCs w:val="28"/>
          <w:highlight w:val="none"/>
          <w:lang w:val="en-US" w:eastAsia="zh-CN"/>
        </w:rPr>
        <w:t>建设地点要求</w:t>
      </w:r>
      <w:bookmarkEnd w:id="1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b w:val="0"/>
          <w:bCs w:val="0"/>
          <w:color w:val="auto"/>
          <w:kern w:val="2"/>
          <w:sz w:val="24"/>
          <w:szCs w:val="24"/>
          <w:highlight w:val="none"/>
          <w:lang w:val="en-US" w:eastAsia="zh-CN" w:bidi="ar-SA"/>
        </w:rPr>
        <w:t>2.1服务内容</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（1）完善管理制度及标准规范</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全面梳理法律法规对电子会计档案单套管理要求，从管理制度、技术和工作规范等方面梳理电子会计档案单套管理相关的管理制度及标准规范体系，结合省档案局、省财政厅以及国家权威专家的指导意见，明确需修订的制度规范清单并完成修订。</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（2）推进附件全面电子化进程</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逐步解决未能实现单套管理的业务附件，重点推动办公后勤、项目建设业务数字化进程，解决业务量大管理困难问题，以电子会计档案单套管理推动业务数字化转型。丰富优化计财域“附件库”表单种类及内容，并全面应用，满足非业务系统形成的线下表单线上电子填报和流程化审批。</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（3）加强电子签章全周期管理</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电子签章的应用是档案单套制管理中的重要组成部分，以单套创新为契机，进一步加强电子签章管理，以大范围应用为前提探索电子签章管理与实体印章共存的管理模式，明确电子签章申请、启用、换发、统计、废止和销毁的全生命周期管理要求，规范使用，安全可追溯，实现提质增效。</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（4）深度挖掘电子档案数据价值</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创新研究电子会计档案管理模式下的智能化应用路径，为公司战略决策、经营分析提供电子档案数据价值支持，为实务工作分析等场景发挥出电子档案最大的数据价值，如：完善财务知识图谱、智能客服为员工服务；构建智慧风控机制，保障经营管理合规合法。</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（5）持续融合电子凭证深化试点工作</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总结前期电子凭证深化试点工作成功经验，持续挖掘电子凭证在自动化、合规性方面助力财务管理提升的应用价值和成效，全面推广电子凭证的接收、解析、报销、入账和归档全流程应用，持续结合单套进程同步优化系统功能。同时推进全省各单位向主管税务机关完成授权申请、授信额度、开票人权限等信息配置，编写开具指引手册，持续扩大数电票开具范围。</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（6）打造单套样本，争创示范标杆</w:t>
      </w:r>
    </w:p>
    <w:p>
      <w:pPr>
        <w:pStyle w:val="24"/>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left"/>
        <w:textAlignment w:val="auto"/>
        <w:outlineLvl w:val="0"/>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逐步在广东电网全省全级次单位实施单套管理，总结可复制可推广经验，报送南方电网公司，为全网推广电子会计档案单套管理提供可复用的实践经验。积极向省财厅、省档案局申报先进案例，为广东省档案管理提供先进经验，创省级数字档案示范单位；积极向国家财政部、国家档案局汇报项目成果和经验，争创全国标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黑体" w:hAnsi="黑体" w:eastAsia="黑体" w:cs="黑体"/>
          <w:b w:val="0"/>
          <w:bCs w:val="0"/>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highlight w:val="none"/>
          <w:lang w:val="en-US" w:eastAsia="zh-CN"/>
        </w:rPr>
      </w:pPr>
      <w:r>
        <w:rPr>
          <w:rFonts w:hint="eastAsia" w:ascii="黑体" w:hAnsi="黑体" w:eastAsia="黑体" w:cs="黑体"/>
          <w:b w:val="0"/>
          <w:bCs w:val="0"/>
          <w:color w:val="auto"/>
          <w:kern w:val="2"/>
          <w:sz w:val="24"/>
          <w:szCs w:val="24"/>
          <w:highlight w:val="none"/>
          <w:lang w:val="en-US" w:eastAsia="zh-CN" w:bidi="ar-SA"/>
        </w:rPr>
        <w:t>2.1服务地点</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highlight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项目建设地点在广东电网有限责任公司本部</w:t>
      </w:r>
      <w:r>
        <w:rPr>
          <w:rFonts w:hint="eastAsia" w:asciiTheme="minorEastAsia" w:hAnsiTheme="minorEastAsia" w:eastAsiaTheme="minorEastAsia" w:cstheme="minorEastAsia"/>
          <w:sz w:val="28"/>
          <w:szCs w:val="28"/>
          <w:highlight w:val="none"/>
          <w:lang w:val="en-US" w:eastAsia="zh-CN"/>
        </w:rPr>
        <w:t xml:space="preserve"> </w:t>
      </w:r>
    </w:p>
    <w:p>
      <w:pPr>
        <w:pStyle w:val="24"/>
        <w:keepNext w:val="0"/>
        <w:keepLines w:val="0"/>
        <w:pageBreakBefore w:val="0"/>
        <w:widowControl/>
        <w:kinsoku/>
        <w:wordWrap/>
        <w:overflowPunct/>
        <w:topLinePunct w:val="0"/>
        <w:autoSpaceDE/>
        <w:autoSpaceDN/>
        <w:bidi w:val="0"/>
        <w:adjustRightInd/>
        <w:snapToGrid/>
        <w:spacing w:before="313" w:beforeLines="10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8"/>
          <w:szCs w:val="28"/>
          <w:highlight w:val="none"/>
          <w:lang w:val="en-US" w:eastAsia="zh-CN"/>
        </w:rPr>
      </w:pPr>
      <w:bookmarkStart w:id="16" w:name="_Toc5053"/>
      <w:r>
        <w:rPr>
          <w:rFonts w:hint="eastAsia" w:asciiTheme="minorEastAsia" w:hAnsiTheme="minorEastAsia" w:eastAsiaTheme="minorEastAsia" w:cstheme="minorEastAsia"/>
          <w:sz w:val="28"/>
          <w:szCs w:val="28"/>
          <w:highlight w:val="none"/>
          <w:lang w:val="en-US" w:eastAsia="zh-CN"/>
        </w:rPr>
        <w:t>3  主要技术要求</w:t>
      </w:r>
      <w:bookmark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Theme="minorEastAsia" w:hAnsiTheme="minorEastAsia" w:eastAsiaTheme="minorEastAsia" w:cstheme="minorEastAsia"/>
          <w:color w:val="000000"/>
          <w:sz w:val="24"/>
          <w:szCs w:val="24"/>
          <w:highlight w:val="none"/>
          <w:u w:val="none"/>
          <w:lang w:val="en-US" w:eastAsia="zh-CN"/>
        </w:rPr>
      </w:pPr>
      <w:bookmarkStart w:id="17" w:name="_Toc449"/>
      <w:bookmarkStart w:id="18" w:name="_Toc32171"/>
      <w:r>
        <w:rPr>
          <w:rFonts w:hint="eastAsia" w:ascii="黑体" w:hAnsi="黑体" w:eastAsia="黑体" w:cs="黑体"/>
          <w:b w:val="0"/>
          <w:bCs w:val="0"/>
          <w:color w:val="auto"/>
          <w:kern w:val="2"/>
          <w:sz w:val="24"/>
          <w:szCs w:val="24"/>
          <w:highlight w:val="none"/>
          <w:lang w:val="en-US" w:eastAsia="zh-CN" w:bidi="ar-SA"/>
        </w:rPr>
        <w:t>3.1 人员组织要求</w:t>
      </w:r>
      <w:bookmarkEnd w:id="17"/>
      <w:bookmarkEnd w:id="18"/>
      <w:bookmarkStart w:id="19" w:name="_Toc3220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bookmarkStart w:id="20" w:name="_Toc23720"/>
      <w:r>
        <w:rPr>
          <w:rFonts w:hint="eastAsia" w:asciiTheme="minorEastAsia" w:hAnsiTheme="minorEastAsia" w:eastAsiaTheme="minorEastAsia" w:cstheme="minorEastAsia"/>
          <w:color w:val="000000"/>
          <w:sz w:val="24"/>
          <w:szCs w:val="24"/>
          <w:highlight w:val="none"/>
          <w:u w:val="none"/>
          <w:lang w:val="en-US" w:eastAsia="zh-CN"/>
        </w:rPr>
        <w:t>（1）根据项目需求，建立相应组织机构，明确职责分工。</w:t>
      </w:r>
    </w:p>
    <w:p>
      <w:pPr>
        <w:pStyle w:val="27"/>
        <w:rPr>
          <w:rFonts w:hint="default" w:ascii="仿宋_GB2312" w:hAnsi="Times New Roman" w:eastAsia="仿宋_GB2312" w:cs="仿宋_GB2312"/>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 xml:space="preserve">    （2）根据项目需求，投入充足的人员，并派驻部分人员提供现场服务。</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0" w:firstLineChars="0"/>
        <w:jc w:val="both"/>
        <w:textAlignment w:val="auto"/>
        <w:outlineLvl w:val="1"/>
        <w:rPr>
          <w:rFonts w:hint="eastAsia" w:ascii="黑体" w:hAnsi="黑体" w:eastAsia="黑体" w:cs="黑体"/>
          <w:color w:val="000000"/>
          <w:sz w:val="24"/>
          <w:szCs w:val="24"/>
          <w:highlight w:val="none"/>
          <w:u w:val="none"/>
          <w:lang w:val="en-US" w:eastAsia="zh-CN"/>
        </w:rPr>
      </w:pPr>
      <w:r>
        <w:rPr>
          <w:rFonts w:hint="eastAsia" w:ascii="黑体" w:hAnsi="黑体" w:eastAsia="黑体" w:cs="黑体"/>
          <w:color w:val="000000"/>
          <w:sz w:val="24"/>
          <w:szCs w:val="24"/>
          <w:highlight w:val="none"/>
          <w:u w:val="none"/>
          <w:lang w:val="en-US" w:eastAsia="zh-CN"/>
        </w:rPr>
        <w:t>3.2 技术支撑能力要求</w:t>
      </w:r>
      <w:bookmarkEnd w:id="19"/>
      <w:bookmarkEnd w:id="20"/>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3.2.1项目经验</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公司具有企业档案管理项目咨询经验。</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3.2.2人员支撑能力</w:t>
      </w:r>
    </w:p>
    <w:p>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项目负责人具有企业档案管理项目咨询经验，且具有高级职称、国际注册咨询师（CMC）、项目管理师（PMP/IPMP）其中一项；</w:t>
      </w:r>
    </w:p>
    <w:p>
      <w:pPr>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highlight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（2）项目人员具有企业档案管理咨询经验，对电网业务有一定的了解。</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0" w:firstLineChars="0"/>
        <w:jc w:val="both"/>
        <w:textAlignment w:val="auto"/>
        <w:outlineLvl w:val="1"/>
        <w:rPr>
          <w:rFonts w:hint="eastAsia" w:ascii="黑体" w:hAnsi="黑体" w:eastAsia="黑体" w:cs="黑体"/>
          <w:color w:val="000000"/>
          <w:sz w:val="24"/>
          <w:szCs w:val="24"/>
          <w:highlight w:val="none"/>
          <w:u w:val="none"/>
          <w:lang w:val="en-US" w:eastAsia="zh-CN"/>
        </w:rPr>
      </w:pPr>
      <w:bookmarkStart w:id="21" w:name="_Toc14853"/>
      <w:bookmarkStart w:id="22" w:name="_Toc8200"/>
      <w:r>
        <w:rPr>
          <w:rFonts w:hint="eastAsia" w:ascii="黑体" w:hAnsi="黑体" w:eastAsia="黑体" w:cs="黑体"/>
          <w:color w:val="000000"/>
          <w:sz w:val="24"/>
          <w:szCs w:val="24"/>
          <w:highlight w:val="none"/>
          <w:u w:val="none"/>
          <w:lang w:val="en-US" w:eastAsia="zh-CN"/>
        </w:rPr>
        <w:t>3.3 转包及分包要求</w:t>
      </w:r>
      <w:bookmarkEnd w:id="21"/>
      <w:bookmarkEnd w:id="2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bookmarkStart w:id="23" w:name="_Toc22206"/>
      <w:r>
        <w:rPr>
          <w:rFonts w:hint="eastAsia" w:asciiTheme="minorEastAsia" w:hAnsiTheme="minorEastAsia" w:eastAsiaTheme="minorEastAsia" w:cstheme="minorEastAsia"/>
          <w:color w:val="000000"/>
          <w:sz w:val="24"/>
          <w:szCs w:val="24"/>
          <w:highlight w:val="none"/>
          <w:u w:val="none"/>
          <w:lang w:val="en-US" w:eastAsia="zh-CN"/>
        </w:rPr>
        <w:t>投标方不得将中标项目转包、分包，否则甲方有权单方终止合同，由此产生的一切经济损失由投标方自行承担。</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0" w:firstLineChars="0"/>
        <w:jc w:val="both"/>
        <w:textAlignment w:val="auto"/>
        <w:outlineLvl w:val="1"/>
        <w:rPr>
          <w:rFonts w:hint="eastAsia" w:ascii="黑体" w:hAnsi="黑体" w:eastAsia="黑体" w:cs="黑体"/>
          <w:color w:val="000000"/>
          <w:sz w:val="24"/>
          <w:szCs w:val="24"/>
          <w:highlight w:val="none"/>
          <w:u w:val="none"/>
          <w:lang w:val="en-US" w:eastAsia="zh-CN"/>
        </w:rPr>
      </w:pPr>
      <w:bookmarkStart w:id="24" w:name="_Toc20702"/>
      <w:r>
        <w:rPr>
          <w:rFonts w:hint="eastAsia" w:ascii="黑体" w:hAnsi="黑体" w:eastAsia="黑体" w:cs="黑体"/>
          <w:color w:val="000000"/>
          <w:sz w:val="24"/>
          <w:szCs w:val="24"/>
          <w:highlight w:val="none"/>
          <w:u w:val="none"/>
          <w:lang w:val="en-US" w:eastAsia="zh-CN"/>
        </w:rPr>
        <w:t>3.4 信息保密要求</w:t>
      </w:r>
      <w:bookmarkEnd w:id="23"/>
      <w:bookmarkEnd w:id="24"/>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bookmarkStart w:id="25" w:name="_Toc14026"/>
      <w:r>
        <w:rPr>
          <w:rFonts w:hint="eastAsia" w:asciiTheme="minorEastAsia" w:hAnsiTheme="minorEastAsia" w:eastAsiaTheme="minorEastAsia" w:cstheme="minorEastAsia"/>
          <w:color w:val="000000"/>
          <w:sz w:val="24"/>
          <w:szCs w:val="24"/>
          <w:highlight w:val="none"/>
          <w:u w:val="none"/>
          <w:lang w:val="en-US" w:eastAsia="zh-CN"/>
        </w:rPr>
        <w:t>服务过程中出现违反档案安全保密事件，中标方承担经济、民事及刑事法律责任。</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0" w:firstLineChars="0"/>
        <w:jc w:val="both"/>
        <w:textAlignment w:val="auto"/>
        <w:outlineLvl w:val="1"/>
        <w:rPr>
          <w:rFonts w:hint="eastAsia" w:ascii="黑体" w:hAnsi="黑体" w:eastAsia="黑体" w:cs="黑体"/>
          <w:color w:val="000000"/>
          <w:sz w:val="24"/>
          <w:szCs w:val="24"/>
          <w:highlight w:val="none"/>
          <w:u w:val="none"/>
          <w:lang w:val="en-US" w:eastAsia="zh-CN"/>
        </w:rPr>
      </w:pPr>
      <w:bookmarkStart w:id="26" w:name="_Toc10223"/>
      <w:r>
        <w:rPr>
          <w:rFonts w:hint="eastAsia" w:ascii="黑体" w:hAnsi="黑体" w:eastAsia="黑体" w:cs="黑体"/>
          <w:color w:val="000000"/>
          <w:sz w:val="24"/>
          <w:szCs w:val="24"/>
          <w:highlight w:val="none"/>
          <w:u w:val="none"/>
          <w:lang w:val="en-US" w:eastAsia="zh-CN"/>
        </w:rPr>
        <w:t>3.5 技术支持与售后服务</w:t>
      </w:r>
      <w:bookmarkEnd w:id="25"/>
      <w:bookmarkEnd w:id="2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8"/>
          <w:szCs w:val="28"/>
          <w:highlight w:val="none"/>
          <w:lang w:val="en-US" w:eastAsia="zh-CN"/>
        </w:rPr>
      </w:pPr>
      <w:bookmarkStart w:id="27" w:name="_Toc266713650"/>
      <w:r>
        <w:rPr>
          <w:rFonts w:hint="eastAsia" w:asciiTheme="minorEastAsia" w:hAnsiTheme="minorEastAsia" w:eastAsiaTheme="minorEastAsia" w:cstheme="minorEastAsia"/>
          <w:color w:val="000000"/>
          <w:sz w:val="24"/>
          <w:szCs w:val="24"/>
          <w:highlight w:val="none"/>
          <w:u w:val="none"/>
          <w:lang w:val="en-US" w:eastAsia="zh-CN"/>
        </w:rPr>
        <w:t>中标方</w:t>
      </w:r>
      <w:r>
        <w:rPr>
          <w:rFonts w:hint="eastAsia" w:asciiTheme="minorEastAsia" w:hAnsiTheme="minorEastAsia" w:eastAsiaTheme="minorEastAsia" w:cstheme="minorEastAsia"/>
          <w:color w:val="000000"/>
          <w:sz w:val="24"/>
          <w:szCs w:val="24"/>
          <w:highlight w:val="none"/>
          <w:u w:val="none"/>
          <w:lang w:val="en-US" w:eastAsia="zh-TW"/>
        </w:rPr>
        <w:t>须提供从项目整体验收合格之日起，根据咨询成果在应用环节的客观需要，</w:t>
      </w:r>
      <w:bookmarkStart w:id="28" w:name="_Toc4285"/>
      <w:r>
        <w:rPr>
          <w:rFonts w:hint="eastAsia" w:asciiTheme="minorEastAsia" w:hAnsiTheme="minorEastAsia" w:eastAsiaTheme="minorEastAsia" w:cstheme="minorEastAsia"/>
          <w:color w:val="000000"/>
          <w:sz w:val="24"/>
          <w:szCs w:val="24"/>
          <w:highlight w:val="none"/>
          <w:u w:val="none"/>
          <w:lang w:val="en-US" w:eastAsia="zh-CN"/>
        </w:rPr>
        <w:t>提供1年的免费质保期服务，在质保期内须对其实施的项目提供24小时技术支持服务，3个工作日内解决问题。</w:t>
      </w:r>
      <w:bookmarkEnd w:id="28"/>
    </w:p>
    <w:p>
      <w:pPr>
        <w:pStyle w:val="24"/>
        <w:keepNext w:val="0"/>
        <w:keepLines w:val="0"/>
        <w:pageBreakBefore w:val="0"/>
        <w:widowControl/>
        <w:kinsoku/>
        <w:wordWrap/>
        <w:overflowPunct/>
        <w:topLinePunct w:val="0"/>
        <w:autoSpaceDE/>
        <w:autoSpaceDN/>
        <w:bidi w:val="0"/>
        <w:adjustRightInd/>
        <w:snapToGrid/>
        <w:spacing w:before="313" w:beforeLines="10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8"/>
          <w:szCs w:val="28"/>
          <w:highlight w:val="none"/>
          <w:lang w:val="en-US" w:eastAsia="zh-CN"/>
        </w:rPr>
      </w:pPr>
      <w:bookmarkStart w:id="29" w:name="_Toc5808"/>
      <w:r>
        <w:rPr>
          <w:rFonts w:hint="eastAsia" w:asciiTheme="minorEastAsia" w:hAnsiTheme="minorEastAsia" w:eastAsiaTheme="minorEastAsia" w:cstheme="minorEastAsia"/>
          <w:sz w:val="28"/>
          <w:szCs w:val="28"/>
          <w:highlight w:val="none"/>
          <w:lang w:val="en-US" w:eastAsia="zh-CN"/>
        </w:rPr>
        <w:t>4  时间进度要求</w:t>
      </w:r>
      <w:bookmarkEnd w:id="27"/>
      <w:bookmarkEnd w:id="29"/>
    </w:p>
    <w:p>
      <w:pPr>
        <w:pStyle w:val="24"/>
        <w:keepNext w:val="0"/>
        <w:keepLines w:val="0"/>
        <w:pageBreakBefore w:val="0"/>
        <w:widowControl/>
        <w:kinsoku/>
        <w:wordWrap/>
        <w:overflowPunct/>
        <w:topLinePunct w:val="0"/>
        <w:autoSpaceDE/>
        <w:autoSpaceDN/>
        <w:bidi w:val="0"/>
        <w:adjustRightInd/>
        <w:snapToGrid/>
        <w:spacing w:before="313" w:beforeLines="10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color w:val="000000"/>
          <w:kern w:val="2"/>
          <w:sz w:val="24"/>
          <w:szCs w:val="24"/>
          <w:highlight w:val="none"/>
          <w:u w:val="none"/>
          <w:lang w:val="en-US" w:eastAsia="zh-CN" w:bidi="ar-SA"/>
        </w:rPr>
      </w:pPr>
      <w:r>
        <w:rPr>
          <w:rFonts w:hint="eastAsia" w:asciiTheme="minorEastAsia" w:hAnsiTheme="minorEastAsia" w:eastAsiaTheme="minorEastAsia" w:cstheme="minorEastAsia"/>
          <w:b w:val="0"/>
          <w:color w:val="000000"/>
          <w:kern w:val="2"/>
          <w:sz w:val="24"/>
          <w:szCs w:val="24"/>
          <w:highlight w:val="none"/>
          <w:u w:val="none"/>
          <w:lang w:val="en-US" w:eastAsia="zh-CN" w:bidi="ar-SA"/>
        </w:rPr>
        <w:t>服务期限自合同签订之日起至2025年9月30日。</w:t>
      </w:r>
    </w:p>
    <w:tbl>
      <w:tblPr>
        <w:tblStyle w:val="14"/>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2"/>
        <w:gridCol w:w="76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91" w:type="dxa"/>
            <w:gridSpan w:val="2"/>
            <w:tcBorders>
              <w:tl2br w:val="nil"/>
              <w:tr2bl w:val="nil"/>
            </w:tcBorders>
            <w:vAlign w:val="center"/>
          </w:tcPr>
          <w:p>
            <w:pPr>
              <w:adjustRightInd w:val="0"/>
              <w:snapToGrid w:val="0"/>
              <w:jc w:val="center"/>
              <w:textAlignment w:val="center"/>
              <w:rPr>
                <w:rFonts w:ascii="宋体" w:hAnsi="宋体"/>
                <w:b/>
                <w:color w:val="000000"/>
                <w:szCs w:val="21"/>
                <w:highlight w:val="none"/>
              </w:rPr>
            </w:pPr>
            <w:bookmarkStart w:id="36" w:name="_GoBack"/>
            <w:r>
              <w:rPr>
                <w:rFonts w:hint="eastAsia" w:ascii="宋体" w:hAnsi="宋体"/>
                <w:b/>
                <w:color w:val="000000"/>
                <w:szCs w:val="21"/>
                <w:highlight w:val="none"/>
              </w:rPr>
              <w:t>进度计划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762" w:type="dxa"/>
            <w:tcBorders>
              <w:tl2br w:val="nil"/>
              <w:tr2bl w:val="nil"/>
            </w:tcBorders>
            <w:vAlign w:val="center"/>
          </w:tcPr>
          <w:p>
            <w:pPr>
              <w:adjustRightInd w:val="0"/>
              <w:snapToGrid w:val="0"/>
              <w:jc w:val="center"/>
              <w:textAlignment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.1</w:t>
            </w:r>
          </w:p>
        </w:tc>
        <w:tc>
          <w:tcPr>
            <w:tcW w:w="7629"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center"/>
              <w:outlineLvl w:val="9"/>
              <w:rPr>
                <w:rFonts w:ascii="宋体" w:hAnsi="宋体"/>
                <w:b/>
                <w:color w:val="000000"/>
                <w:sz w:val="21"/>
                <w:szCs w:val="21"/>
                <w:highlight w:val="none"/>
              </w:rPr>
            </w:pPr>
            <w:r>
              <w:rPr>
                <w:rFonts w:hint="eastAsia" w:ascii="宋体" w:hAnsi="宋体"/>
                <w:b/>
                <w:color w:val="000000"/>
                <w:sz w:val="21"/>
                <w:szCs w:val="21"/>
                <w:highlight w:val="none"/>
              </w:rPr>
              <w:t>[</w:t>
            </w:r>
            <w:r>
              <w:rPr>
                <w:rFonts w:hint="eastAsia" w:ascii="宋体" w:hAnsi="宋体"/>
                <w:b/>
                <w:color w:val="000000"/>
                <w:sz w:val="21"/>
                <w:szCs w:val="21"/>
                <w:highlight w:val="none"/>
                <w:lang w:eastAsia="zh-CN"/>
              </w:rPr>
              <w:t>合同签订之日起</w:t>
            </w:r>
            <w:r>
              <w:rPr>
                <w:rFonts w:hint="eastAsia" w:ascii="宋体" w:hAnsi="宋体"/>
                <w:b/>
                <w:color w:val="000000"/>
                <w:sz w:val="21"/>
                <w:szCs w:val="21"/>
                <w:highlight w:val="none"/>
              </w:rPr>
              <w:t xml:space="preserve"> -</w:t>
            </w:r>
            <w:r>
              <w:rPr>
                <w:rFonts w:ascii="宋体" w:hAnsi="宋体"/>
                <w:b/>
                <w:color w:val="000000"/>
                <w:sz w:val="21"/>
                <w:szCs w:val="21"/>
                <w:highlight w:val="none"/>
              </w:rPr>
              <w:t xml:space="preserve"> </w:t>
            </w:r>
            <w:r>
              <w:rPr>
                <w:rFonts w:hint="eastAsia" w:ascii="宋体" w:hAnsi="宋体"/>
                <w:b/>
                <w:color w:val="000000"/>
                <w:sz w:val="21"/>
                <w:szCs w:val="21"/>
                <w:highlight w:val="none"/>
                <w:lang w:val="en-US" w:eastAsia="zh-CN"/>
              </w:rPr>
              <w:t>2024年10月</w:t>
            </w:r>
            <w:r>
              <w:rPr>
                <w:rFonts w:hint="eastAsia" w:ascii="宋体" w:hAnsi="宋体"/>
                <w:b/>
                <w:color w:val="000000"/>
                <w:sz w:val="21"/>
                <w:szCs w:val="21"/>
                <w:highlight w:val="none"/>
              </w:rPr>
              <w:t>]</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主要内容：</w:t>
            </w:r>
          </w:p>
          <w:p>
            <w:pPr>
              <w:tabs>
                <w:tab w:val="left" w:pos="537"/>
                <w:tab w:val="left" w:pos="763"/>
              </w:tabs>
              <w:adjustRightInd w:val="0"/>
              <w:snapToGrid w:val="0"/>
              <w:jc w:val="left"/>
              <w:textAlignment w:val="center"/>
              <w:rPr>
                <w:rFonts w:ascii="宋体" w:hAnsi="宋体"/>
                <w:color w:val="000000"/>
                <w:szCs w:val="21"/>
                <w:highlight w:val="none"/>
              </w:rPr>
            </w:pPr>
            <w:r>
              <w:rPr>
                <w:rFonts w:hint="eastAsia" w:cs="宋体"/>
                <w:szCs w:val="21"/>
                <w:highlight w:val="none"/>
                <w:lang w:val="en-US" w:eastAsia="zh-CN"/>
              </w:rPr>
              <w:t>分类梳理目前各种会计资料的电子化实现程度和标准化程度，</w:t>
            </w:r>
            <w:r>
              <w:rPr>
                <w:rFonts w:hint="eastAsia" w:cs="宋体"/>
                <w:szCs w:val="21"/>
                <w:highlight w:val="none"/>
              </w:rPr>
              <w:t>编制项目实施方案，明确实施各阶段具体内容、要求及时间节点。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762" w:type="dxa"/>
            <w:tcBorders>
              <w:tl2br w:val="nil"/>
              <w:tr2bl w:val="nil"/>
            </w:tcBorders>
            <w:vAlign w:val="center"/>
          </w:tcPr>
          <w:p>
            <w:pPr>
              <w:widowControl/>
              <w:jc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.2</w:t>
            </w:r>
          </w:p>
        </w:tc>
        <w:tc>
          <w:tcPr>
            <w:tcW w:w="7629"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center"/>
              <w:outlineLvl w:val="9"/>
              <w:rPr>
                <w:rFonts w:ascii="宋体" w:hAnsi="宋体"/>
                <w:b/>
                <w:color w:val="000000"/>
                <w:sz w:val="21"/>
                <w:szCs w:val="21"/>
                <w:highlight w:val="none"/>
              </w:rPr>
            </w:pPr>
            <w:r>
              <w:rPr>
                <w:rFonts w:hint="eastAsia" w:ascii="宋体" w:hAnsi="宋体"/>
                <w:b/>
                <w:color w:val="000000"/>
                <w:sz w:val="21"/>
                <w:szCs w:val="21"/>
                <w:highlight w:val="none"/>
              </w:rPr>
              <w:t>[202</w:t>
            </w:r>
            <w:r>
              <w:rPr>
                <w:rFonts w:hint="eastAsia" w:ascii="宋体" w:hAnsi="宋体"/>
                <w:b/>
                <w:color w:val="000000"/>
                <w:sz w:val="21"/>
                <w:szCs w:val="21"/>
                <w:highlight w:val="none"/>
                <w:lang w:val="en-US" w:eastAsia="zh-CN"/>
              </w:rPr>
              <w:t>4</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10</w:t>
            </w:r>
            <w:r>
              <w:rPr>
                <w:rFonts w:hint="eastAsia" w:ascii="宋体" w:hAnsi="宋体"/>
                <w:b/>
                <w:color w:val="000000"/>
                <w:sz w:val="21"/>
                <w:szCs w:val="21"/>
                <w:highlight w:val="none"/>
              </w:rPr>
              <w:t>月 - 202</w:t>
            </w:r>
            <w:r>
              <w:rPr>
                <w:rFonts w:hint="eastAsia" w:ascii="宋体" w:hAnsi="宋体"/>
                <w:b/>
                <w:color w:val="000000"/>
                <w:sz w:val="21"/>
                <w:szCs w:val="21"/>
                <w:highlight w:val="none"/>
                <w:lang w:val="en-US" w:eastAsia="zh-CN"/>
              </w:rPr>
              <w:t>4</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11</w:t>
            </w:r>
            <w:r>
              <w:rPr>
                <w:rFonts w:hint="eastAsia" w:ascii="宋体" w:hAnsi="宋体"/>
                <w:b/>
                <w:color w:val="000000"/>
                <w:sz w:val="21"/>
                <w:szCs w:val="21"/>
                <w:highlight w:val="none"/>
              </w:rPr>
              <w:t>月 ]</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主要内容：</w:t>
            </w:r>
          </w:p>
          <w:p>
            <w:pPr>
              <w:tabs>
                <w:tab w:val="left" w:pos="537"/>
              </w:tabs>
              <w:adjustRightInd w:val="0"/>
              <w:snapToGrid w:val="0"/>
              <w:jc w:val="left"/>
              <w:textAlignment w:val="center"/>
              <w:rPr>
                <w:rFonts w:ascii="宋体" w:hAnsi="宋体"/>
                <w:bCs/>
                <w:color w:val="000000"/>
                <w:szCs w:val="21"/>
                <w:highlight w:val="none"/>
              </w:rPr>
            </w:pPr>
            <w:r>
              <w:rPr>
                <w:rFonts w:hint="eastAsia" w:ascii="仿宋_GB2312"/>
                <w:color w:val="auto"/>
                <w:sz w:val="21"/>
                <w:szCs w:val="21"/>
                <w:highlight w:val="none"/>
                <w:lang w:val="en-US" w:eastAsia="zh-CN"/>
              </w:rPr>
              <w:t>对公司会计档案管理流程进行规范化梳理，明确需修订的制度规范清单，在梳理及统一标准的过程中明确系统架构建设思路。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762" w:type="dxa"/>
            <w:tcBorders>
              <w:tl2br w:val="nil"/>
              <w:tr2bl w:val="nil"/>
            </w:tcBorders>
            <w:vAlign w:val="center"/>
          </w:tcPr>
          <w:p>
            <w:pPr>
              <w:widowControl/>
              <w:jc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.3</w:t>
            </w:r>
          </w:p>
        </w:tc>
        <w:tc>
          <w:tcPr>
            <w:tcW w:w="7629"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center"/>
              <w:outlineLvl w:val="9"/>
              <w:rPr>
                <w:rFonts w:ascii="宋体" w:hAnsi="宋体"/>
                <w:b/>
                <w:color w:val="000000"/>
                <w:sz w:val="21"/>
                <w:szCs w:val="21"/>
                <w:highlight w:val="none"/>
              </w:rPr>
            </w:pPr>
            <w:r>
              <w:rPr>
                <w:rFonts w:hint="eastAsia" w:ascii="宋体" w:hAnsi="宋体"/>
                <w:b/>
                <w:color w:val="000000"/>
                <w:sz w:val="21"/>
                <w:szCs w:val="21"/>
                <w:highlight w:val="none"/>
              </w:rPr>
              <w:t>[202</w:t>
            </w:r>
            <w:r>
              <w:rPr>
                <w:rFonts w:hint="eastAsia" w:ascii="宋体" w:hAnsi="宋体"/>
                <w:b/>
                <w:color w:val="000000"/>
                <w:sz w:val="21"/>
                <w:szCs w:val="21"/>
                <w:highlight w:val="none"/>
                <w:lang w:val="en-US" w:eastAsia="zh-CN"/>
              </w:rPr>
              <w:t>4</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12</w:t>
            </w:r>
            <w:r>
              <w:rPr>
                <w:rFonts w:hint="eastAsia" w:ascii="宋体" w:hAnsi="宋体"/>
                <w:b/>
                <w:color w:val="000000"/>
                <w:sz w:val="21"/>
                <w:szCs w:val="21"/>
                <w:highlight w:val="none"/>
              </w:rPr>
              <w:t>月 - 202</w:t>
            </w:r>
            <w:r>
              <w:rPr>
                <w:rFonts w:hint="eastAsia" w:ascii="宋体" w:hAnsi="宋体"/>
                <w:b/>
                <w:color w:val="000000"/>
                <w:sz w:val="21"/>
                <w:szCs w:val="21"/>
                <w:highlight w:val="none"/>
                <w:lang w:val="en-US" w:eastAsia="zh-CN"/>
              </w:rPr>
              <w:t>5</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1</w:t>
            </w:r>
            <w:r>
              <w:rPr>
                <w:rFonts w:hint="eastAsia" w:ascii="宋体" w:hAnsi="宋体"/>
                <w:b/>
                <w:color w:val="000000"/>
                <w:sz w:val="21"/>
                <w:szCs w:val="21"/>
                <w:highlight w:val="none"/>
              </w:rPr>
              <w:t>月]</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主要内容：</w:t>
            </w:r>
          </w:p>
          <w:p>
            <w:pPr>
              <w:tabs>
                <w:tab w:val="left" w:pos="537"/>
              </w:tabs>
              <w:adjustRightInd w:val="0"/>
              <w:snapToGrid w:val="0"/>
              <w:jc w:val="left"/>
              <w:textAlignment w:val="center"/>
              <w:rPr>
                <w:rFonts w:ascii="宋体" w:hAnsi="宋体"/>
                <w:color w:val="000000"/>
                <w:szCs w:val="21"/>
                <w:highlight w:val="none"/>
              </w:rPr>
            </w:pPr>
            <w:r>
              <w:rPr>
                <w:rFonts w:hint="eastAsia" w:cs="宋体"/>
                <w:szCs w:val="21"/>
                <w:highlight w:val="none"/>
                <w:lang w:val="en-US" w:eastAsia="zh-CN"/>
              </w:rPr>
              <w:t>优化完善相关成果，</w:t>
            </w:r>
            <w:r>
              <w:rPr>
                <w:rFonts w:hint="eastAsia" w:ascii="宋体" w:hAnsi="宋体"/>
                <w:color w:val="000000"/>
                <w:szCs w:val="21"/>
                <w:highlight w:val="none"/>
                <w:lang w:val="en-US" w:eastAsia="zh-CN"/>
              </w:rPr>
              <w:t>协助试点单位试运行及自评验收，总结经验，按要求报送周报及数据文件，形成应用指引。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762" w:type="dxa"/>
            <w:tcBorders>
              <w:tl2br w:val="nil"/>
              <w:tr2bl w:val="nil"/>
            </w:tcBorders>
            <w:vAlign w:val="center"/>
          </w:tcPr>
          <w:p>
            <w:pPr>
              <w:adjustRightInd w:val="0"/>
              <w:snapToGrid w:val="0"/>
              <w:jc w:val="center"/>
              <w:textAlignment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.4</w:t>
            </w:r>
          </w:p>
        </w:tc>
        <w:tc>
          <w:tcPr>
            <w:tcW w:w="7629"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center"/>
              <w:outlineLvl w:val="9"/>
              <w:rPr>
                <w:rFonts w:ascii="宋体" w:hAnsi="宋体"/>
                <w:b/>
                <w:color w:val="000000"/>
                <w:sz w:val="21"/>
                <w:szCs w:val="21"/>
                <w:highlight w:val="none"/>
              </w:rPr>
            </w:pPr>
            <w:r>
              <w:rPr>
                <w:rFonts w:hint="eastAsia" w:ascii="宋体" w:hAnsi="宋体"/>
                <w:b/>
                <w:color w:val="000000"/>
                <w:sz w:val="21"/>
                <w:szCs w:val="21"/>
                <w:highlight w:val="none"/>
              </w:rPr>
              <w:t>[20</w:t>
            </w:r>
            <w:r>
              <w:rPr>
                <w:rFonts w:hint="eastAsia" w:ascii="宋体" w:hAnsi="宋体"/>
                <w:b/>
                <w:color w:val="000000"/>
                <w:sz w:val="21"/>
                <w:szCs w:val="21"/>
                <w:highlight w:val="none"/>
                <w:lang w:val="en-US" w:eastAsia="zh-CN"/>
              </w:rPr>
              <w:t>25</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2</w:t>
            </w:r>
            <w:r>
              <w:rPr>
                <w:rFonts w:hint="eastAsia" w:ascii="宋体" w:hAnsi="宋体"/>
                <w:b/>
                <w:color w:val="000000"/>
                <w:sz w:val="21"/>
                <w:szCs w:val="21"/>
                <w:highlight w:val="none"/>
              </w:rPr>
              <w:t>月 - 202</w:t>
            </w:r>
            <w:r>
              <w:rPr>
                <w:rFonts w:hint="eastAsia" w:ascii="宋体" w:hAnsi="宋体"/>
                <w:b/>
                <w:color w:val="000000"/>
                <w:sz w:val="21"/>
                <w:szCs w:val="21"/>
                <w:highlight w:val="none"/>
                <w:lang w:val="en-US" w:eastAsia="zh-CN"/>
              </w:rPr>
              <w:t>5</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6</w:t>
            </w:r>
            <w:r>
              <w:rPr>
                <w:rFonts w:hint="eastAsia" w:ascii="宋体" w:hAnsi="宋体"/>
                <w:b/>
                <w:color w:val="000000"/>
                <w:sz w:val="21"/>
                <w:szCs w:val="21"/>
                <w:highlight w:val="none"/>
              </w:rPr>
              <w:t>月</w:t>
            </w:r>
            <w:r>
              <w:rPr>
                <w:rFonts w:hint="eastAsia" w:ascii="宋体" w:hAnsi="宋体"/>
                <w:b/>
                <w:color w:val="000000"/>
                <w:sz w:val="21"/>
                <w:szCs w:val="21"/>
                <w:highlight w:val="none"/>
              </w:rPr>
              <w:t>]</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主要内容：</w:t>
            </w:r>
          </w:p>
          <w:p>
            <w:pPr>
              <w:tabs>
                <w:tab w:val="left" w:pos="537"/>
              </w:tabs>
              <w:adjustRightInd w:val="0"/>
              <w:snapToGrid w:val="0"/>
              <w:jc w:val="left"/>
              <w:textAlignment w:val="center"/>
              <w:rPr>
                <w:rFonts w:hint="default" w:ascii="宋体" w:hAnsi="宋体" w:eastAsia="宋体"/>
                <w:b/>
                <w:color w:val="000000"/>
                <w:szCs w:val="21"/>
                <w:highlight w:val="none"/>
                <w:lang w:val="en-US" w:eastAsia="zh-CN"/>
              </w:rPr>
            </w:pPr>
            <w:r>
              <w:rPr>
                <w:rFonts w:hint="eastAsia" w:cs="宋体"/>
                <w:szCs w:val="21"/>
                <w:highlight w:val="none"/>
                <w:lang w:val="en-US" w:eastAsia="zh-CN"/>
              </w:rPr>
              <w:t>推广应用过程中问题分析及解决方案制定，探索实现会计档案单套制归档移交，确立移交规范。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762" w:type="dxa"/>
            <w:tcBorders>
              <w:tl2br w:val="nil"/>
              <w:tr2bl w:val="nil"/>
            </w:tcBorders>
            <w:vAlign w:val="center"/>
          </w:tcPr>
          <w:p>
            <w:pPr>
              <w:adjustRightInd w:val="0"/>
              <w:snapToGrid w:val="0"/>
              <w:jc w:val="center"/>
              <w:textAlignment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rPr>
              <w:t>4</w:t>
            </w:r>
            <w:r>
              <w:rPr>
                <w:rFonts w:ascii="宋体" w:hAnsi="宋体"/>
                <w:b/>
                <w:color w:val="000000"/>
                <w:szCs w:val="21"/>
                <w:highlight w:val="none"/>
              </w:rPr>
              <w:t>.</w:t>
            </w:r>
            <w:r>
              <w:rPr>
                <w:rFonts w:hint="eastAsia" w:ascii="宋体" w:hAnsi="宋体"/>
                <w:b/>
                <w:color w:val="000000"/>
                <w:szCs w:val="21"/>
                <w:highlight w:val="none"/>
                <w:lang w:val="en-US" w:eastAsia="zh-CN"/>
              </w:rPr>
              <w:t>5</w:t>
            </w:r>
          </w:p>
        </w:tc>
        <w:tc>
          <w:tcPr>
            <w:tcW w:w="7629" w:type="dxa"/>
            <w:tcBorders>
              <w:tl2br w:val="nil"/>
              <w:tr2bl w:val="nil"/>
            </w:tcBorders>
            <w:vAlign w:val="center"/>
          </w:tcPr>
          <w:p>
            <w:pPr>
              <w:adjustRightInd w:val="0"/>
              <w:snapToGrid w:val="0"/>
              <w:textAlignment w:val="center"/>
              <w:rPr>
                <w:rFonts w:ascii="宋体" w:hAnsi="宋体"/>
                <w:b/>
                <w:color w:val="000000"/>
                <w:szCs w:val="21"/>
                <w:highlight w:val="none"/>
              </w:rPr>
            </w:pPr>
            <w:r>
              <w:rPr>
                <w:rFonts w:hint="eastAsia" w:ascii="宋体" w:hAnsi="宋体"/>
                <w:b/>
                <w:color w:val="000000"/>
                <w:szCs w:val="21"/>
                <w:highlight w:val="none"/>
              </w:rPr>
              <w:t>[202</w:t>
            </w:r>
            <w:r>
              <w:rPr>
                <w:rFonts w:hint="eastAsia" w:ascii="宋体" w:hAnsi="宋体"/>
                <w:b/>
                <w:color w:val="000000"/>
                <w:szCs w:val="21"/>
                <w:highlight w:val="none"/>
                <w:lang w:val="en-US" w:eastAsia="zh-CN"/>
              </w:rPr>
              <w:t>5</w:t>
            </w:r>
            <w:r>
              <w:rPr>
                <w:rFonts w:hint="eastAsia" w:ascii="宋体" w:hAnsi="宋体"/>
                <w:b/>
                <w:color w:val="000000"/>
                <w:szCs w:val="21"/>
                <w:highlight w:val="none"/>
              </w:rPr>
              <w:t>年</w:t>
            </w:r>
            <w:r>
              <w:rPr>
                <w:rFonts w:hint="eastAsia" w:ascii="宋体" w:hAnsi="宋体"/>
                <w:b/>
                <w:color w:val="000000"/>
                <w:szCs w:val="21"/>
                <w:highlight w:val="none"/>
                <w:lang w:val="en-US" w:eastAsia="zh-CN"/>
              </w:rPr>
              <w:t>7</w:t>
            </w:r>
            <w:r>
              <w:rPr>
                <w:rFonts w:hint="eastAsia" w:ascii="宋体" w:hAnsi="宋体"/>
                <w:b/>
                <w:color w:val="000000"/>
                <w:szCs w:val="21"/>
                <w:highlight w:val="none"/>
              </w:rPr>
              <w:t>月 - 202</w:t>
            </w:r>
            <w:r>
              <w:rPr>
                <w:rFonts w:hint="eastAsia" w:ascii="宋体" w:hAnsi="宋体"/>
                <w:b/>
                <w:color w:val="000000"/>
                <w:szCs w:val="21"/>
                <w:highlight w:val="none"/>
                <w:lang w:val="en-US" w:eastAsia="zh-CN"/>
              </w:rPr>
              <w:t>5</w:t>
            </w:r>
            <w:r>
              <w:rPr>
                <w:rFonts w:hint="eastAsia" w:ascii="宋体" w:hAnsi="宋体"/>
                <w:b/>
                <w:color w:val="000000"/>
                <w:szCs w:val="21"/>
                <w:highlight w:val="none"/>
              </w:rPr>
              <w:t>年</w:t>
            </w:r>
            <w:r>
              <w:rPr>
                <w:rFonts w:hint="eastAsia" w:ascii="宋体" w:hAnsi="宋体"/>
                <w:b/>
                <w:color w:val="000000"/>
                <w:szCs w:val="21"/>
                <w:highlight w:val="none"/>
                <w:lang w:val="en-US" w:eastAsia="zh-CN"/>
              </w:rPr>
              <w:t>8</w:t>
            </w:r>
            <w:r>
              <w:rPr>
                <w:rFonts w:hint="eastAsia" w:ascii="宋体" w:hAnsi="宋体"/>
                <w:b/>
                <w:color w:val="000000"/>
                <w:szCs w:val="21"/>
                <w:highlight w:val="none"/>
              </w:rPr>
              <w:t>月]</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 xml:space="preserve">主要内容： </w:t>
            </w:r>
          </w:p>
          <w:p>
            <w:pPr>
              <w:tabs>
                <w:tab w:val="left" w:pos="537"/>
              </w:tabs>
              <w:adjustRightInd w:val="0"/>
              <w:snapToGrid w:val="0"/>
              <w:jc w:val="left"/>
              <w:textAlignment w:val="center"/>
              <w:rPr>
                <w:rFonts w:ascii="宋体" w:hAnsi="宋体" w:cs="宋体"/>
                <w:color w:val="000000"/>
                <w:szCs w:val="21"/>
                <w:highlight w:val="none"/>
              </w:rPr>
            </w:pPr>
            <w:r>
              <w:rPr>
                <w:rFonts w:hint="eastAsia" w:cs="宋体"/>
                <w:szCs w:val="21"/>
                <w:highlight w:val="none"/>
                <w:lang w:val="en-US" w:eastAsia="zh-CN"/>
              </w:rPr>
              <w:t>根据成果应用情况优化完善相关成果，各单位运用情况评估与验收标准制定。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762" w:type="dxa"/>
            <w:tcBorders>
              <w:tl2br w:val="nil"/>
              <w:tr2bl w:val="nil"/>
            </w:tcBorders>
            <w:vAlign w:val="center"/>
          </w:tcPr>
          <w:p>
            <w:pPr>
              <w:adjustRightInd w:val="0"/>
              <w:snapToGrid w:val="0"/>
              <w:jc w:val="center"/>
              <w:textAlignment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rPr>
              <w:t>4</w:t>
            </w:r>
            <w:r>
              <w:rPr>
                <w:rFonts w:ascii="宋体" w:hAnsi="宋体"/>
                <w:b/>
                <w:color w:val="000000"/>
                <w:szCs w:val="21"/>
                <w:highlight w:val="none"/>
              </w:rPr>
              <w:t>.</w:t>
            </w:r>
            <w:r>
              <w:rPr>
                <w:rFonts w:hint="eastAsia" w:ascii="宋体" w:hAnsi="宋体"/>
                <w:b/>
                <w:color w:val="000000"/>
                <w:szCs w:val="21"/>
                <w:highlight w:val="none"/>
                <w:lang w:val="en-US" w:eastAsia="zh-CN"/>
              </w:rPr>
              <w:t>6</w:t>
            </w:r>
          </w:p>
        </w:tc>
        <w:tc>
          <w:tcPr>
            <w:tcW w:w="7629"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center"/>
              <w:outlineLvl w:val="9"/>
              <w:rPr>
                <w:rFonts w:ascii="宋体" w:hAnsi="宋体"/>
                <w:b/>
                <w:color w:val="000000"/>
                <w:sz w:val="21"/>
                <w:szCs w:val="21"/>
                <w:highlight w:val="none"/>
              </w:rPr>
            </w:pPr>
            <w:r>
              <w:rPr>
                <w:rFonts w:hint="eastAsia" w:ascii="宋体" w:hAnsi="宋体"/>
                <w:b/>
                <w:color w:val="000000"/>
                <w:sz w:val="21"/>
                <w:szCs w:val="21"/>
                <w:highlight w:val="none"/>
              </w:rPr>
              <w:t>[202</w:t>
            </w:r>
            <w:r>
              <w:rPr>
                <w:rFonts w:hint="eastAsia" w:ascii="宋体" w:hAnsi="宋体"/>
                <w:b/>
                <w:color w:val="000000"/>
                <w:sz w:val="21"/>
                <w:szCs w:val="21"/>
                <w:highlight w:val="none"/>
                <w:lang w:val="en-US" w:eastAsia="zh-CN"/>
              </w:rPr>
              <w:t>5</w:t>
            </w:r>
            <w:r>
              <w:rPr>
                <w:rFonts w:hint="eastAsia" w:ascii="宋体" w:hAnsi="宋体"/>
                <w:b/>
                <w:color w:val="000000"/>
                <w:sz w:val="21"/>
                <w:szCs w:val="21"/>
                <w:highlight w:val="none"/>
              </w:rPr>
              <w:t>年</w:t>
            </w:r>
            <w:r>
              <w:rPr>
                <w:rFonts w:hint="eastAsia" w:ascii="宋体" w:hAnsi="宋体"/>
                <w:b/>
                <w:color w:val="000000"/>
                <w:sz w:val="21"/>
                <w:szCs w:val="21"/>
                <w:highlight w:val="none"/>
                <w:lang w:val="en-US" w:eastAsia="zh-CN"/>
              </w:rPr>
              <w:t>9</w:t>
            </w:r>
            <w:r>
              <w:rPr>
                <w:rFonts w:hint="eastAsia" w:ascii="宋体" w:hAnsi="宋体"/>
                <w:b/>
                <w:color w:val="000000"/>
                <w:sz w:val="21"/>
                <w:szCs w:val="21"/>
                <w:highlight w:val="none"/>
              </w:rPr>
              <w:t>月]</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 xml:space="preserve">主要内容： </w:t>
            </w:r>
          </w:p>
          <w:p>
            <w:pPr>
              <w:tabs>
                <w:tab w:val="left" w:pos="537"/>
              </w:tabs>
              <w:adjustRightInd w:val="0"/>
              <w:snapToGrid w:val="0"/>
              <w:jc w:val="left"/>
              <w:textAlignment w:val="center"/>
              <w:rPr>
                <w:rFonts w:ascii="宋体" w:hAnsi="宋体" w:cs="宋体"/>
                <w:color w:val="000000"/>
                <w:szCs w:val="21"/>
                <w:highlight w:val="none"/>
              </w:rPr>
            </w:pPr>
            <w:r>
              <w:rPr>
                <w:rFonts w:hint="eastAsia" w:ascii="宋体" w:hAnsi="宋体"/>
                <w:b w:val="0"/>
                <w:bCs/>
                <w:color w:val="000000"/>
                <w:szCs w:val="21"/>
                <w:highlight w:val="none"/>
                <w:lang w:val="en-US" w:eastAsia="zh-CN"/>
              </w:rPr>
              <w:t>验收总结</w:t>
            </w:r>
          </w:p>
        </w:tc>
      </w:tr>
      <w:bookmarkEnd w:id="36"/>
    </w:tbl>
    <w:p>
      <w:pPr>
        <w:pStyle w:val="24"/>
        <w:keepNext w:val="0"/>
        <w:keepLines w:val="0"/>
        <w:pageBreakBefore w:val="0"/>
        <w:widowControl/>
        <w:kinsoku/>
        <w:wordWrap/>
        <w:overflowPunct/>
        <w:topLinePunct w:val="0"/>
        <w:autoSpaceDE/>
        <w:autoSpaceDN/>
        <w:bidi w:val="0"/>
        <w:adjustRightInd/>
        <w:snapToGrid/>
        <w:spacing w:before="313" w:beforeLines="100" w:line="240" w:lineRule="auto"/>
        <w:ind w:left="0" w:leftChars="0" w:right="0" w:rightChars="0" w:firstLine="0" w:firstLineChars="0"/>
        <w:jc w:val="left"/>
        <w:textAlignment w:val="auto"/>
        <w:outlineLvl w:val="9"/>
        <w:rPr>
          <w:rFonts w:hint="default" w:asciiTheme="minorEastAsia" w:hAnsiTheme="minorEastAsia" w:eastAsiaTheme="minorEastAsia" w:cstheme="minorEastAsia"/>
          <w:b w:val="0"/>
          <w:color w:val="000000"/>
          <w:kern w:val="2"/>
          <w:sz w:val="24"/>
          <w:szCs w:val="24"/>
          <w:highlight w:val="none"/>
          <w:u w:val="none"/>
          <w:lang w:val="en-US" w:eastAsia="zh-CN" w:bidi="ar-SA"/>
        </w:rPr>
      </w:pPr>
    </w:p>
    <w:p>
      <w:pPr>
        <w:pStyle w:val="24"/>
        <w:keepNext w:val="0"/>
        <w:keepLines w:val="0"/>
        <w:pageBreakBefore w:val="0"/>
        <w:widowControl/>
        <w:kinsoku/>
        <w:wordWrap/>
        <w:overflowPunct/>
        <w:topLinePunct w:val="0"/>
        <w:autoSpaceDE/>
        <w:autoSpaceDN/>
        <w:bidi w:val="0"/>
        <w:adjustRightInd/>
        <w:snapToGrid/>
        <w:spacing w:before="313" w:beforeLines="10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8"/>
          <w:szCs w:val="28"/>
          <w:highlight w:val="none"/>
          <w:lang w:val="en-US" w:eastAsia="zh-CN"/>
        </w:rPr>
      </w:pPr>
      <w:bookmarkStart w:id="30" w:name="_Toc7300"/>
      <w:r>
        <w:rPr>
          <w:rFonts w:hint="eastAsia" w:asciiTheme="minorEastAsia" w:hAnsiTheme="minorEastAsia" w:eastAsiaTheme="minorEastAsia" w:cstheme="minorEastAsia"/>
          <w:sz w:val="28"/>
          <w:szCs w:val="28"/>
          <w:highlight w:val="none"/>
          <w:lang w:val="en-US" w:eastAsia="zh-CN"/>
        </w:rPr>
        <w:t>5  交付与验收</w:t>
      </w:r>
      <w:bookmarkEnd w:id="3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黑体" w:hAnsi="黑体" w:eastAsia="黑体" w:cs="黑体"/>
          <w:b w:val="0"/>
          <w:bCs w:val="0"/>
          <w:color w:val="auto"/>
          <w:kern w:val="2"/>
          <w:sz w:val="24"/>
          <w:szCs w:val="24"/>
          <w:highlight w:val="none"/>
          <w:lang w:val="en-US" w:eastAsia="zh-CN" w:bidi="ar-SA"/>
        </w:rPr>
      </w:pPr>
      <w:bookmarkStart w:id="31" w:name="_Toc6742"/>
      <w:bookmarkStart w:id="32" w:name="_Toc19184"/>
      <w:r>
        <w:rPr>
          <w:rFonts w:hint="eastAsia" w:ascii="黑体" w:hAnsi="黑体" w:eastAsia="黑体" w:cs="黑体"/>
          <w:b w:val="0"/>
          <w:bCs w:val="0"/>
          <w:color w:val="auto"/>
          <w:kern w:val="2"/>
          <w:sz w:val="24"/>
          <w:szCs w:val="24"/>
          <w:highlight w:val="none"/>
          <w:lang w:val="en-US" w:eastAsia="zh-CN" w:bidi="ar-SA"/>
        </w:rPr>
        <w:t>5.1 交付形式及要求</w:t>
      </w:r>
      <w:bookmarkEnd w:id="31"/>
      <w:bookmarkEnd w:id="32"/>
      <w:bookmarkStart w:id="33" w:name="_Toc2654"/>
    </w:p>
    <w:p>
      <w:pPr>
        <w:spacing w:line="360" w:lineRule="auto"/>
        <w:ind w:firstLine="480" w:firstLineChars="200"/>
        <w:rPr>
          <w:rFonts w:cs="黑体" w:asciiTheme="minorEastAsia" w:hAnsiTheme="minorEastAsia" w:eastAsiaTheme="minorEastAsia"/>
          <w:bCs/>
          <w:sz w:val="24"/>
          <w:highlight w:val="none"/>
        </w:rPr>
      </w:pPr>
      <w:bookmarkStart w:id="34" w:name="_Toc7523"/>
      <w:r>
        <w:rPr>
          <w:rFonts w:hint="eastAsia" w:cs="黑体" w:asciiTheme="minorEastAsia" w:hAnsiTheme="minorEastAsia" w:eastAsiaTheme="minorEastAsia"/>
          <w:bCs/>
          <w:sz w:val="24"/>
          <w:highlight w:val="none"/>
        </w:rPr>
        <w:t>（1）报告</w:t>
      </w:r>
    </w:p>
    <w:p>
      <w:pPr>
        <w:spacing w:line="360" w:lineRule="auto"/>
        <w:ind w:firstLine="480" w:firstLineChars="200"/>
        <w:rPr>
          <w:rFonts w:hint="default" w:cs="黑体" w:asciiTheme="minorEastAsia" w:hAnsiTheme="minorEastAsia" w:eastAsiaTheme="minorEastAsia"/>
          <w:bCs/>
          <w:sz w:val="24"/>
          <w:highlight w:val="none"/>
          <w:lang w:val="en-US" w:eastAsia="zh-CN"/>
        </w:rPr>
      </w:pPr>
      <w:r>
        <w:rPr>
          <w:rFonts w:hint="eastAsia" w:cs="黑体" w:asciiTheme="minorEastAsia" w:hAnsiTheme="minorEastAsia" w:eastAsiaTheme="minorEastAsia"/>
          <w:bCs/>
          <w:sz w:val="24"/>
          <w:highlight w:val="none"/>
        </w:rPr>
        <w:t>《电子会计档案单套管理研究与实践报告》</w:t>
      </w:r>
      <w:r>
        <w:rPr>
          <w:rFonts w:hint="eastAsia" w:cs="黑体" w:asciiTheme="minorEastAsia" w:hAnsiTheme="minorEastAsia" w:eastAsiaTheme="minorEastAsia"/>
          <w:bCs/>
          <w:sz w:val="24"/>
          <w:highlight w:val="none"/>
          <w:lang w:val="en-US" w:eastAsia="zh-CN"/>
        </w:rPr>
        <w:t>word、ppt各一份</w:t>
      </w:r>
    </w:p>
    <w:p>
      <w:pPr>
        <w:spacing w:line="360" w:lineRule="auto"/>
        <w:ind w:firstLine="480" w:firstLineChars="200"/>
        <w:rPr>
          <w:rFonts w:cs="黑体" w:asciiTheme="minorEastAsia" w:hAnsiTheme="minorEastAsia" w:eastAsiaTheme="minorEastAsia"/>
          <w:bCs/>
          <w:sz w:val="24"/>
          <w:highlight w:val="none"/>
        </w:rPr>
      </w:pPr>
      <w:r>
        <w:rPr>
          <w:rFonts w:hint="eastAsia" w:cs="黑体" w:asciiTheme="minorEastAsia" w:hAnsiTheme="minorEastAsia" w:eastAsiaTheme="minorEastAsia"/>
          <w:bCs/>
          <w:sz w:val="24"/>
          <w:highlight w:val="none"/>
        </w:rPr>
        <w:t>（2）</w:t>
      </w:r>
      <w:r>
        <w:rPr>
          <w:rFonts w:hint="eastAsia" w:cs="黑体" w:asciiTheme="minorEastAsia" w:hAnsiTheme="minorEastAsia" w:eastAsiaTheme="minorEastAsia"/>
          <w:bCs/>
          <w:sz w:val="24"/>
          <w:highlight w:val="none"/>
          <w:lang w:val="en-US" w:eastAsia="zh-CN"/>
        </w:rPr>
        <w:t>制度标准</w:t>
      </w:r>
      <w:r>
        <w:rPr>
          <w:rFonts w:hint="eastAsia" w:cs="黑体" w:asciiTheme="minorEastAsia" w:hAnsiTheme="minorEastAsia" w:eastAsiaTheme="minorEastAsia"/>
          <w:bCs/>
          <w:sz w:val="24"/>
          <w:highlight w:val="none"/>
        </w:rPr>
        <w:t>：</w:t>
      </w:r>
    </w:p>
    <w:p>
      <w:pPr>
        <w:spacing w:line="360" w:lineRule="auto"/>
        <w:ind w:firstLine="480" w:firstLineChars="200"/>
        <w:rPr>
          <w:rFonts w:hint="eastAsia" w:cs="黑体" w:asciiTheme="minorEastAsia" w:hAnsiTheme="minorEastAsia" w:eastAsiaTheme="minorEastAsia"/>
          <w:bCs/>
          <w:sz w:val="24"/>
          <w:highlight w:val="none"/>
        </w:rPr>
      </w:pPr>
      <w:r>
        <w:rPr>
          <w:rFonts w:hint="eastAsia" w:cs="黑体" w:asciiTheme="minorEastAsia" w:hAnsiTheme="minorEastAsia" w:eastAsiaTheme="minorEastAsia"/>
          <w:bCs/>
          <w:sz w:val="24"/>
          <w:highlight w:val="none"/>
        </w:rPr>
        <w:t>《电子会计档案技术规范》</w:t>
      </w:r>
      <w:r>
        <w:rPr>
          <w:rFonts w:hint="eastAsia" w:cs="黑体" w:asciiTheme="minorEastAsia" w:hAnsiTheme="minorEastAsia" w:eastAsiaTheme="minorEastAsia"/>
          <w:bCs/>
          <w:sz w:val="24"/>
          <w:highlight w:val="none"/>
          <w:lang w:eastAsia="zh-CN"/>
        </w:rPr>
        <w:t>《</w:t>
      </w:r>
      <w:r>
        <w:rPr>
          <w:rFonts w:hint="eastAsia" w:cs="黑体" w:asciiTheme="minorEastAsia" w:hAnsiTheme="minorEastAsia" w:eastAsiaTheme="minorEastAsia"/>
          <w:bCs/>
          <w:sz w:val="24"/>
          <w:highlight w:val="none"/>
          <w:lang w:val="en-US" w:eastAsia="zh-CN"/>
        </w:rPr>
        <w:t>电子会计档案归档和移交要求</w:t>
      </w:r>
      <w:r>
        <w:rPr>
          <w:rFonts w:hint="eastAsia" w:cs="黑体" w:asciiTheme="minorEastAsia" w:hAnsiTheme="minorEastAsia" w:eastAsiaTheme="minorEastAsia"/>
          <w:bCs/>
          <w:sz w:val="24"/>
          <w:highlight w:val="none"/>
          <w:lang w:eastAsia="zh-CN"/>
        </w:rPr>
        <w:t>》</w:t>
      </w:r>
      <w:r>
        <w:rPr>
          <w:rFonts w:hint="eastAsia" w:cs="黑体" w:asciiTheme="minorEastAsia" w:hAnsiTheme="minorEastAsia" w:eastAsiaTheme="minorEastAsia"/>
          <w:bCs/>
          <w:sz w:val="24"/>
          <w:highlight w:val="none"/>
        </w:rPr>
        <w:t>等技术规范</w:t>
      </w:r>
    </w:p>
    <w:p>
      <w:pPr>
        <w:spacing w:line="360" w:lineRule="auto"/>
        <w:ind w:firstLine="480" w:firstLineChars="200"/>
        <w:rPr>
          <w:rFonts w:cs="黑体" w:asciiTheme="minorEastAsia" w:hAnsiTheme="minorEastAsia" w:eastAsiaTheme="minorEastAsia"/>
          <w:bCs/>
          <w:sz w:val="24"/>
          <w:highlight w:val="none"/>
        </w:rPr>
      </w:pPr>
      <w:r>
        <w:rPr>
          <w:rFonts w:hint="eastAsia" w:cs="黑体" w:asciiTheme="minorEastAsia" w:hAnsiTheme="minorEastAsia" w:eastAsiaTheme="minorEastAsia"/>
          <w:bCs/>
          <w:sz w:val="24"/>
          <w:highlight w:val="none"/>
        </w:rPr>
        <w:t>（3）</w:t>
      </w:r>
      <w:r>
        <w:rPr>
          <w:rFonts w:hint="eastAsia" w:cs="黑体" w:asciiTheme="minorEastAsia" w:hAnsiTheme="minorEastAsia" w:eastAsiaTheme="minorEastAsia"/>
          <w:bCs/>
          <w:sz w:val="24"/>
          <w:highlight w:val="none"/>
          <w:lang w:val="en-US" w:eastAsia="zh-CN"/>
        </w:rPr>
        <w:t>其他</w:t>
      </w:r>
      <w:r>
        <w:rPr>
          <w:rFonts w:hint="eastAsia" w:cs="黑体" w:asciiTheme="minorEastAsia" w:hAnsiTheme="minorEastAsia" w:eastAsiaTheme="minorEastAsia"/>
          <w:bCs/>
          <w:sz w:val="24"/>
          <w:highlight w:val="none"/>
        </w:rPr>
        <w:t>：</w:t>
      </w:r>
    </w:p>
    <w:p>
      <w:pPr>
        <w:spacing w:line="360" w:lineRule="auto"/>
        <w:ind w:left="718" w:leftChars="342" w:firstLine="0" w:firstLineChars="0"/>
        <w:rPr>
          <w:rFonts w:hint="eastAsia" w:cs="黑体" w:asciiTheme="minorEastAsia" w:hAnsiTheme="minorEastAsia" w:eastAsiaTheme="minorEastAsia"/>
          <w:bCs/>
          <w:sz w:val="24"/>
          <w:highlight w:val="none"/>
        </w:rPr>
      </w:pPr>
      <w:r>
        <w:rPr>
          <w:rFonts w:hint="eastAsia" w:cs="黑体" w:asciiTheme="minorEastAsia" w:hAnsiTheme="minorEastAsia" w:eastAsiaTheme="minorEastAsia"/>
          <w:bCs/>
          <w:sz w:val="24"/>
          <w:highlight w:val="none"/>
        </w:rPr>
        <w:t xml:space="preserve">管理流程：会计档案管理架构流程清单                         </w:t>
      </w:r>
    </w:p>
    <w:p>
      <w:pPr>
        <w:spacing w:line="360" w:lineRule="auto"/>
        <w:ind w:left="718" w:leftChars="342" w:firstLine="0" w:firstLineChars="0"/>
        <w:rPr>
          <w:rFonts w:hint="eastAsia" w:cs="黑体" w:asciiTheme="minorEastAsia" w:hAnsiTheme="minorEastAsia" w:eastAsiaTheme="minorEastAsia"/>
          <w:bCs/>
          <w:sz w:val="24"/>
          <w:highlight w:val="none"/>
        </w:rPr>
      </w:pPr>
      <w:r>
        <w:rPr>
          <w:rFonts w:hint="eastAsia" w:cs="黑体" w:asciiTheme="minorEastAsia" w:hAnsiTheme="minorEastAsia" w:eastAsiaTheme="minorEastAsia"/>
          <w:bCs/>
          <w:sz w:val="24"/>
          <w:highlight w:val="none"/>
        </w:rPr>
        <w:t>实施方案：电子会计档案单套管理工作方案</w:t>
      </w:r>
    </w:p>
    <w:p>
      <w:pPr>
        <w:spacing w:line="360" w:lineRule="auto"/>
        <w:ind w:firstLine="720" w:firstLineChars="300"/>
        <w:rPr>
          <w:rFonts w:hint="default" w:cs="黑体" w:asciiTheme="minorEastAsia" w:hAnsiTheme="minorEastAsia" w:eastAsiaTheme="minorEastAsia"/>
          <w:bCs/>
          <w:sz w:val="24"/>
          <w:highlight w:val="none"/>
          <w:lang w:val="en-US" w:eastAsia="zh-CN"/>
        </w:rPr>
      </w:pPr>
      <w:r>
        <w:rPr>
          <w:rFonts w:hint="eastAsia" w:cs="黑体" w:asciiTheme="minorEastAsia" w:hAnsiTheme="minorEastAsia" w:eastAsiaTheme="minorEastAsia"/>
          <w:bCs/>
          <w:sz w:val="24"/>
          <w:highlight w:val="none"/>
        </w:rPr>
        <w:t>操作指引：形成相关应用操作指引手册</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0" w:firstLineChars="0"/>
        <w:jc w:val="both"/>
        <w:textAlignment w:val="auto"/>
        <w:outlineLvl w:val="1"/>
        <w:rPr>
          <w:rFonts w:hint="eastAsia" w:ascii="黑体" w:hAnsi="黑体" w:eastAsia="黑体" w:cs="黑体"/>
          <w:color w:val="000000"/>
          <w:sz w:val="24"/>
          <w:szCs w:val="24"/>
          <w:highlight w:val="none"/>
          <w:u w:val="none"/>
          <w:lang w:val="en-US" w:eastAsia="zh-CN"/>
        </w:rPr>
      </w:pPr>
      <w:r>
        <w:rPr>
          <w:rFonts w:hint="eastAsia" w:ascii="黑体" w:hAnsi="黑体" w:eastAsia="黑体" w:cs="黑体"/>
          <w:color w:val="000000"/>
          <w:sz w:val="24"/>
          <w:szCs w:val="24"/>
          <w:highlight w:val="none"/>
          <w:u w:val="none"/>
          <w:lang w:val="en-US" w:eastAsia="zh-CN"/>
        </w:rPr>
        <w:t>5.2 验收</w:t>
      </w:r>
      <w:bookmarkEnd w:id="33"/>
      <w:bookmarkEnd w:id="34"/>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项目完成后，由甲方组织专家组对项目的主要成果等进行验收。</w:t>
      </w:r>
    </w:p>
    <w:p>
      <w:pPr>
        <w:pStyle w:val="24"/>
        <w:keepNext w:val="0"/>
        <w:keepLines w:val="0"/>
        <w:pageBreakBefore w:val="0"/>
        <w:widowControl/>
        <w:kinsoku/>
        <w:wordWrap/>
        <w:overflowPunct/>
        <w:topLinePunct w:val="0"/>
        <w:autoSpaceDE/>
        <w:autoSpaceDN/>
        <w:bidi w:val="0"/>
        <w:adjustRightInd/>
        <w:snapToGrid/>
        <w:spacing w:before="313" w:beforeLines="10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8"/>
          <w:szCs w:val="28"/>
          <w:highlight w:val="none"/>
          <w:lang w:val="en-US" w:eastAsia="zh-CN"/>
        </w:rPr>
      </w:pPr>
      <w:bookmarkStart w:id="35" w:name="_Toc29848"/>
      <w:r>
        <w:rPr>
          <w:rFonts w:hint="eastAsia" w:asciiTheme="minorEastAsia" w:hAnsiTheme="minorEastAsia" w:eastAsiaTheme="minorEastAsia" w:cstheme="minorEastAsia"/>
          <w:sz w:val="28"/>
          <w:szCs w:val="28"/>
          <w:highlight w:val="none"/>
          <w:lang w:val="en-US" w:eastAsia="zh-CN"/>
        </w:rPr>
        <w:t>6  其他</w:t>
      </w:r>
      <w:bookmarkEnd w:id="35"/>
    </w:p>
    <w:p>
      <w:pPr>
        <w:pStyle w:val="12"/>
        <w:rPr>
          <w:rFonts w:hint="default"/>
          <w:highlight w:val="none"/>
          <w:lang w:val="en-US" w:eastAsia="zh-CN"/>
        </w:rPr>
      </w:pPr>
      <w:r>
        <w:rPr>
          <w:rFonts w:hint="eastAsia"/>
          <w:highlight w:val="none"/>
          <w:lang w:val="en-US" w:eastAsia="zh-CN"/>
        </w:rPr>
        <w:t>无</w:t>
      </w: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495F1"/>
    <w:multiLevelType w:val="singleLevel"/>
    <w:tmpl w:val="98A495F1"/>
    <w:lvl w:ilvl="0" w:tentative="0">
      <w:start w:val="1"/>
      <w:numFmt w:val="decimal"/>
      <w:suff w:val="nothing"/>
      <w:lvlText w:val="（%1）"/>
      <w:lvlJc w:val="left"/>
    </w:lvl>
  </w:abstractNum>
  <w:abstractNum w:abstractNumId="1">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2">
    <w:nsid w:val="5E537055"/>
    <w:multiLevelType w:val="singleLevel"/>
    <w:tmpl w:val="5E537055"/>
    <w:lvl w:ilvl="0" w:tentative="0">
      <w:start w:val="1"/>
      <w:numFmt w:val="decimal"/>
      <w:lvlText w:val="%1."/>
      <w:lvlJc w:val="left"/>
      <w:pPr>
        <w:ind w:left="425" w:leftChars="0" w:hanging="425" w:firstLineChars="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zZGJhOGUzM2QyYzk0NjZhYTQxNDIwZDAxZmU5ODcifQ=="/>
    <w:docVar w:name="Temp" w:val="over"/>
  </w:docVars>
  <w:rsids>
    <w:rsidRoot w:val="56112EA9"/>
    <w:rsid w:val="0000270B"/>
    <w:rsid w:val="001D5356"/>
    <w:rsid w:val="003F3DB6"/>
    <w:rsid w:val="00571E71"/>
    <w:rsid w:val="027C11FC"/>
    <w:rsid w:val="0295401A"/>
    <w:rsid w:val="02F0311B"/>
    <w:rsid w:val="0303051E"/>
    <w:rsid w:val="033363CE"/>
    <w:rsid w:val="03EB12E5"/>
    <w:rsid w:val="047B7BC4"/>
    <w:rsid w:val="04BF0B83"/>
    <w:rsid w:val="04FE4EAD"/>
    <w:rsid w:val="05312146"/>
    <w:rsid w:val="056D4E14"/>
    <w:rsid w:val="05E47E39"/>
    <w:rsid w:val="05FD7391"/>
    <w:rsid w:val="06552096"/>
    <w:rsid w:val="06EB7547"/>
    <w:rsid w:val="06ED4BBC"/>
    <w:rsid w:val="073E449C"/>
    <w:rsid w:val="0778648B"/>
    <w:rsid w:val="07DC3C63"/>
    <w:rsid w:val="08584FA2"/>
    <w:rsid w:val="08CF5B5B"/>
    <w:rsid w:val="0900633E"/>
    <w:rsid w:val="09F078C2"/>
    <w:rsid w:val="0A3A16CD"/>
    <w:rsid w:val="0A594DD7"/>
    <w:rsid w:val="0A9773AF"/>
    <w:rsid w:val="0AD063AF"/>
    <w:rsid w:val="0B1A2258"/>
    <w:rsid w:val="0B6D31F0"/>
    <w:rsid w:val="0B715FA9"/>
    <w:rsid w:val="0BD1033B"/>
    <w:rsid w:val="0BFD7548"/>
    <w:rsid w:val="0C8C1EEF"/>
    <w:rsid w:val="0D0C14ED"/>
    <w:rsid w:val="0D6039E5"/>
    <w:rsid w:val="0DDE0C6E"/>
    <w:rsid w:val="0E2307AA"/>
    <w:rsid w:val="0E2F7475"/>
    <w:rsid w:val="0E8D3FBF"/>
    <w:rsid w:val="0EF73B79"/>
    <w:rsid w:val="0F442E48"/>
    <w:rsid w:val="0F573D98"/>
    <w:rsid w:val="0FBF064C"/>
    <w:rsid w:val="0FE805B5"/>
    <w:rsid w:val="10011F66"/>
    <w:rsid w:val="10640A4B"/>
    <w:rsid w:val="10972384"/>
    <w:rsid w:val="10F6029C"/>
    <w:rsid w:val="110F2EEB"/>
    <w:rsid w:val="11402C86"/>
    <w:rsid w:val="115C1BAB"/>
    <w:rsid w:val="116D4976"/>
    <w:rsid w:val="11B42C64"/>
    <w:rsid w:val="1217399B"/>
    <w:rsid w:val="128A3255"/>
    <w:rsid w:val="13566E57"/>
    <w:rsid w:val="13B57836"/>
    <w:rsid w:val="13E7392E"/>
    <w:rsid w:val="1418455E"/>
    <w:rsid w:val="14421D4B"/>
    <w:rsid w:val="147F0C66"/>
    <w:rsid w:val="148627B9"/>
    <w:rsid w:val="15122DCB"/>
    <w:rsid w:val="154B3C29"/>
    <w:rsid w:val="1558413F"/>
    <w:rsid w:val="155E4129"/>
    <w:rsid w:val="15B259A5"/>
    <w:rsid w:val="16D64E51"/>
    <w:rsid w:val="16E158C5"/>
    <w:rsid w:val="16E91D96"/>
    <w:rsid w:val="16F77748"/>
    <w:rsid w:val="17610576"/>
    <w:rsid w:val="17D21559"/>
    <w:rsid w:val="17D964A1"/>
    <w:rsid w:val="182843D9"/>
    <w:rsid w:val="18340AC5"/>
    <w:rsid w:val="19B35F7E"/>
    <w:rsid w:val="1A316175"/>
    <w:rsid w:val="1A830B36"/>
    <w:rsid w:val="1AA918E9"/>
    <w:rsid w:val="1ADD4B0E"/>
    <w:rsid w:val="1B3E2922"/>
    <w:rsid w:val="1B4870C2"/>
    <w:rsid w:val="1BB86005"/>
    <w:rsid w:val="1BF021DF"/>
    <w:rsid w:val="1BFA3C82"/>
    <w:rsid w:val="1C1220E7"/>
    <w:rsid w:val="1C672B50"/>
    <w:rsid w:val="1CCE54EB"/>
    <w:rsid w:val="1D7B5A38"/>
    <w:rsid w:val="1DA01B05"/>
    <w:rsid w:val="1DCA3DF3"/>
    <w:rsid w:val="1DFC3E5E"/>
    <w:rsid w:val="1E234174"/>
    <w:rsid w:val="1E725313"/>
    <w:rsid w:val="1EA43205"/>
    <w:rsid w:val="1F0E3901"/>
    <w:rsid w:val="1F6223BF"/>
    <w:rsid w:val="1FBD1E67"/>
    <w:rsid w:val="20D855DF"/>
    <w:rsid w:val="22015C0D"/>
    <w:rsid w:val="22194796"/>
    <w:rsid w:val="226318C1"/>
    <w:rsid w:val="233525ED"/>
    <w:rsid w:val="234277A0"/>
    <w:rsid w:val="234B187D"/>
    <w:rsid w:val="23817433"/>
    <w:rsid w:val="23DC4230"/>
    <w:rsid w:val="23FC7BFC"/>
    <w:rsid w:val="240A0826"/>
    <w:rsid w:val="242D5CBE"/>
    <w:rsid w:val="243C7F95"/>
    <w:rsid w:val="2460715E"/>
    <w:rsid w:val="24EA7C79"/>
    <w:rsid w:val="250F564D"/>
    <w:rsid w:val="252B1EB7"/>
    <w:rsid w:val="256870E0"/>
    <w:rsid w:val="25E42BF8"/>
    <w:rsid w:val="265249D6"/>
    <w:rsid w:val="26C631F5"/>
    <w:rsid w:val="26E66CA0"/>
    <w:rsid w:val="271F0756"/>
    <w:rsid w:val="275D5D26"/>
    <w:rsid w:val="275F7D29"/>
    <w:rsid w:val="28403FE5"/>
    <w:rsid w:val="28534D15"/>
    <w:rsid w:val="28554F0D"/>
    <w:rsid w:val="287318C2"/>
    <w:rsid w:val="28BE48E2"/>
    <w:rsid w:val="296546A4"/>
    <w:rsid w:val="2A441357"/>
    <w:rsid w:val="2A7D3128"/>
    <w:rsid w:val="2AE22576"/>
    <w:rsid w:val="2AFA0631"/>
    <w:rsid w:val="2B05699A"/>
    <w:rsid w:val="2B6721B0"/>
    <w:rsid w:val="2BFE21DE"/>
    <w:rsid w:val="2C13486A"/>
    <w:rsid w:val="2C191EA0"/>
    <w:rsid w:val="2C4A4C72"/>
    <w:rsid w:val="2C83223B"/>
    <w:rsid w:val="2CA3124A"/>
    <w:rsid w:val="2CE51BB8"/>
    <w:rsid w:val="2D800FFF"/>
    <w:rsid w:val="2D834292"/>
    <w:rsid w:val="2D8B5047"/>
    <w:rsid w:val="2D8F39A1"/>
    <w:rsid w:val="2DAC4578"/>
    <w:rsid w:val="2DAD04D6"/>
    <w:rsid w:val="2DB36870"/>
    <w:rsid w:val="2DEA6350"/>
    <w:rsid w:val="2E260032"/>
    <w:rsid w:val="2E380045"/>
    <w:rsid w:val="2E4B5AC5"/>
    <w:rsid w:val="2E8F1AE2"/>
    <w:rsid w:val="2EA553B4"/>
    <w:rsid w:val="2EFA1D2E"/>
    <w:rsid w:val="2F2E6BFF"/>
    <w:rsid w:val="2F5848D3"/>
    <w:rsid w:val="2F7D3155"/>
    <w:rsid w:val="2FC241F2"/>
    <w:rsid w:val="2FEF2882"/>
    <w:rsid w:val="30045C2F"/>
    <w:rsid w:val="301C62C5"/>
    <w:rsid w:val="30D24B7D"/>
    <w:rsid w:val="30DF2B6C"/>
    <w:rsid w:val="313E1E7A"/>
    <w:rsid w:val="316E00DA"/>
    <w:rsid w:val="32A74699"/>
    <w:rsid w:val="33014E5B"/>
    <w:rsid w:val="330E4E8B"/>
    <w:rsid w:val="33161353"/>
    <w:rsid w:val="334E3954"/>
    <w:rsid w:val="335E270E"/>
    <w:rsid w:val="34255CC8"/>
    <w:rsid w:val="348176C2"/>
    <w:rsid w:val="358A1AD4"/>
    <w:rsid w:val="358B06A1"/>
    <w:rsid w:val="35950C2A"/>
    <w:rsid w:val="35E41FA9"/>
    <w:rsid w:val="360B40D3"/>
    <w:rsid w:val="3661221B"/>
    <w:rsid w:val="36A530E8"/>
    <w:rsid w:val="36EE33EF"/>
    <w:rsid w:val="37A0058C"/>
    <w:rsid w:val="37A433E0"/>
    <w:rsid w:val="37AE0477"/>
    <w:rsid w:val="38004B22"/>
    <w:rsid w:val="380A09AD"/>
    <w:rsid w:val="38E9100E"/>
    <w:rsid w:val="38EA005A"/>
    <w:rsid w:val="39140E3A"/>
    <w:rsid w:val="39746E47"/>
    <w:rsid w:val="398C2739"/>
    <w:rsid w:val="39E974DB"/>
    <w:rsid w:val="39ED1C4B"/>
    <w:rsid w:val="3A570831"/>
    <w:rsid w:val="3A6365DD"/>
    <w:rsid w:val="3AF42575"/>
    <w:rsid w:val="3B441B65"/>
    <w:rsid w:val="3B8A3358"/>
    <w:rsid w:val="3BFC1059"/>
    <w:rsid w:val="3C4C5078"/>
    <w:rsid w:val="3CAA0EE5"/>
    <w:rsid w:val="3D0612FD"/>
    <w:rsid w:val="3DC862F7"/>
    <w:rsid w:val="3DDE3626"/>
    <w:rsid w:val="3E7B4078"/>
    <w:rsid w:val="3F9C1086"/>
    <w:rsid w:val="3FF86998"/>
    <w:rsid w:val="401C5798"/>
    <w:rsid w:val="405B5DF7"/>
    <w:rsid w:val="406B6A51"/>
    <w:rsid w:val="40756A4D"/>
    <w:rsid w:val="40794199"/>
    <w:rsid w:val="408A19B3"/>
    <w:rsid w:val="409701EF"/>
    <w:rsid w:val="40F0643B"/>
    <w:rsid w:val="411F605D"/>
    <w:rsid w:val="41414714"/>
    <w:rsid w:val="4164419B"/>
    <w:rsid w:val="419C13AE"/>
    <w:rsid w:val="41A73FEA"/>
    <w:rsid w:val="41B40E40"/>
    <w:rsid w:val="42056F9E"/>
    <w:rsid w:val="422B7491"/>
    <w:rsid w:val="42C07D7A"/>
    <w:rsid w:val="42DF02D2"/>
    <w:rsid w:val="434718E5"/>
    <w:rsid w:val="43CE1260"/>
    <w:rsid w:val="44C917FC"/>
    <w:rsid w:val="44CE0FC6"/>
    <w:rsid w:val="450930A9"/>
    <w:rsid w:val="45AD67D6"/>
    <w:rsid w:val="45CF1EF0"/>
    <w:rsid w:val="45D32CA8"/>
    <w:rsid w:val="45E20A8C"/>
    <w:rsid w:val="46616B3C"/>
    <w:rsid w:val="46EF21B3"/>
    <w:rsid w:val="47097B32"/>
    <w:rsid w:val="47382C50"/>
    <w:rsid w:val="476617B8"/>
    <w:rsid w:val="478511C2"/>
    <w:rsid w:val="48190D3F"/>
    <w:rsid w:val="48205CF0"/>
    <w:rsid w:val="485E0D75"/>
    <w:rsid w:val="48AE5D4E"/>
    <w:rsid w:val="4907228F"/>
    <w:rsid w:val="49374C02"/>
    <w:rsid w:val="494175FA"/>
    <w:rsid w:val="49716049"/>
    <w:rsid w:val="49AE5BA7"/>
    <w:rsid w:val="4A1D24A6"/>
    <w:rsid w:val="4A4B4604"/>
    <w:rsid w:val="4A566A25"/>
    <w:rsid w:val="4A757670"/>
    <w:rsid w:val="4A7A1254"/>
    <w:rsid w:val="4A803701"/>
    <w:rsid w:val="4AA93A4B"/>
    <w:rsid w:val="4AC642F2"/>
    <w:rsid w:val="4B18258B"/>
    <w:rsid w:val="4B2A3103"/>
    <w:rsid w:val="4B3522B4"/>
    <w:rsid w:val="4B5E6BA8"/>
    <w:rsid w:val="4BB56F45"/>
    <w:rsid w:val="4C3F54C3"/>
    <w:rsid w:val="4C581E09"/>
    <w:rsid w:val="4C92760D"/>
    <w:rsid w:val="4CE147A6"/>
    <w:rsid w:val="4D40501D"/>
    <w:rsid w:val="4D5A4296"/>
    <w:rsid w:val="4DBF3FC8"/>
    <w:rsid w:val="4DEE35E4"/>
    <w:rsid w:val="4E090DBB"/>
    <w:rsid w:val="4E287A4C"/>
    <w:rsid w:val="4ECA6497"/>
    <w:rsid w:val="4EFD1FFD"/>
    <w:rsid w:val="4FD704A0"/>
    <w:rsid w:val="5042088E"/>
    <w:rsid w:val="50865797"/>
    <w:rsid w:val="50E83C80"/>
    <w:rsid w:val="50E84976"/>
    <w:rsid w:val="51074766"/>
    <w:rsid w:val="513A42AA"/>
    <w:rsid w:val="519743C0"/>
    <w:rsid w:val="51DD10CA"/>
    <w:rsid w:val="51E22CFF"/>
    <w:rsid w:val="52400ADE"/>
    <w:rsid w:val="52A168E5"/>
    <w:rsid w:val="52AB3BAD"/>
    <w:rsid w:val="52C14CBF"/>
    <w:rsid w:val="52D27864"/>
    <w:rsid w:val="536B3F5C"/>
    <w:rsid w:val="53923FF6"/>
    <w:rsid w:val="53CD308F"/>
    <w:rsid w:val="541D1854"/>
    <w:rsid w:val="54C17E31"/>
    <w:rsid w:val="54E75E4E"/>
    <w:rsid w:val="54EC5F00"/>
    <w:rsid w:val="55013EB8"/>
    <w:rsid w:val="551B1173"/>
    <w:rsid w:val="5583736A"/>
    <w:rsid w:val="55B67B80"/>
    <w:rsid w:val="55BB08CE"/>
    <w:rsid w:val="56000727"/>
    <w:rsid w:val="56112EA9"/>
    <w:rsid w:val="56634F6B"/>
    <w:rsid w:val="56794219"/>
    <w:rsid w:val="56B933BC"/>
    <w:rsid w:val="56C56F55"/>
    <w:rsid w:val="56D46AB0"/>
    <w:rsid w:val="56EB7752"/>
    <w:rsid w:val="56FE5647"/>
    <w:rsid w:val="571C4CC2"/>
    <w:rsid w:val="572004CE"/>
    <w:rsid w:val="576E3E36"/>
    <w:rsid w:val="577C226A"/>
    <w:rsid w:val="57A830C7"/>
    <w:rsid w:val="57BC5768"/>
    <w:rsid w:val="57C452F6"/>
    <w:rsid w:val="57D62605"/>
    <w:rsid w:val="586617E9"/>
    <w:rsid w:val="58BC5F2A"/>
    <w:rsid w:val="58D75C14"/>
    <w:rsid w:val="598E0C56"/>
    <w:rsid w:val="59BD7DED"/>
    <w:rsid w:val="59C24535"/>
    <w:rsid w:val="59EA769F"/>
    <w:rsid w:val="59FC04D8"/>
    <w:rsid w:val="5AE252E1"/>
    <w:rsid w:val="5C3C27EE"/>
    <w:rsid w:val="5CB45BCE"/>
    <w:rsid w:val="5CBC1717"/>
    <w:rsid w:val="5D196F37"/>
    <w:rsid w:val="5D624157"/>
    <w:rsid w:val="5D8D3113"/>
    <w:rsid w:val="5E0B23A4"/>
    <w:rsid w:val="5E200A17"/>
    <w:rsid w:val="5E311346"/>
    <w:rsid w:val="5E5B7281"/>
    <w:rsid w:val="5E7F2B1D"/>
    <w:rsid w:val="5E9479C8"/>
    <w:rsid w:val="5EFF55AD"/>
    <w:rsid w:val="5F1F410C"/>
    <w:rsid w:val="5F6B790D"/>
    <w:rsid w:val="5F933753"/>
    <w:rsid w:val="5FDE3D3F"/>
    <w:rsid w:val="60446F8A"/>
    <w:rsid w:val="605C61FE"/>
    <w:rsid w:val="60900965"/>
    <w:rsid w:val="60A8111F"/>
    <w:rsid w:val="60B802FB"/>
    <w:rsid w:val="60D24626"/>
    <w:rsid w:val="61005B8D"/>
    <w:rsid w:val="61042AA7"/>
    <w:rsid w:val="61633BDA"/>
    <w:rsid w:val="61B23647"/>
    <w:rsid w:val="61E33B45"/>
    <w:rsid w:val="61F331CA"/>
    <w:rsid w:val="621155BD"/>
    <w:rsid w:val="629A521C"/>
    <w:rsid w:val="63FE5340"/>
    <w:rsid w:val="64132F2C"/>
    <w:rsid w:val="64956547"/>
    <w:rsid w:val="64F92069"/>
    <w:rsid w:val="650664D0"/>
    <w:rsid w:val="65070F8A"/>
    <w:rsid w:val="652A6814"/>
    <w:rsid w:val="65355760"/>
    <w:rsid w:val="65CA1D88"/>
    <w:rsid w:val="65CE7E42"/>
    <w:rsid w:val="665F5690"/>
    <w:rsid w:val="66D33D2B"/>
    <w:rsid w:val="673113AB"/>
    <w:rsid w:val="67593ED7"/>
    <w:rsid w:val="678C7059"/>
    <w:rsid w:val="67BC7E60"/>
    <w:rsid w:val="68195EEC"/>
    <w:rsid w:val="68223611"/>
    <w:rsid w:val="68577687"/>
    <w:rsid w:val="68AC152E"/>
    <w:rsid w:val="68B03B75"/>
    <w:rsid w:val="69301435"/>
    <w:rsid w:val="6946135C"/>
    <w:rsid w:val="695323C7"/>
    <w:rsid w:val="69635A48"/>
    <w:rsid w:val="69EA7D86"/>
    <w:rsid w:val="6B023115"/>
    <w:rsid w:val="6BE02EBA"/>
    <w:rsid w:val="6C113CBC"/>
    <w:rsid w:val="6D1B2407"/>
    <w:rsid w:val="6D401C96"/>
    <w:rsid w:val="6D59686D"/>
    <w:rsid w:val="6DA57DF7"/>
    <w:rsid w:val="6E06100F"/>
    <w:rsid w:val="6E5B1FD7"/>
    <w:rsid w:val="6E846DB8"/>
    <w:rsid w:val="6E856F48"/>
    <w:rsid w:val="6F936AD4"/>
    <w:rsid w:val="6F9A4FBE"/>
    <w:rsid w:val="6FA342A5"/>
    <w:rsid w:val="702E7D91"/>
    <w:rsid w:val="708F1B04"/>
    <w:rsid w:val="70E237AF"/>
    <w:rsid w:val="70FD5B15"/>
    <w:rsid w:val="710C1A65"/>
    <w:rsid w:val="718016F5"/>
    <w:rsid w:val="71FF19B7"/>
    <w:rsid w:val="727619AD"/>
    <w:rsid w:val="72ED3DDB"/>
    <w:rsid w:val="7355710F"/>
    <w:rsid w:val="73866B59"/>
    <w:rsid w:val="73FA6E86"/>
    <w:rsid w:val="742E7187"/>
    <w:rsid w:val="74572EAA"/>
    <w:rsid w:val="745E383E"/>
    <w:rsid w:val="746F4869"/>
    <w:rsid w:val="748834D3"/>
    <w:rsid w:val="74D63895"/>
    <w:rsid w:val="74E106B7"/>
    <w:rsid w:val="7520784A"/>
    <w:rsid w:val="75700D85"/>
    <w:rsid w:val="75715F41"/>
    <w:rsid w:val="75BE610F"/>
    <w:rsid w:val="75DB1CCA"/>
    <w:rsid w:val="75E572F2"/>
    <w:rsid w:val="76497732"/>
    <w:rsid w:val="764F5C8E"/>
    <w:rsid w:val="76876025"/>
    <w:rsid w:val="76890F73"/>
    <w:rsid w:val="770F4753"/>
    <w:rsid w:val="77CA3FC1"/>
    <w:rsid w:val="77E56D8E"/>
    <w:rsid w:val="795E2CE3"/>
    <w:rsid w:val="7A126AE1"/>
    <w:rsid w:val="7ABE2378"/>
    <w:rsid w:val="7AFB3926"/>
    <w:rsid w:val="7BA41111"/>
    <w:rsid w:val="7BE926B6"/>
    <w:rsid w:val="7BFC3589"/>
    <w:rsid w:val="7C185614"/>
    <w:rsid w:val="7CAB6AA8"/>
    <w:rsid w:val="7CD02D3B"/>
    <w:rsid w:val="7D2519AC"/>
    <w:rsid w:val="7D2B397D"/>
    <w:rsid w:val="7D9C4826"/>
    <w:rsid w:val="7DDE6C7F"/>
    <w:rsid w:val="7DEC7751"/>
    <w:rsid w:val="7E225CDA"/>
    <w:rsid w:val="7E352FE9"/>
    <w:rsid w:val="7EB61EE5"/>
    <w:rsid w:val="7FCE0606"/>
    <w:rsid w:val="7FDE04FC"/>
    <w:rsid w:val="7FF132BA"/>
    <w:rsid w:val="7FFB3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line="276" w:lineRule="auto"/>
      <w:jc w:val="left"/>
    </w:pPr>
    <w:rPr>
      <w:rFonts w:ascii="Calibri" w:hAnsi="Calibri" w:eastAsia="宋体" w:cs="Times New Roman"/>
      <w:kern w:val="0"/>
      <w:sz w:val="22"/>
      <w:lang w:val="zh-CN" w:eastAsia="en-US" w:bidi="en-US"/>
    </w:rPr>
  </w:style>
  <w:style w:type="paragraph" w:styleId="3">
    <w:name w:val="Title"/>
    <w:basedOn w:val="1"/>
    <w:next w:val="1"/>
    <w:qFormat/>
    <w:uiPriority w:val="0"/>
    <w:pPr>
      <w:spacing w:line="660" w:lineRule="exact"/>
      <w:jc w:val="center"/>
      <w:outlineLvl w:val="0"/>
    </w:pPr>
    <w:rPr>
      <w:rFonts w:ascii="宋体" w:hAnsi="宋体" w:eastAsia="宋体" w:cs="Arial"/>
      <w:b/>
      <w:bCs/>
      <w:sz w:val="44"/>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Body Text Indent 3"/>
    <w:basedOn w:val="1"/>
    <w:unhideWhenUsed/>
    <w:qFormat/>
    <w:uiPriority w:val="99"/>
    <w:pPr>
      <w:spacing w:after="120"/>
      <w:ind w:left="420" w:leftChars="200"/>
    </w:pPr>
    <w:rPr>
      <w:sz w:val="16"/>
      <w:szCs w:val="16"/>
    </w:rPr>
  </w:style>
  <w:style w:type="paragraph" w:styleId="13">
    <w:name w:val="toc 2"/>
    <w:basedOn w:val="1"/>
    <w:next w:val="1"/>
    <w:qFormat/>
    <w:uiPriority w:val="0"/>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0"/>
  </w:style>
  <w:style w:type="paragraph" w:customStyle="1" w:styleId="18">
    <w:name w:val="_Style 3"/>
    <w:basedOn w:val="1"/>
    <w:next w:val="12"/>
    <w:qFormat/>
    <w:uiPriority w:val="0"/>
    <w:pPr>
      <w:autoSpaceDE w:val="0"/>
      <w:autoSpaceDN w:val="0"/>
      <w:adjustRightInd w:val="0"/>
      <w:spacing w:line="480" w:lineRule="exact"/>
      <w:ind w:firstLine="560"/>
      <w:jc w:val="left"/>
    </w:pPr>
    <w:rPr>
      <w:rFonts w:ascii="宋体" w:hAnsi="宋体"/>
      <w:color w:val="000000"/>
      <w:kern w:val="0"/>
      <w:sz w:val="28"/>
      <w:szCs w:val="20"/>
    </w:rPr>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rPr>
  </w:style>
  <w:style w:type="paragraph" w:customStyle="1" w:styleId="21">
    <w:name w:val="首页日期"/>
    <w:basedOn w:val="1"/>
    <w:link w:val="23"/>
    <w:qFormat/>
    <w:uiPriority w:val="0"/>
    <w:pPr>
      <w:jc w:val="center"/>
    </w:pPr>
    <w:rPr>
      <w:rFonts w:ascii="Times New Roman" w:hAnsi="Times New Roman"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3057</Words>
  <Characters>3167</Characters>
  <Lines>0</Lines>
  <Paragraphs>0</Paragraphs>
  <TotalTime>15</TotalTime>
  <ScaleCrop>false</ScaleCrop>
  <LinksUpToDate>false</LinksUpToDate>
  <CharactersWithSpaces>3272</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BEDC74DA68AC4CBEAA1352860ABCD093</cp:lastModifiedBy>
  <cp:lastPrinted>2020-05-09T08:51:00Z</cp:lastPrinted>
  <dcterms:modified xsi:type="dcterms:W3CDTF">2024-09-06T02:50:30Z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286609252D7D41E186AD9D7759339A55</vt:lpwstr>
  </property>
</Properties>
</file>