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40"/>
          <w:szCs w:val="40"/>
        </w:rPr>
        <w:t>鲁厂2024年环境空气检测技术规范书</w:t>
      </w:r>
    </w:p>
    <w:p>
      <w:pPr>
        <w:numPr>
          <w:ilvl w:val="255"/>
          <w:numId w:val="0"/>
        </w:numPr>
        <w:spacing w:line="560" w:lineRule="exact"/>
        <w:rPr>
          <w:rFonts w:hint="eastAsia" w:ascii="黑体" w:hAnsi="黑体" w:eastAsia="黑体" w:cs="黑体"/>
          <w:sz w:val="32"/>
          <w:szCs w:val="32"/>
        </w:rPr>
      </w:pPr>
    </w:p>
    <w:p>
      <w:pPr>
        <w:numPr>
          <w:ilvl w:val="255"/>
          <w:numId w:val="0"/>
        </w:numPr>
        <w:spacing w:line="560" w:lineRule="exact"/>
        <w:rPr>
          <w:rFonts w:hint="eastAsia" w:ascii="黑体" w:hAnsi="黑体" w:eastAsia="黑体" w:cs="黑体"/>
          <w:sz w:val="32"/>
          <w:szCs w:val="32"/>
        </w:rPr>
      </w:pPr>
      <w:r>
        <w:rPr>
          <w:rFonts w:hint="eastAsia" w:ascii="黑体" w:hAnsi="黑体" w:eastAsia="黑体" w:cs="黑体"/>
          <w:sz w:val="32"/>
          <w:szCs w:val="32"/>
        </w:rPr>
        <w:t>一、项目概况</w:t>
      </w:r>
    </w:p>
    <w:p>
      <w:pPr>
        <w:spacing w:line="460" w:lineRule="exact"/>
        <w:ind w:firstLine="640" w:firstLineChars="200"/>
        <w:rPr>
          <w:rFonts w:hint="eastAsia" w:ascii="黑体" w:hAnsi="黑体" w:eastAsia="黑体" w:cs="黑体"/>
          <w:sz w:val="32"/>
          <w:szCs w:val="32"/>
        </w:rPr>
      </w:pPr>
      <w:r>
        <w:rPr>
          <w:rFonts w:hint="eastAsia" w:ascii="仿宋_GB2312" w:hAnsi="仿宋_GB2312" w:eastAsia="仿宋_GB2312" w:cs="仿宋_GB2312"/>
          <w:color w:val="000000"/>
          <w:sz w:val="32"/>
          <w:szCs w:val="32"/>
        </w:rPr>
        <w:t>针对鲁布革电厂四个区域：厂房、乃格生产区、罗平办公楼（罗平县文笔路22号）、罗平三号院食堂及部门办公室，共计73个监测点，开展工作环境空气质量检测工作。</w:t>
      </w:r>
    </w:p>
    <w:p>
      <w:pPr>
        <w:numPr>
          <w:ilvl w:val="255"/>
          <w:numId w:val="0"/>
        </w:numPr>
        <w:spacing w:line="560" w:lineRule="exact"/>
        <w:rPr>
          <w:rFonts w:hint="eastAsia" w:ascii="黑体" w:hAnsi="黑体" w:eastAsia="黑体" w:cs="黑体"/>
          <w:sz w:val="32"/>
          <w:szCs w:val="32"/>
        </w:rPr>
      </w:pPr>
      <w:r>
        <w:rPr>
          <w:rFonts w:hint="eastAsia" w:ascii="黑体" w:hAnsi="黑体" w:eastAsia="黑体" w:cs="黑体"/>
          <w:sz w:val="32"/>
          <w:szCs w:val="32"/>
        </w:rPr>
        <w:t>二、检测主要参考依据标准及规范</w:t>
      </w:r>
    </w:p>
    <w:p>
      <w:pPr>
        <w:numPr>
          <w:ilvl w:val="255"/>
          <w:numId w:val="0"/>
        </w:numPr>
        <w:spacing w:line="56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1.《环境空气质量标准》（GB 3095-201</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w:t>
      </w:r>
    </w:p>
    <w:p>
      <w:pPr>
        <w:numPr>
          <w:ilvl w:val="255"/>
          <w:numId w:val="0"/>
        </w:numPr>
        <w:spacing w:line="56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.《环境空气质量手工监测技术规范》（HJ194-2017）</w:t>
      </w:r>
    </w:p>
    <w:p>
      <w:pPr>
        <w:numPr>
          <w:ilvl w:val="255"/>
          <w:numId w:val="0"/>
        </w:numPr>
        <w:spacing w:line="56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.《室内环境空气质量监测技术规范》（HJ/T167-2004）</w:t>
      </w:r>
    </w:p>
    <w:p>
      <w:pPr>
        <w:numPr>
          <w:ilvl w:val="255"/>
          <w:numId w:val="0"/>
        </w:numPr>
        <w:spacing w:line="56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室内空气质量标准</w:t>
      </w:r>
      <w:r>
        <w:rPr>
          <w:rFonts w:hint="eastAsia" w:ascii="仿宋_GB2312" w:hAnsi="仿宋_GB2312" w:eastAsia="仿宋_GB2312" w:cs="仿宋_GB2312"/>
          <w:color w:val="auto"/>
          <w:sz w:val="32"/>
          <w:szCs w:val="32"/>
        </w:rPr>
        <w:t>》（GB</w:t>
      </w:r>
      <w:r>
        <w:rPr>
          <w:rFonts w:hint="eastAsia" w:ascii="仿宋_GB2312" w:hAnsi="仿宋_GB2312" w:eastAsia="仿宋_GB2312" w:cs="仿宋_GB2312"/>
          <w:color w:val="auto"/>
          <w:sz w:val="32"/>
          <w:szCs w:val="32"/>
          <w:lang w:val="en-US" w:eastAsia="zh-CN"/>
        </w:rPr>
        <w:t>/T1883-2022</w:t>
      </w:r>
      <w:r>
        <w:rPr>
          <w:rFonts w:hint="eastAsia" w:ascii="仿宋_GB2312" w:hAnsi="仿宋_GB2312" w:eastAsia="仿宋_GB2312" w:cs="仿宋_GB2312"/>
          <w:color w:val="auto"/>
          <w:sz w:val="32"/>
          <w:szCs w:val="32"/>
        </w:rPr>
        <w:t>）</w:t>
      </w:r>
    </w:p>
    <w:p>
      <w:pPr>
        <w:numPr>
          <w:ilvl w:val="255"/>
          <w:numId w:val="0"/>
        </w:numPr>
        <w:spacing w:line="560" w:lineRule="exac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5.《中华人民共和国国家职业卫生标准》 （GBZ38-2006）</w:t>
      </w:r>
    </w:p>
    <w:p>
      <w:pPr>
        <w:numPr>
          <w:ilvl w:val="255"/>
          <w:numId w:val="0"/>
        </w:numPr>
        <w:spacing w:line="560" w:lineRule="exact"/>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、检测程序和要求</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1.准备工作：在开始检测之前，需要检查检测设备是否完好并进行校准，选择合适的监测点位，并确认监测地点的环境背景信息。</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2.样本采集：在选定的监测点位采集空气样本，并记录相关数据，如采样时间、地点、温度、湿度等气象条件。</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3.样本处理：对采集到的空气样本进行处理，如预处理、化学处理、浓缩等，并对处理后的样本进行标记及记录。</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rPr>
        <w:t>分析测量：将处理后的样本送往实验室进行分析测量，选择适应的分析仪器和方法，并按照标准方法进行样本测量。</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rPr>
        <w:t>结果报告：根据测量结果撰写检测报告，包括</w:t>
      </w:r>
      <w:r>
        <w:rPr>
          <w:rFonts w:hint="eastAsia" w:ascii="仿宋_GB2312" w:hAnsi="仿宋_GB2312" w:eastAsia="仿宋_GB2312" w:cs="仿宋_GB2312"/>
          <w:color w:val="000000"/>
          <w:sz w:val="32"/>
          <w:szCs w:val="32"/>
          <w:lang w:val="en-US" w:eastAsia="zh-CN"/>
        </w:rPr>
        <w:t>原始记录归档</w:t>
      </w:r>
      <w:r>
        <w:rPr>
          <w:rFonts w:hint="eastAsia" w:ascii="仿宋_GB2312" w:hAnsi="仿宋_GB2312" w:eastAsia="仿宋_GB2312" w:cs="仿宋_GB2312"/>
          <w:color w:val="000000"/>
          <w:sz w:val="32"/>
          <w:szCs w:val="32"/>
        </w:rPr>
        <w:t>。</w:t>
      </w:r>
    </w:p>
    <w:p>
      <w:pPr>
        <w:numPr>
          <w:ilvl w:val="255"/>
          <w:numId w:val="0"/>
        </w:numPr>
        <w:spacing w:line="56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环境空气检测的要求涉及以下几个方面：</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1.监测点位的设置：监测点位应根据国家和地方的相关规定进行选择和规划，确保点位能够代表该地区的空气质量状况。</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2.仪器设备与校准：使用符合国家标准并获得相应检定</w:t>
      </w:r>
      <w:r>
        <w:rPr>
          <w:rFonts w:hint="eastAsia" w:ascii="仿宋_GB2312" w:hAnsi="仿宋_GB2312" w:eastAsia="仿宋_GB2312" w:cs="仿宋_GB2312"/>
          <w:color w:val="000000"/>
          <w:sz w:val="32"/>
          <w:szCs w:val="32"/>
          <w:lang w:val="en-US" w:eastAsia="zh-CN"/>
        </w:rPr>
        <w:t>或校准</w:t>
      </w:r>
      <w:r>
        <w:rPr>
          <w:rFonts w:hint="eastAsia" w:ascii="仿宋_GB2312" w:hAnsi="仿宋_GB2312" w:eastAsia="仿宋_GB2312" w:cs="仿宋_GB2312"/>
          <w:color w:val="000000"/>
          <w:sz w:val="32"/>
          <w:szCs w:val="32"/>
        </w:rPr>
        <w:t>合格证书的监测仪器设备，并按照规定周期进行校准。</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3.质量保证和质量控制：在监测过程中实施质量保证和质量控制措施，确保监测数据的准确性和可靠性。</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4.数据处理：对监测数据进行处理，包括数据的整理、计算和分析，确保数据的准确性和可比性。</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5.报告编制：</w:t>
      </w:r>
    </w:p>
    <w:p>
      <w:pPr>
        <w:numPr>
          <w:ilvl w:val="255"/>
          <w:numId w:val="0"/>
        </w:numPr>
        <w:spacing w:line="560" w:lineRule="exac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样品情况。</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检验方法、使用仪器及最低检出限。</w:t>
      </w:r>
    </w:p>
    <w:p>
      <w:pPr>
        <w:numPr>
          <w:ilvl w:val="255"/>
          <w:numId w:val="0"/>
        </w:numPr>
        <w:spacing w:line="560" w:lineRule="exact"/>
        <w:rPr>
          <w:rFonts w:hint="default" w:ascii="仿宋_GB2312" w:hAnsi="仿宋_GB2312" w:eastAsia="仿宋_GB2312" w:cs="仿宋_GB2312"/>
          <w:color w:val="000000"/>
          <w:sz w:val="32"/>
          <w:szCs w:val="32"/>
          <w:lang w:val="en-US"/>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检测结果。</w:t>
      </w:r>
    </w:p>
    <w:p>
      <w:pPr>
        <w:numPr>
          <w:ilvl w:val="255"/>
          <w:numId w:val="0"/>
        </w:numPr>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6.遵守相关法规和标准：检测工作应遵循《环境空气质量标准》、《环境空气质量手工监测技术规范》等相关法规和标准.</w:t>
      </w:r>
    </w:p>
    <w:p>
      <w:pPr>
        <w:numPr>
          <w:ilvl w:val="255"/>
          <w:numId w:val="0"/>
        </w:numPr>
        <w:spacing w:line="560" w:lineRule="exact"/>
        <w:rPr>
          <w:rFonts w:hint="eastAsia" w:ascii="黑体" w:hAnsi="黑体" w:eastAsia="黑体" w:cs="黑体"/>
          <w:sz w:val="32"/>
          <w:szCs w:val="32"/>
        </w:rPr>
      </w:pPr>
      <w:r>
        <w:rPr>
          <w:rFonts w:hint="eastAsia" w:ascii="仿宋_GB2312" w:hAnsi="仿宋_GB2312" w:eastAsia="仿宋_GB2312" w:cs="仿宋_GB2312"/>
          <w:color w:val="000000"/>
          <w:sz w:val="32"/>
          <w:szCs w:val="32"/>
        </w:rPr>
        <w:t>请注意，上述程序和要求是基于一般的环境空气检测流程，具体的操作可能会根据不同的检测机构和项目要求有所调整。在进行检测时，应严格遵守最新的法规和技术规范。</w:t>
      </w:r>
    </w:p>
    <w:p>
      <w:pPr>
        <w:numPr>
          <w:ilvl w:val="255"/>
          <w:numId w:val="0"/>
        </w:numPr>
        <w:spacing w:line="560" w:lineRule="exact"/>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、工作环境空气质量检测基本内容、要求</w:t>
      </w:r>
    </w:p>
    <w:p>
      <w:pPr>
        <w:jc w:val="left"/>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t>1.</w:t>
      </w:r>
      <w:r>
        <w:rPr>
          <w:rFonts w:hint="eastAsia" w:ascii="仿宋_GB2312" w:eastAsia="仿宋_GB2312" w:cs="仿宋_GB2312" w:hAnsiTheme="minorEastAsia"/>
          <w:color w:val="000000" w:themeColor="text1"/>
          <w:sz w:val="30"/>
          <w:szCs w:val="30"/>
          <w14:textFill>
            <w14:solidFill>
              <w14:schemeClr w14:val="tx1"/>
            </w14:solidFill>
          </w14:textFill>
        </w:rPr>
        <w:t>空气质量检测的基本内容主要包括对环境空气中多种污染物的浓度进行监测，这些污染物通常包括但</w:t>
      </w:r>
      <w:r>
        <w:rPr>
          <w:rFonts w:hint="eastAsia" w:ascii="仿宋_GB2312" w:eastAsia="仿宋_GB2312" w:cs="仿宋_GB2312" w:hAnsiTheme="minorEastAsia"/>
          <w:color w:val="auto"/>
          <w:sz w:val="30"/>
          <w:szCs w:val="30"/>
        </w:rPr>
        <w:t>不限</w:t>
      </w:r>
      <w:r>
        <w:rPr>
          <w:rFonts w:hint="eastAsia" w:ascii="仿宋_GB2312" w:eastAsia="仿宋_GB2312" w:cs="仿宋_GB2312" w:hAnsiTheme="minorEastAsia"/>
          <w:color w:val="000000" w:themeColor="text1"/>
          <w:sz w:val="30"/>
          <w:szCs w:val="30"/>
          <w14:textFill>
            <w14:solidFill>
              <w14:schemeClr w14:val="tx1"/>
            </w14:solidFill>
          </w14:textFill>
        </w:rPr>
        <w:t>于：</w:t>
      </w:r>
    </w:p>
    <w:p>
      <w:pPr>
        <w:jc w:val="both"/>
        <w:textAlignment w:val="baseline"/>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可吸入颗粒物</w:t>
      </w:r>
      <w:r>
        <w:rPr>
          <w:rFonts w:hint="eastAsia" w:ascii="仿宋_GB2312" w:eastAsia="仿宋_GB2312" w:cs="仿宋_GB2312" w:hAnsiTheme="minorEastAsia"/>
          <w:color w:val="000000" w:themeColor="text1"/>
          <w:sz w:val="30"/>
          <w:szCs w:val="30"/>
          <w:lang w:eastAsia="zh-CN"/>
          <w14:textFill>
            <w14:solidFill>
              <w14:schemeClr w14:val="tx1"/>
            </w14:solidFill>
          </w14:textFill>
        </w:rPr>
        <w:t>（</w:t>
      </w:r>
      <w:r>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t>PM</w:t>
      </w:r>
      <w:r>
        <w:rPr>
          <w:rFonts w:hint="eastAsia" w:ascii="仿宋_GB2312" w:eastAsia="仿宋_GB2312" w:cs="仿宋_GB2312" w:hAnsiTheme="minorEastAsia"/>
          <w:color w:val="000000" w:themeColor="text1"/>
          <w:sz w:val="30"/>
          <w:szCs w:val="30"/>
          <w:vertAlign w:val="subscript"/>
          <w:lang w:val="en-US" w:eastAsia="zh-CN"/>
          <w14:textFill>
            <w14:solidFill>
              <w14:schemeClr w14:val="tx1"/>
            </w14:solidFill>
          </w14:textFill>
        </w:rPr>
        <w:t>10</w:t>
      </w:r>
      <w:r>
        <w:rPr>
          <w:rFonts w:hint="eastAsia" w:ascii="仿宋_GB2312" w:eastAsia="仿宋_GB2312" w:cs="仿宋_GB2312" w:hAnsiTheme="minorEastAsia"/>
          <w:color w:val="000000" w:themeColor="text1"/>
          <w:sz w:val="30"/>
          <w:szCs w:val="30"/>
          <w:lang w:eastAsia="zh-CN"/>
          <w14:textFill>
            <w14:solidFill>
              <w14:schemeClr w14:val="tx1"/>
            </w14:solidFill>
          </w14:textFill>
        </w:rPr>
        <w:t>）</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硫化氢</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TVOC</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甲醛</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苯</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甲苯</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二甲苯</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酚类化合物</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9</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铅尘</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10</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细菌总数</w:t>
      </w:r>
    </w:p>
    <w:p>
      <w:pPr>
        <w:jc w:val="both"/>
        <w:textAlignment w:val="baseline"/>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11</w:t>
      </w:r>
      <w:r>
        <w:rPr>
          <w:rFonts w:hint="eastAsia" w:ascii="仿宋_GB2312" w:hAnsi="仿宋_GB2312" w:eastAsia="仿宋_GB2312" w:cs="仿宋_GB2312"/>
          <w:color w:val="000000"/>
          <w:sz w:val="32"/>
          <w:szCs w:val="32"/>
          <w:lang w:eastAsia="zh-CN"/>
        </w:rPr>
        <w:t>）</w:t>
      </w:r>
      <w:r>
        <w:rPr>
          <w:rFonts w:hint="eastAsia" w:ascii="仿宋_GB2312" w:eastAsia="仿宋_GB2312" w:cs="仿宋_GB2312" w:hAnsiTheme="minorEastAsia"/>
          <w:color w:val="000000" w:themeColor="text1"/>
          <w:sz w:val="30"/>
          <w:szCs w:val="30"/>
          <w14:textFill>
            <w14:solidFill>
              <w14:schemeClr w14:val="tx1"/>
            </w14:solidFill>
          </w14:textFill>
        </w:rPr>
        <w:t>氡气</w:t>
      </w:r>
    </w:p>
    <w:p>
      <w:pPr>
        <w:pStyle w:val="6"/>
        <w:spacing w:line="360" w:lineRule="auto"/>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t>2</w:t>
      </w:r>
      <w:r>
        <w:rPr>
          <w:rFonts w:hint="eastAsia" w:ascii="仿宋_GB2312" w:eastAsia="仿宋_GB2312" w:cs="仿宋_GB2312" w:hAnsiTheme="minorEastAsia"/>
          <w:color w:val="000000" w:themeColor="text1"/>
          <w:sz w:val="30"/>
          <w:szCs w:val="30"/>
          <w14:textFill>
            <w14:solidFill>
              <w14:schemeClr w14:val="tx1"/>
            </w14:solidFill>
          </w14:textFill>
        </w:rPr>
        <w:t>.应采用国家或国际认可的标准方法进行污染物的测定，以确保数据的准确性和可比性。</w:t>
      </w:r>
    </w:p>
    <w:p>
      <w:pPr>
        <w:pStyle w:val="6"/>
        <w:spacing w:line="360" w:lineRule="auto"/>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t>3</w:t>
      </w:r>
      <w:r>
        <w:rPr>
          <w:rFonts w:hint="eastAsia" w:ascii="仿宋_GB2312" w:eastAsia="仿宋_GB2312" w:cs="仿宋_GB2312" w:hAnsiTheme="minorEastAsia"/>
          <w:color w:val="000000" w:themeColor="text1"/>
          <w:sz w:val="30"/>
          <w:szCs w:val="30"/>
          <w14:textFill>
            <w14:solidFill>
              <w14:schemeClr w14:val="tx1"/>
            </w14:solidFill>
          </w14:textFill>
        </w:rPr>
        <w:t>.设备和采样技术：使用的监测设备应经过校准，并符合相关的技术规范。采样点的设置应考虑到代表性、可比性和整体性，避免受到局部污染源的影响。</w:t>
      </w:r>
    </w:p>
    <w:p>
      <w:pPr>
        <w:pStyle w:val="6"/>
        <w:spacing w:line="360" w:lineRule="auto"/>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t>4</w:t>
      </w:r>
      <w:r>
        <w:rPr>
          <w:rFonts w:hint="eastAsia" w:ascii="仿宋_GB2312" w:eastAsia="仿宋_GB2312" w:cs="仿宋_GB2312" w:hAnsiTheme="minorEastAsia"/>
          <w:color w:val="000000" w:themeColor="text1"/>
          <w:sz w:val="30"/>
          <w:szCs w:val="30"/>
          <w14:textFill>
            <w14:solidFill>
              <w14:schemeClr w14:val="tx1"/>
            </w14:solidFill>
          </w14:textFill>
        </w:rPr>
        <w:t>.数据处理：监测数据应进行适当的统计和处理，以得出可靠的环境空气质量结果。</w:t>
      </w:r>
    </w:p>
    <w:p>
      <w:pPr>
        <w:pStyle w:val="6"/>
        <w:spacing w:line="360" w:lineRule="auto"/>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t>5</w:t>
      </w:r>
      <w:r>
        <w:rPr>
          <w:rFonts w:hint="eastAsia" w:ascii="仿宋_GB2312" w:eastAsia="仿宋_GB2312" w:cs="仿宋_GB2312" w:hAnsiTheme="minorEastAsia"/>
          <w:color w:val="000000" w:themeColor="text1"/>
          <w:sz w:val="30"/>
          <w:szCs w:val="30"/>
          <w14:textFill>
            <w14:solidFill>
              <w14:schemeClr w14:val="tx1"/>
            </w14:solidFill>
          </w14:textFill>
        </w:rPr>
        <w:t>.质量控制：实施质量保证和质量控制措施，包括定期的设备校准、参与能力验证计划和数据审核等。</w:t>
      </w:r>
    </w:p>
    <w:p>
      <w:pPr>
        <w:pStyle w:val="6"/>
        <w:spacing w:line="360" w:lineRule="auto"/>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t>6</w:t>
      </w:r>
      <w:r>
        <w:rPr>
          <w:rFonts w:hint="eastAsia" w:ascii="仿宋_GB2312" w:eastAsia="仿宋_GB2312" w:cs="仿宋_GB2312" w:hAnsiTheme="minorEastAsia"/>
          <w:color w:val="000000" w:themeColor="text1"/>
          <w:sz w:val="30"/>
          <w:szCs w:val="30"/>
          <w14:textFill>
            <w14:solidFill>
              <w14:schemeClr w14:val="tx1"/>
            </w14:solidFill>
          </w14:textFill>
        </w:rPr>
        <w:t>.合规性：检测结果应符合国家或地方的环境空气质量标准，如《环境空气质量标准》（GB 3095-201</w:t>
      </w:r>
      <w:r>
        <w:rPr>
          <w:rFonts w:hint="eastAsia" w:ascii="仿宋_GB2312" w:eastAsia="仿宋_GB2312" w:cs="仿宋_GB2312" w:hAnsiTheme="minorEastAsia"/>
          <w:color w:val="000000" w:themeColor="text1"/>
          <w:sz w:val="30"/>
          <w:szCs w:val="30"/>
          <w:lang w:val="en-US" w:eastAsia="zh-CN"/>
          <w14:textFill>
            <w14:solidFill>
              <w14:schemeClr w14:val="tx1"/>
            </w14:solidFill>
          </w14:textFill>
        </w:rPr>
        <w:t>8</w:t>
      </w:r>
      <w:r>
        <w:rPr>
          <w:rFonts w:hint="eastAsia" w:ascii="仿宋_GB2312" w:eastAsia="仿宋_GB2312" w:cs="仿宋_GB2312" w:hAnsiTheme="minorEastAsia"/>
          <w:color w:val="000000" w:themeColor="text1"/>
          <w:sz w:val="30"/>
          <w:szCs w:val="30"/>
          <w14:textFill>
            <w14:solidFill>
              <w14:schemeClr w14:val="tx1"/>
            </w14:solidFill>
          </w14:textFill>
        </w:rPr>
        <w:t>）等。</w:t>
      </w:r>
    </w:p>
    <w:p>
      <w:pPr>
        <w:pStyle w:val="6"/>
        <w:spacing w:line="360" w:lineRule="auto"/>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14:textFill>
            <w14:solidFill>
              <w14:schemeClr w14:val="tx1"/>
            </w14:solidFill>
          </w14:textFill>
        </w:rPr>
        <w:t>7.监测频次：根据监测目的和污染物的特性，确定合适的监测频次，以确保监测数据能够真实反映空气质量的变化。</w:t>
      </w:r>
    </w:p>
    <w:p>
      <w:pPr>
        <w:pStyle w:val="6"/>
        <w:spacing w:line="360" w:lineRule="auto"/>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14:textFill>
            <w14:solidFill>
              <w14:schemeClr w14:val="tx1"/>
            </w14:solidFill>
          </w14:textFill>
        </w:rPr>
        <w:t>8.监测网络：建立环境空气质量监测网络，以获取广泛区域内的空气质量数据，用于环境管理和污染防治。</w:t>
      </w:r>
    </w:p>
    <w:p>
      <w:pPr>
        <w:pStyle w:val="6"/>
        <w:spacing w:line="360" w:lineRule="auto"/>
        <w:rPr>
          <w:rFonts w:hint="eastAsia" w:ascii="仿宋_GB2312" w:eastAsia="仿宋_GB2312" w:cs="仿宋_GB2312" w:hAnsiTheme="minorEastAsia"/>
          <w:color w:val="000000" w:themeColor="text1"/>
          <w:sz w:val="30"/>
          <w:szCs w:val="30"/>
          <w14:textFill>
            <w14:solidFill>
              <w14:schemeClr w14:val="tx1"/>
            </w14:solidFill>
          </w14:textFill>
        </w:rPr>
      </w:pPr>
      <w:r>
        <w:rPr>
          <w:rFonts w:hint="eastAsia" w:ascii="仿宋_GB2312" w:eastAsia="仿宋_GB2312" w:cs="仿宋_GB2312" w:hAnsiTheme="minorEastAsia"/>
          <w:color w:val="000000" w:themeColor="text1"/>
          <w:sz w:val="30"/>
          <w:szCs w:val="30"/>
          <w14:textFill>
            <w14:solidFill>
              <w14:schemeClr w14:val="tx1"/>
            </w14:solidFill>
          </w14:textFill>
        </w:rPr>
        <w:t>以上要求确保了空气质量检测的科学性、准确性和权威性，有助于保护公众健康和环境质量。</w:t>
      </w:r>
    </w:p>
    <w:p>
      <w:pPr>
        <w:pStyle w:val="6"/>
        <w:numPr>
          <w:numId w:val="0"/>
        </w:numPr>
        <w:spacing w:line="360" w:lineRule="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五、鲁布革电厂罗平、乃格工作环境检测点及检测项目</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2449"/>
        <w:gridCol w:w="5361"/>
        <w:gridCol w:w="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blHeader/>
          <w:jc w:val="center"/>
        </w:trPr>
        <w:tc>
          <w:tcPr>
            <w:tcW w:w="588" w:type="dxa"/>
            <w:noWrap w:val="0"/>
            <w:vAlign w:val="center"/>
          </w:tcPr>
          <w:p>
            <w:pPr>
              <w:ind w:left="-107" w:leftChars="-51" w:right="-105" w:rightChars="-50"/>
              <w:jc w:val="center"/>
              <w:rPr>
                <w:color w:val="000000"/>
              </w:rPr>
            </w:pPr>
            <w:r>
              <w:rPr>
                <w:rFonts w:hint="eastAsia"/>
                <w:color w:val="000000"/>
              </w:rPr>
              <w:t>序号</w:t>
            </w:r>
          </w:p>
        </w:tc>
        <w:tc>
          <w:tcPr>
            <w:tcW w:w="2449" w:type="dxa"/>
            <w:noWrap w:val="0"/>
            <w:vAlign w:val="center"/>
          </w:tcPr>
          <w:p>
            <w:pPr>
              <w:jc w:val="center"/>
              <w:rPr>
                <w:b/>
                <w:color w:val="000000"/>
              </w:rPr>
            </w:pPr>
            <w:r>
              <w:rPr>
                <w:rFonts w:hint="eastAsia"/>
                <w:b/>
                <w:color w:val="000000"/>
              </w:rPr>
              <w:t>检测位置</w:t>
            </w:r>
          </w:p>
        </w:tc>
        <w:tc>
          <w:tcPr>
            <w:tcW w:w="5361" w:type="dxa"/>
            <w:noWrap w:val="0"/>
            <w:vAlign w:val="center"/>
          </w:tcPr>
          <w:p>
            <w:pPr>
              <w:jc w:val="center"/>
              <w:rPr>
                <w:b/>
                <w:color w:val="000000"/>
              </w:rPr>
            </w:pPr>
            <w:r>
              <w:rPr>
                <w:rFonts w:hint="eastAsia"/>
                <w:b/>
                <w:color w:val="000000"/>
              </w:rPr>
              <w:t>检测项目</w:t>
            </w:r>
          </w:p>
        </w:tc>
        <w:tc>
          <w:tcPr>
            <w:tcW w:w="902" w:type="dxa"/>
            <w:noWrap w:val="0"/>
            <w:vAlign w:val="center"/>
          </w:tcPr>
          <w:p>
            <w:pPr>
              <w:jc w:val="center"/>
              <w:rPr>
                <w:b/>
                <w:color w:val="000000"/>
              </w:rPr>
            </w:pPr>
            <w:r>
              <w:rPr>
                <w:rFonts w:hint="eastAsia"/>
                <w:b/>
                <w:color w:val="000000"/>
              </w:rPr>
              <w:t>项目数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300" w:type="dxa"/>
            <w:gridSpan w:val="4"/>
            <w:noWrap w:val="0"/>
            <w:vAlign w:val="center"/>
          </w:tcPr>
          <w:p>
            <w:pPr>
              <w:jc w:val="center"/>
              <w:rPr>
                <w:color w:val="000000"/>
              </w:rPr>
            </w:pPr>
            <w:r>
              <w:rPr>
                <w:rFonts w:hint="eastAsia"/>
                <w:b/>
                <w:color w:val="000000"/>
              </w:rPr>
              <w:t>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ind w:right="-105" w:rightChars="-50"/>
              <w:jc w:val="center"/>
              <w:rPr>
                <w:color w:val="000000"/>
              </w:rPr>
            </w:pPr>
          </w:p>
        </w:tc>
        <w:tc>
          <w:tcPr>
            <w:tcW w:w="2449" w:type="dxa"/>
            <w:noWrap w:val="0"/>
            <w:vAlign w:val="center"/>
          </w:tcPr>
          <w:p>
            <w:pPr>
              <w:jc w:val="left"/>
              <w:rPr>
                <w:color w:val="000000"/>
                <w:sz w:val="18"/>
                <w:szCs w:val="18"/>
              </w:rPr>
            </w:pPr>
            <w:r>
              <w:rPr>
                <w:rFonts w:hint="eastAsia"/>
                <w:color w:val="000000"/>
                <w:sz w:val="18"/>
                <w:szCs w:val="18"/>
              </w:rPr>
              <w:t>#2水泵房</w:t>
            </w:r>
          </w:p>
        </w:tc>
        <w:tc>
          <w:tcPr>
            <w:tcW w:w="5361" w:type="dxa"/>
            <w:noWrap w:val="0"/>
            <w:vAlign w:val="center"/>
          </w:tcPr>
          <w:p>
            <w:pPr>
              <w:rPr>
                <w:color w:val="000000"/>
                <w:sz w:val="18"/>
                <w:szCs w:val="18"/>
              </w:rPr>
            </w:pPr>
            <w:r>
              <w:rPr>
                <w:rFonts w:hint="eastAsia"/>
                <w:color w:val="000000"/>
                <w:sz w:val="18"/>
                <w:szCs w:val="18"/>
              </w:rPr>
              <w:t>可吸入颗粒物、TVOC、酚类化合物、菌落总数、氡含量</w:t>
            </w:r>
          </w:p>
        </w:tc>
        <w:tc>
          <w:tcPr>
            <w:tcW w:w="902" w:type="dxa"/>
            <w:noWrap w:val="0"/>
            <w:vAlign w:val="center"/>
          </w:tcPr>
          <w:p>
            <w:pPr>
              <w:jc w:val="center"/>
              <w:rPr>
                <w:color w:val="000000"/>
                <w:sz w:val="18"/>
                <w:szCs w:val="18"/>
              </w:rPr>
            </w:pPr>
            <w:r>
              <w:rPr>
                <w:rFonts w:hint="eastAsia"/>
                <w:color w:val="00000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ind w:right="-105" w:rightChars="-50"/>
              <w:jc w:val="center"/>
              <w:rPr>
                <w:color w:val="000000"/>
              </w:rPr>
            </w:pPr>
          </w:p>
        </w:tc>
        <w:tc>
          <w:tcPr>
            <w:tcW w:w="2449" w:type="dxa"/>
            <w:noWrap w:val="0"/>
            <w:vAlign w:val="center"/>
          </w:tcPr>
          <w:p>
            <w:pPr>
              <w:jc w:val="left"/>
              <w:rPr>
                <w:rFonts w:hint="eastAsia"/>
                <w:color w:val="000000"/>
                <w:sz w:val="18"/>
                <w:szCs w:val="18"/>
              </w:rPr>
            </w:pPr>
            <w:r>
              <w:rPr>
                <w:rFonts w:hint="eastAsia"/>
                <w:color w:val="000000"/>
                <w:sz w:val="18"/>
                <w:szCs w:val="18"/>
              </w:rPr>
              <w:t>#3水泵房</w:t>
            </w:r>
          </w:p>
        </w:tc>
        <w:tc>
          <w:tcPr>
            <w:tcW w:w="5361" w:type="dxa"/>
            <w:noWrap w:val="0"/>
            <w:vAlign w:val="center"/>
          </w:tcPr>
          <w:p>
            <w:pPr>
              <w:rPr>
                <w:rFonts w:hint="eastAsia"/>
                <w:color w:val="000000"/>
                <w:sz w:val="18"/>
                <w:szCs w:val="18"/>
              </w:rPr>
            </w:pPr>
            <w:r>
              <w:rPr>
                <w:rFonts w:hint="eastAsia"/>
                <w:color w:val="000000"/>
                <w:sz w:val="18"/>
                <w:szCs w:val="18"/>
              </w:rPr>
              <w:t>可吸入颗粒物、TVOC、酚类化合物、菌落总数、氡含量</w:t>
            </w:r>
          </w:p>
        </w:tc>
        <w:tc>
          <w:tcPr>
            <w:tcW w:w="902" w:type="dxa"/>
            <w:noWrap w:val="0"/>
            <w:vAlign w:val="center"/>
          </w:tcPr>
          <w:p>
            <w:pPr>
              <w:jc w:val="center"/>
              <w:rPr>
                <w:rFonts w:hint="eastAsia"/>
                <w:color w:val="000000"/>
                <w:sz w:val="18"/>
                <w:szCs w:val="18"/>
              </w:rPr>
            </w:pPr>
            <w:r>
              <w:rPr>
                <w:rFonts w:hint="eastAsia"/>
                <w:color w:val="00000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ind w:right="-105" w:rightChars="-50"/>
              <w:jc w:val="center"/>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主运输洞支洞室</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可吸入颗粒物、TVOC、酚类化合物、菌落总数、氡含量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color w:val="000000"/>
                <w:sz w:val="18"/>
                <w:szCs w:val="18"/>
              </w:rPr>
            </w:pPr>
            <w:r>
              <w:rPr>
                <w:rFonts w:hint="eastAsia"/>
                <w:color w:val="000000"/>
                <w:sz w:val="18"/>
                <w:szCs w:val="18"/>
              </w:rPr>
              <w:t>空压机室</w:t>
            </w:r>
          </w:p>
        </w:tc>
        <w:tc>
          <w:tcPr>
            <w:tcW w:w="5361" w:type="dxa"/>
            <w:noWrap w:val="0"/>
            <w:vAlign w:val="center"/>
          </w:tcPr>
          <w:p>
            <w:pPr>
              <w:rPr>
                <w:color w:val="000000"/>
                <w:sz w:val="18"/>
                <w:szCs w:val="18"/>
              </w:rPr>
            </w:pPr>
            <w:r>
              <w:rPr>
                <w:rFonts w:hint="eastAsia"/>
                <w:color w:val="000000"/>
                <w:sz w:val="18"/>
                <w:szCs w:val="18"/>
              </w:rPr>
              <w:t>可吸入颗粒物、酚类化合物、TVOC、氡含量</w:t>
            </w:r>
          </w:p>
        </w:tc>
        <w:tc>
          <w:tcPr>
            <w:tcW w:w="902" w:type="dxa"/>
            <w:noWrap w:val="0"/>
            <w:vAlign w:val="center"/>
          </w:tcPr>
          <w:p>
            <w:pPr>
              <w:jc w:val="center"/>
              <w:rPr>
                <w:color w:val="000000"/>
                <w:sz w:val="18"/>
                <w:szCs w:val="18"/>
              </w:rPr>
            </w:pPr>
            <w:r>
              <w:rPr>
                <w:rFonts w:hint="eastAsia"/>
                <w:color w:val="00000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color w:val="000000"/>
                <w:sz w:val="18"/>
                <w:szCs w:val="18"/>
              </w:rPr>
            </w:pPr>
            <w:r>
              <w:rPr>
                <w:rFonts w:hint="eastAsia" w:ascii="宋体" w:hAnsi="宋体" w:cs="宋体"/>
                <w:sz w:val="18"/>
                <w:szCs w:val="18"/>
              </w:rPr>
              <w:t>#</w:t>
            </w:r>
            <w:r>
              <w:rPr>
                <w:rFonts w:hint="eastAsia"/>
                <w:color w:val="000000"/>
                <w:sz w:val="18"/>
                <w:szCs w:val="18"/>
              </w:rPr>
              <w:t>#2、#3机励磁室</w:t>
            </w:r>
          </w:p>
        </w:tc>
        <w:tc>
          <w:tcPr>
            <w:tcW w:w="5361" w:type="dxa"/>
            <w:noWrap w:val="0"/>
            <w:vAlign w:val="center"/>
          </w:tcPr>
          <w:p>
            <w:pPr>
              <w:rPr>
                <w:color w:val="000000"/>
                <w:sz w:val="18"/>
                <w:szCs w:val="18"/>
              </w:rPr>
            </w:pPr>
            <w:r>
              <w:rPr>
                <w:rFonts w:hint="eastAsia"/>
                <w:color w:val="000000"/>
                <w:sz w:val="18"/>
                <w:szCs w:val="18"/>
              </w:rPr>
              <w:t>可吸入颗粒物、TVOC、酚类化合物、氡含量</w:t>
            </w:r>
          </w:p>
        </w:tc>
        <w:tc>
          <w:tcPr>
            <w:tcW w:w="902" w:type="dxa"/>
            <w:noWrap w:val="0"/>
            <w:vAlign w:val="center"/>
          </w:tcPr>
          <w:p>
            <w:pPr>
              <w:jc w:val="center"/>
              <w:rPr>
                <w:color w:val="000000"/>
                <w:sz w:val="18"/>
                <w:szCs w:val="18"/>
              </w:rPr>
            </w:pPr>
            <w:r>
              <w:rPr>
                <w:rFonts w:hint="eastAsia"/>
                <w:color w:val="00000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#2、#3水轮机室</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可吸入颗粒物、酚类化合物、TVOV、氡含量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#1、#2及#3、#4主变冷却水泵室</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可吸入颗粒物、酚类化合物、硫化氢、TVOV、氡含量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污水泵室</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可吸入颗粒物、酚类化合物、硫化氢、TVOV、氡含量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#2、#3机尾水锥管处</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可吸入颗粒物、酚类化合物、氡含量、TVOC</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#2、#3机球阀室</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可吸入颗粒物、酚类化合物、TVOV、氡含量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220VⅠ、Ⅱ组蓄电池室</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可吸入颗粒物、铅及其化合物、菌落总数、TVOV、氡含量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hint="eastAsia" w:ascii="宋体" w:hAnsi="宋体" w:cs="宋体"/>
                <w:sz w:val="18"/>
                <w:szCs w:val="18"/>
              </w:rPr>
            </w:pPr>
            <w:r>
              <w:rPr>
                <w:rFonts w:hint="eastAsia" w:ascii="宋体" w:hAnsi="宋体" w:cs="宋体"/>
                <w:sz w:val="18"/>
                <w:szCs w:val="18"/>
              </w:rPr>
              <w:t>48VⅠ、Ⅱ组电池室</w:t>
            </w:r>
          </w:p>
        </w:tc>
        <w:tc>
          <w:tcPr>
            <w:tcW w:w="5361" w:type="dxa"/>
            <w:noWrap w:val="0"/>
            <w:vAlign w:val="center"/>
          </w:tcPr>
          <w:p>
            <w:pPr>
              <w:rPr>
                <w:rFonts w:hint="eastAsia" w:ascii="宋体" w:hAnsi="宋体" w:cs="宋体"/>
                <w:sz w:val="18"/>
                <w:szCs w:val="18"/>
              </w:rPr>
            </w:pPr>
            <w:r>
              <w:rPr>
                <w:rFonts w:hint="eastAsia" w:ascii="宋体" w:hAnsi="宋体" w:cs="宋体"/>
                <w:sz w:val="18"/>
                <w:szCs w:val="18"/>
              </w:rPr>
              <w:t>可吸入颗粒物、铅及其化合物、菌落总数、TVOV、氡含量</w:t>
            </w:r>
          </w:p>
        </w:tc>
        <w:tc>
          <w:tcPr>
            <w:tcW w:w="902" w:type="dxa"/>
            <w:noWrap w:val="0"/>
            <w:vAlign w:val="center"/>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400V公用Ⅰ、Ⅱ、Ⅲ段配电盘</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可吸入颗粒物、硫化氢、TVOV、氡含量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48V、220V直流配电室</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可吸入颗粒物、硫化氢、TVOV、氡含量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中央控制室</w:t>
            </w:r>
          </w:p>
        </w:tc>
        <w:tc>
          <w:tcPr>
            <w:tcW w:w="5361" w:type="dxa"/>
            <w:noWrap w:val="0"/>
            <w:vAlign w:val="center"/>
          </w:tcPr>
          <w:p>
            <w:pPr>
              <w:rPr>
                <w:rFonts w:ascii="宋体" w:hAnsi="宋体" w:cs="宋体"/>
                <w:sz w:val="18"/>
                <w:szCs w:val="18"/>
              </w:rPr>
            </w:pPr>
            <w:r>
              <w:rPr>
                <w:rFonts w:hint="eastAsia" w:ascii="宋体" w:hAnsi="宋体" w:cs="宋体"/>
                <w:sz w:val="18"/>
                <w:szCs w:val="18"/>
              </w:rPr>
              <w:t>可吸入颗粒物、硫化氢、菌落总数、TVOV、氡含量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发电机层</w:t>
            </w:r>
          </w:p>
        </w:tc>
        <w:tc>
          <w:tcPr>
            <w:tcW w:w="5361" w:type="dxa"/>
            <w:noWrap w:val="0"/>
            <w:vAlign w:val="center"/>
          </w:tcPr>
          <w:p>
            <w:pPr>
              <w:rPr>
                <w:rFonts w:ascii="宋体" w:hAnsi="宋体" w:cs="宋体"/>
                <w:sz w:val="18"/>
                <w:szCs w:val="18"/>
              </w:rPr>
            </w:pPr>
            <w:r>
              <w:rPr>
                <w:rFonts w:hint="eastAsia" w:ascii="宋体" w:hAnsi="宋体" w:cs="宋体"/>
                <w:sz w:val="18"/>
                <w:szCs w:val="18"/>
              </w:rPr>
              <w:t>TVOC、可吸入颗粒物、氡含量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线路保护室</w:t>
            </w:r>
          </w:p>
        </w:tc>
        <w:tc>
          <w:tcPr>
            <w:tcW w:w="5361" w:type="dxa"/>
            <w:noWrap w:val="0"/>
            <w:vAlign w:val="center"/>
          </w:tcPr>
          <w:p>
            <w:pPr>
              <w:rPr>
                <w:rFonts w:ascii="宋体" w:hAnsi="宋体" w:cs="宋体"/>
                <w:sz w:val="18"/>
                <w:szCs w:val="18"/>
              </w:rPr>
            </w:pPr>
            <w:r>
              <w:rPr>
                <w:rFonts w:hint="eastAsia" w:ascii="宋体" w:hAnsi="宋体" w:cs="宋体"/>
                <w:sz w:val="18"/>
                <w:szCs w:val="18"/>
              </w:rPr>
              <w:t>TVOC、可吸入颗粒物、硫化氢、氡含量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开关站</w:t>
            </w:r>
          </w:p>
        </w:tc>
        <w:tc>
          <w:tcPr>
            <w:tcW w:w="5361" w:type="dxa"/>
            <w:noWrap w:val="0"/>
            <w:vAlign w:val="center"/>
          </w:tcPr>
          <w:p>
            <w:pPr>
              <w:rPr>
                <w:rFonts w:ascii="宋体" w:hAnsi="宋体" w:cs="宋体"/>
                <w:sz w:val="18"/>
                <w:szCs w:val="18"/>
              </w:rPr>
            </w:pPr>
            <w:r>
              <w:rPr>
                <w:rFonts w:hint="eastAsia" w:ascii="宋体" w:hAnsi="宋体" w:cs="宋体"/>
                <w:sz w:val="18"/>
                <w:szCs w:val="18"/>
              </w:rPr>
              <w:t>TVOC、可吸入颗粒物、酚类化合物、氡含量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1#、#3、#5主变室</w:t>
            </w:r>
          </w:p>
        </w:tc>
        <w:tc>
          <w:tcPr>
            <w:tcW w:w="5361" w:type="dxa"/>
            <w:noWrap w:val="0"/>
            <w:vAlign w:val="center"/>
          </w:tcPr>
          <w:p>
            <w:pPr>
              <w:rPr>
                <w:rFonts w:ascii="宋体" w:hAnsi="宋体" w:cs="宋体"/>
                <w:sz w:val="18"/>
                <w:szCs w:val="18"/>
              </w:rPr>
            </w:pPr>
            <w:r>
              <w:rPr>
                <w:rFonts w:hint="eastAsia" w:ascii="宋体" w:hAnsi="宋体" w:cs="宋体"/>
                <w:sz w:val="18"/>
                <w:szCs w:val="18"/>
              </w:rPr>
              <w:t>TVOC、可吸入颗粒物、酚类化合物、氡含量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color w:val="000000"/>
                <w:sz w:val="18"/>
                <w:szCs w:val="18"/>
              </w:rPr>
              <w:t>#2、#3</w:t>
            </w:r>
            <w:r>
              <w:rPr>
                <w:rFonts w:hint="eastAsia" w:ascii="宋体" w:hAnsi="宋体" w:cs="宋体"/>
                <w:sz w:val="18"/>
                <w:szCs w:val="18"/>
              </w:rPr>
              <w:t>尾水闸门室</w:t>
            </w:r>
          </w:p>
        </w:tc>
        <w:tc>
          <w:tcPr>
            <w:tcW w:w="5361" w:type="dxa"/>
            <w:noWrap w:val="0"/>
            <w:vAlign w:val="center"/>
          </w:tcPr>
          <w:p>
            <w:pPr>
              <w:rPr>
                <w:rFonts w:ascii="宋体" w:hAnsi="宋体" w:cs="宋体"/>
                <w:sz w:val="18"/>
                <w:szCs w:val="18"/>
              </w:rPr>
            </w:pPr>
            <w:r>
              <w:rPr>
                <w:rFonts w:hint="eastAsia" w:ascii="宋体" w:hAnsi="宋体" w:cs="宋体"/>
                <w:sz w:val="18"/>
                <w:szCs w:val="18"/>
              </w:rPr>
              <w:t>TVOC、可吸入颗粒物、酚类化合物、氡含量</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300" w:type="dxa"/>
            <w:gridSpan w:val="4"/>
            <w:noWrap w:val="0"/>
            <w:vAlign w:val="center"/>
          </w:tcPr>
          <w:p>
            <w:pPr>
              <w:jc w:val="center"/>
              <w:rPr>
                <w:color w:val="000000"/>
              </w:rPr>
            </w:pPr>
            <w:r>
              <w:rPr>
                <w:rFonts w:hint="eastAsia"/>
                <w:b/>
                <w:color w:val="000000"/>
              </w:rPr>
              <w:t>乃格生产区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现场值班楼集控室306室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现场值班楼2楼202会议室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现场值班楼办公室（114、204、205、210、309）</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现场值班楼通信机房209室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乃格食堂厨房</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乃格食堂餐厅</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300" w:type="dxa"/>
            <w:gridSpan w:val="4"/>
            <w:noWrap w:val="0"/>
            <w:vAlign w:val="center"/>
          </w:tcPr>
          <w:p>
            <w:pPr>
              <w:jc w:val="center"/>
              <w:rPr>
                <w:b/>
                <w:color w:val="000000"/>
              </w:rPr>
            </w:pPr>
            <w:r>
              <w:rPr>
                <w:rFonts w:hint="eastAsia"/>
                <w:b/>
                <w:color w:val="000000"/>
              </w:rPr>
              <w:t xml:space="preserve"> 罗平办公楼（罗平县文笔路22号）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办公楼0511会议室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办公楼0702通信机房电源室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办公楼0701集控中心</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办公楼0704水调中心</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办公楼1楼UPS电源室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hint="eastAsia" w:ascii="宋体" w:hAnsi="宋体" w:cs="宋体"/>
                <w:sz w:val="18"/>
                <w:szCs w:val="18"/>
              </w:rPr>
            </w:pPr>
            <w:r>
              <w:rPr>
                <w:rFonts w:hint="eastAsia" w:ascii="宋体" w:hAnsi="宋体" w:cs="宋体"/>
                <w:sz w:val="18"/>
                <w:szCs w:val="18"/>
              </w:rPr>
              <w:t>办公楼0611会议室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办公楼部门办公室（0104、0204、0305、0406、0410、0505、0610）</w:t>
            </w:r>
          </w:p>
        </w:tc>
        <w:tc>
          <w:tcPr>
            <w:tcW w:w="5361" w:type="dxa"/>
            <w:noWrap w:val="0"/>
            <w:vAlign w:val="center"/>
          </w:tcPr>
          <w:p>
            <w:pPr>
              <w:rPr>
                <w:rFonts w:hint="eastAsia"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hint="eastAsia" w:ascii="宋体" w:hAnsi="宋体" w:cs="宋体"/>
                <w:sz w:val="18"/>
                <w:szCs w:val="18"/>
              </w:rPr>
            </w:pPr>
            <w:r>
              <w:rPr>
                <w:rFonts w:hint="eastAsia" w:ascii="宋体" w:hAnsi="宋体" w:cs="宋体"/>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综合楼三楼、四楼会议室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300" w:type="dxa"/>
            <w:gridSpan w:val="4"/>
            <w:noWrap w:val="0"/>
            <w:vAlign w:val="center"/>
          </w:tcPr>
          <w:p>
            <w:pPr>
              <w:jc w:val="center"/>
              <w:rPr>
                <w:b/>
                <w:color w:val="000000"/>
              </w:rPr>
            </w:pPr>
            <w:r>
              <w:rPr>
                <w:rFonts w:hint="eastAsia"/>
                <w:b/>
                <w:color w:val="000000"/>
              </w:rPr>
              <w:t>罗平三号院食堂及部门办公室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水工水情管理中心办公楼304、305办公室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水工水情管理中心办公楼301会议室</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罗平三号院职工食堂厨房</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88" w:type="dxa"/>
            <w:noWrap w:val="0"/>
            <w:vAlign w:val="center"/>
          </w:tcPr>
          <w:p>
            <w:pPr>
              <w:numPr>
                <w:ilvl w:val="0"/>
                <w:numId w:val="1"/>
              </w:numPr>
              <w:jc w:val="right"/>
              <w:rPr>
                <w:color w:val="000000"/>
              </w:rPr>
            </w:pPr>
          </w:p>
        </w:tc>
        <w:tc>
          <w:tcPr>
            <w:tcW w:w="2449" w:type="dxa"/>
            <w:noWrap w:val="0"/>
            <w:vAlign w:val="center"/>
          </w:tcPr>
          <w:p>
            <w:pPr>
              <w:rPr>
                <w:rFonts w:ascii="宋体" w:hAnsi="宋体" w:cs="宋体"/>
                <w:sz w:val="18"/>
                <w:szCs w:val="18"/>
              </w:rPr>
            </w:pPr>
            <w:r>
              <w:rPr>
                <w:rFonts w:hint="eastAsia" w:ascii="宋体" w:hAnsi="宋体" w:cs="宋体"/>
                <w:sz w:val="18"/>
                <w:szCs w:val="18"/>
              </w:rPr>
              <w:t>罗平三号院职工食堂餐厅</w:t>
            </w:r>
          </w:p>
        </w:tc>
        <w:tc>
          <w:tcPr>
            <w:tcW w:w="5361" w:type="dxa"/>
            <w:noWrap w:val="0"/>
            <w:vAlign w:val="center"/>
          </w:tcPr>
          <w:p>
            <w:pPr>
              <w:rPr>
                <w:rFonts w:ascii="宋体" w:hAnsi="宋体" w:cs="宋体"/>
                <w:sz w:val="18"/>
                <w:szCs w:val="18"/>
              </w:rPr>
            </w:pPr>
            <w:r>
              <w:rPr>
                <w:rFonts w:hint="eastAsia" w:ascii="宋体" w:hAnsi="宋体" w:cs="宋体"/>
                <w:sz w:val="18"/>
                <w:szCs w:val="18"/>
              </w:rPr>
              <w:t>甲醛、苯、甲苯、二甲苯、TVOC、可吸入颗粒物、菌落总数</w:t>
            </w:r>
          </w:p>
        </w:tc>
        <w:tc>
          <w:tcPr>
            <w:tcW w:w="902" w:type="dxa"/>
            <w:noWrap w:val="0"/>
            <w:vAlign w:val="center"/>
          </w:tcPr>
          <w:p>
            <w:pPr>
              <w:jc w:val="center"/>
              <w:rPr>
                <w:rFonts w:ascii="宋体" w:hAnsi="宋体" w:cs="宋体"/>
                <w:sz w:val="18"/>
                <w:szCs w:val="18"/>
              </w:rPr>
            </w:pPr>
            <w:r>
              <w:rPr>
                <w:rFonts w:hint="eastAsia" w:ascii="宋体" w:hAnsi="宋体" w:cs="宋体"/>
                <w:sz w:val="18"/>
                <w:szCs w:val="18"/>
              </w:rPr>
              <w:t>2</w:t>
            </w:r>
          </w:p>
        </w:tc>
      </w:tr>
    </w:tbl>
    <w:p>
      <w:pPr>
        <w:pStyle w:val="6"/>
        <w:spacing w:line="360" w:lineRule="auto"/>
        <w:rPr>
          <w:rFonts w:hint="eastAsia" w:ascii="黑体" w:hAnsi="黑体" w:eastAsia="黑体" w:cs="黑体"/>
          <w:sz w:val="32"/>
          <w:szCs w:val="32"/>
        </w:rPr>
      </w:pPr>
      <w:r>
        <w:rPr>
          <w:rFonts w:hint="eastAsia" w:ascii="黑体" w:hAnsi="黑体" w:eastAsia="黑体" w:cs="黑体"/>
          <w:sz w:val="32"/>
          <w:szCs w:val="32"/>
          <w:lang w:val="en-US" w:eastAsia="zh-CN"/>
        </w:rPr>
        <w:t>六</w:t>
      </w:r>
      <w:bookmarkStart w:id="0" w:name="_GoBack"/>
      <w:bookmarkEnd w:id="0"/>
      <w:r>
        <w:rPr>
          <w:rFonts w:hint="eastAsia" w:ascii="黑体" w:hAnsi="黑体" w:eastAsia="黑体" w:cs="黑体"/>
          <w:sz w:val="32"/>
          <w:szCs w:val="32"/>
        </w:rPr>
        <w:t>、提交成果有关要求</w:t>
      </w:r>
    </w:p>
    <w:p>
      <w:pPr>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1.国家有关技术规范、规程的要求和本技术规范书约定的检测要求进行检测，保证监测数据的准确性、精密性、完整性，成果符合国家和行业的法律法规和技术标准。</w:t>
      </w:r>
    </w:p>
    <w:p>
      <w:pPr>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2、现场检测工作完成后的两个月内出具《检测报告》，报告一式两份，由质量负责人一级审核，技术负责人二级审核、授权签字人三级审核并签发。</w:t>
      </w:r>
    </w:p>
    <w:p>
      <w:pPr>
        <w:pStyle w:val="2"/>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3、对所出具检测报告或检测结果数据真实性负责，保证报告的有效性、客观性及真实性。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CD3FEF"/>
    <w:multiLevelType w:val="multilevel"/>
    <w:tmpl w:val="40CD3FEF"/>
    <w:lvl w:ilvl="0" w:tentative="0">
      <w:start w:val="1"/>
      <w:numFmt w:val="decimal"/>
      <w:lvlText w:val="%1."/>
      <w:lvlJc w:val="left"/>
      <w:pPr>
        <w:tabs>
          <w:tab w:val="left" w:pos="420"/>
        </w:tabs>
        <w:ind w:left="420" w:hanging="420"/>
      </w:pPr>
      <w:rPr>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AD45B0"/>
    <w:rsid w:val="00080167"/>
    <w:rsid w:val="000C2E20"/>
    <w:rsid w:val="000C6BB1"/>
    <w:rsid w:val="001C16A1"/>
    <w:rsid w:val="00390985"/>
    <w:rsid w:val="00706787"/>
    <w:rsid w:val="00747501"/>
    <w:rsid w:val="007907DF"/>
    <w:rsid w:val="00B17D6A"/>
    <w:rsid w:val="00B4330A"/>
    <w:rsid w:val="00B72D11"/>
    <w:rsid w:val="00BB50D5"/>
    <w:rsid w:val="00C34A7A"/>
    <w:rsid w:val="00DF2129"/>
    <w:rsid w:val="049D76C3"/>
    <w:rsid w:val="06AE2FA5"/>
    <w:rsid w:val="06FA0D5F"/>
    <w:rsid w:val="0A237C8A"/>
    <w:rsid w:val="0BAD45B0"/>
    <w:rsid w:val="0C253888"/>
    <w:rsid w:val="1635166B"/>
    <w:rsid w:val="22C71DAB"/>
    <w:rsid w:val="23BB4A6C"/>
    <w:rsid w:val="2C430E01"/>
    <w:rsid w:val="3BCE0D7F"/>
    <w:rsid w:val="3D4B5AFD"/>
    <w:rsid w:val="41CF6407"/>
    <w:rsid w:val="44E2165B"/>
    <w:rsid w:val="497524EA"/>
    <w:rsid w:val="4A405A1C"/>
    <w:rsid w:val="5E960581"/>
    <w:rsid w:val="66515BBF"/>
    <w:rsid w:val="6A260A78"/>
    <w:rsid w:val="6E626340"/>
    <w:rsid w:val="73A32E26"/>
    <w:rsid w:val="75894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sz w:val="24"/>
    </w:rPr>
  </w:style>
  <w:style w:type="paragraph" w:styleId="3">
    <w:name w:val="Title"/>
    <w:basedOn w:val="1"/>
    <w:next w:val="2"/>
    <w:qFormat/>
    <w:uiPriority w:val="0"/>
    <w:pPr>
      <w:spacing w:before="240" w:after="60"/>
      <w:jc w:val="center"/>
      <w:outlineLvl w:val="0"/>
    </w:pPr>
    <w:rPr>
      <w:rFonts w:ascii="Cambria" w:hAnsi="Cambria"/>
      <w:b/>
      <w:bCs/>
      <w:kern w:val="0"/>
      <w:sz w:val="32"/>
      <w:szCs w:val="32"/>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tabs>
        <w:tab w:val="center" w:pos="4153"/>
        <w:tab w:val="right" w:pos="8306"/>
      </w:tabs>
      <w:snapToGrid w:val="0"/>
      <w:jc w:val="center"/>
    </w:pPr>
    <w:rPr>
      <w:sz w:val="18"/>
      <w:szCs w:val="18"/>
    </w:rPr>
  </w:style>
  <w:style w:type="paragraph" w:styleId="6">
    <w:name w:val="Normal (Web)"/>
    <w:basedOn w:val="1"/>
    <w:qFormat/>
    <w:uiPriority w:val="0"/>
    <w:pPr>
      <w:widowControl/>
      <w:jc w:val="left"/>
    </w:pPr>
    <w:rPr>
      <w:rFonts w:ascii="Verdana" w:hAnsi="Verdana" w:eastAsia="宋体" w:cs="宋体"/>
      <w:kern w:val="0"/>
      <w:sz w:val="24"/>
    </w:rPr>
  </w:style>
  <w:style w:type="character" w:customStyle="1" w:styleId="9">
    <w:name w:val="页眉 字符"/>
    <w:basedOn w:val="8"/>
    <w:link w:val="5"/>
    <w:qFormat/>
    <w:uiPriority w:val="0"/>
    <w:rPr>
      <w:kern w:val="2"/>
      <w:sz w:val="18"/>
      <w:szCs w:val="18"/>
    </w:rPr>
  </w:style>
  <w:style w:type="character" w:customStyle="1" w:styleId="10">
    <w:name w:val="页脚 字符"/>
    <w:basedOn w:val="8"/>
    <w:link w:val="4"/>
    <w:qFormat/>
    <w:uiPriority w:val="0"/>
    <w:rPr>
      <w:kern w:val="2"/>
      <w:sz w:val="18"/>
      <w:szCs w:val="18"/>
    </w:rPr>
  </w:style>
  <w:style w:type="character" w:customStyle="1" w:styleId="11">
    <w:name w:val="NormalCharacter"/>
    <w:semiHidden/>
    <w:qFormat/>
    <w:uiPriority w:val="0"/>
    <w:rPr>
      <w:kern w:val="2"/>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294</Words>
  <Characters>1682</Characters>
  <Lines>14</Lines>
  <Paragraphs>3</Paragraphs>
  <TotalTime>5</TotalTime>
  <ScaleCrop>false</ScaleCrop>
  <LinksUpToDate>false</LinksUpToDate>
  <CharactersWithSpaces>1973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2024-07-25T14:47:00Z</dcterms:created>
  <dc:creator>陶洋</dc:creator>
  <cp:lastModifiedBy>42E18FCCEADE44608072440874C267DA</cp:lastModifiedBy>
  <dcterms:modified xsi:type="dcterms:W3CDTF">2024-09-04T06:49:50Z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05708444CB7B4DA5AF0BEE1F8202987C</vt:lpwstr>
  </property>
</Properties>
</file>