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6059"/>
      <w:bookmarkStart w:id="1" w:name="_Toc1572"/>
      <w:bookmarkStart w:id="14" w:name="_GoBack"/>
      <w:bookmarkEnd w:id="14"/>
    </w:p>
    <w:p>
      <w:pPr>
        <w:pStyle w:val="8"/>
        <w:jc w:val="center"/>
        <w:rPr>
          <w:rFonts w:ascii="隶书" w:eastAsia="隶书"/>
          <w:sz w:val="56"/>
          <w:szCs w:val="56"/>
        </w:rPr>
      </w:pPr>
    </w:p>
    <w:p>
      <w:pPr>
        <w:pStyle w:val="8"/>
        <w:spacing w:line="360" w:lineRule="auto"/>
        <w:jc w:val="center"/>
        <w:rPr>
          <w:rFonts w:ascii="隶书" w:eastAsia="隶书"/>
          <w:sz w:val="44"/>
          <w:szCs w:val="44"/>
        </w:rPr>
      </w:pPr>
      <w:r>
        <w:rPr>
          <w:rFonts w:hint="eastAsia" w:ascii="黑体" w:hAnsi="黑体" w:eastAsia="黑体" w:cs="黑体"/>
          <w:sz w:val="44"/>
          <w:szCs w:val="44"/>
        </w:rPr>
        <w:t>一种多功能的低压架空线路故障排查工具</w:t>
      </w:r>
    </w:p>
    <w:p>
      <w:pPr>
        <w:pStyle w:val="8"/>
        <w:spacing w:line="360" w:lineRule="auto"/>
        <w:jc w:val="center"/>
        <w:rPr>
          <w:rFonts w:hint="eastAsia"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hint="eastAsia" w:ascii="楷体_GB2312" w:hAnsi="宋体" w:eastAsia="楷体_GB2312"/>
          <w:sz w:val="32"/>
          <w:szCs w:val="32"/>
        </w:rPr>
      </w:pPr>
    </w:p>
    <w:p>
      <w:pPr>
        <w:spacing w:before="156" w:beforeLines="50"/>
        <w:jc w:val="center"/>
        <w:rPr>
          <w:rFonts w:hint="eastAsia" w:ascii="楷体_GB2312" w:hAnsi="宋体" w:eastAsia="楷体_GB2312"/>
          <w:sz w:val="32"/>
          <w:szCs w:val="32"/>
        </w:rPr>
      </w:pPr>
    </w:p>
    <w:p>
      <w:pPr>
        <w:spacing w:before="156" w:beforeLines="50"/>
        <w:rPr>
          <w:rFonts w:hint="eastAsia" w:ascii="楷体_GB2312" w:hAnsi="宋体" w:eastAsia="楷体_GB2312"/>
          <w:sz w:val="32"/>
          <w:szCs w:val="32"/>
        </w:rPr>
      </w:pPr>
    </w:p>
    <w:p>
      <w:pPr>
        <w:pStyle w:val="21"/>
        <w:rPr>
          <w:rStyle w:val="23"/>
          <w:rFonts w:hint="eastAsia" w:ascii="黑体" w:hAnsi="黑体" w:eastAsia="黑体" w:cs="黑体"/>
        </w:rPr>
      </w:pPr>
    </w:p>
    <w:p>
      <w:pPr>
        <w:pStyle w:val="21"/>
        <w:rPr>
          <w:rStyle w:val="23"/>
          <w:rFonts w:hint="eastAsia" w:ascii="黑体" w:hAnsi="黑体" w:eastAsia="黑体" w:cs="黑体"/>
        </w:rPr>
      </w:pPr>
    </w:p>
    <w:p>
      <w:pPr>
        <w:pStyle w:val="21"/>
        <w:rPr>
          <w:rFonts w:hint="eastAsia" w:ascii="黑体" w:hAnsi="黑体" w:eastAsia="黑体" w:cs="黑体"/>
        </w:rPr>
        <w:sectPr>
          <w:footerReference r:id="rId3" w:type="default"/>
          <w:pgSz w:w="11906" w:h="16838"/>
          <w:pgMar w:top="1440" w:right="1800" w:bottom="1440" w:left="1800" w:header="851" w:footer="992" w:gutter="0"/>
          <w:pgNumType w:fmt="decimal"/>
          <w:cols w:space="425" w:num="1"/>
          <w:docGrid w:type="lines" w:linePitch="312" w:charSpace="0"/>
        </w:sectPr>
      </w:pPr>
      <w:r>
        <w:rPr>
          <w:rStyle w:val="23"/>
          <w:rFonts w:hint="eastAsia" w:ascii="黑体" w:hAnsi="黑体" w:eastAsia="黑体" w:cs="黑体"/>
        </w:rPr>
        <w:t>2024年08月</w:t>
      </w:r>
      <w:r>
        <w:rPr>
          <w:rStyle w:val="23"/>
          <w:rFonts w:hint="default" w:ascii="黑体" w:hAnsi="黑体" w:eastAsia="黑体" w:cs="黑体"/>
          <w:lang w:val="en-US"/>
        </w:rPr>
        <w:t>08</w:t>
      </w:r>
      <w:r>
        <w:rPr>
          <w:rStyle w:val="23"/>
          <w:rFonts w:hint="eastAsia" w:ascii="黑体" w:hAnsi="黑体" w:eastAsia="黑体" w:cs="黑体"/>
          <w:lang w:val="en-US" w:eastAsia="zh-CN"/>
        </w:rPr>
        <w:t>日</w:t>
      </w:r>
    </w:p>
    <w:p>
      <w:pPr>
        <w:snapToGrid w:val="0"/>
        <w:spacing w:line="360" w:lineRule="auto"/>
        <w:jc w:val="center"/>
        <w:rPr>
          <w:rFonts w:hint="eastAsia"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"1-2" \h \u </w:instrText>
      </w:r>
      <w:r>
        <w:rPr>
          <w:rFonts w:hint="eastAsia" w:ascii="黑体" w:hAnsi="黑体" w:eastAsia="黑体" w:cs="黑体"/>
          <w:sz w:val="32"/>
          <w:szCs w:val="32"/>
        </w:rPr>
        <w:fldChar w:fldCharType="separate"/>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_Toc7361 </w:instrText>
      </w:r>
      <w:r>
        <w:rPr>
          <w:rFonts w:hint="eastAsia" w:ascii="黑体" w:hAnsi="黑体" w:eastAsia="黑体" w:cs="黑体"/>
          <w:sz w:val="32"/>
          <w:szCs w:val="32"/>
        </w:rPr>
        <w:fldChar w:fldCharType="separate"/>
      </w:r>
      <w:r>
        <w:rPr>
          <w:rFonts w:hint="eastAsia" w:ascii="宋体" w:hAnsi="宋体"/>
          <w:sz w:val="32"/>
          <w:szCs w:val="32"/>
        </w:rPr>
        <w:t>总 则</w:t>
      </w:r>
      <w:r>
        <w:rPr>
          <w:sz w:val="32"/>
          <w:szCs w:val="32"/>
        </w:rPr>
        <w:tab/>
      </w:r>
      <w:r>
        <w:rPr>
          <w:sz w:val="32"/>
          <w:szCs w:val="32"/>
        </w:rPr>
        <w:fldChar w:fldCharType="begin"/>
      </w:r>
      <w:r>
        <w:rPr>
          <w:sz w:val="32"/>
          <w:szCs w:val="32"/>
        </w:rPr>
        <w:instrText xml:space="preserve"> PAGEREF _Toc7361 \h </w:instrText>
      </w:r>
      <w:r>
        <w:rPr>
          <w:sz w:val="32"/>
          <w:szCs w:val="32"/>
        </w:rPr>
        <w:fldChar w:fldCharType="separate"/>
      </w:r>
      <w:r>
        <w:rPr>
          <w:sz w:val="32"/>
          <w:szCs w:val="32"/>
        </w:rPr>
        <w:t>3</w:t>
      </w:r>
      <w:r>
        <w:rPr>
          <w:sz w:val="32"/>
          <w:szCs w:val="32"/>
        </w:rPr>
        <w:fldChar w:fldCharType="end"/>
      </w:r>
      <w:r>
        <w:rPr>
          <w:rFonts w:hint="eastAsia" w:ascii="黑体" w:hAnsi="黑体" w:eastAsia="黑体" w:cs="黑体"/>
          <w:sz w:val="32"/>
          <w:szCs w:val="32"/>
        </w:rPr>
        <w:fldChar w:fldCharType="end"/>
      </w:r>
    </w:p>
    <w:p>
      <w:pPr>
        <w:pStyle w:val="12"/>
        <w:tabs>
          <w:tab w:val="right" w:leader="dot" w:pos="8306"/>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_Toc12367 </w:instrText>
      </w:r>
      <w:r>
        <w:rPr>
          <w:rFonts w:hint="eastAsia" w:ascii="黑体" w:hAnsi="黑体" w:eastAsia="黑体" w:cs="黑体"/>
          <w:sz w:val="32"/>
          <w:szCs w:val="32"/>
        </w:rPr>
        <w:fldChar w:fldCharType="separate"/>
      </w:r>
      <w:r>
        <w:rPr>
          <w:rFonts w:hint="eastAsia" w:ascii="宋体" w:hAnsi="宋体" w:eastAsia="宋体" w:cs="宋体"/>
          <w:bCs/>
          <w:kern w:val="2"/>
          <w:sz w:val="32"/>
          <w:szCs w:val="32"/>
          <w:lang w:val="en-US" w:eastAsia="zh-CN" w:bidi="ar-SA"/>
        </w:rPr>
        <w:t>一、 服务内容及目的</w:t>
      </w:r>
      <w:r>
        <w:rPr>
          <w:sz w:val="32"/>
          <w:szCs w:val="32"/>
        </w:rPr>
        <w:tab/>
      </w:r>
      <w:r>
        <w:rPr>
          <w:sz w:val="32"/>
          <w:szCs w:val="32"/>
        </w:rPr>
        <w:fldChar w:fldCharType="begin"/>
      </w:r>
      <w:r>
        <w:rPr>
          <w:sz w:val="32"/>
          <w:szCs w:val="32"/>
        </w:rPr>
        <w:instrText xml:space="preserve"> PAGEREF _Toc12367 \h </w:instrText>
      </w:r>
      <w:r>
        <w:rPr>
          <w:sz w:val="32"/>
          <w:szCs w:val="32"/>
        </w:rPr>
        <w:fldChar w:fldCharType="separate"/>
      </w:r>
      <w:r>
        <w:rPr>
          <w:sz w:val="32"/>
          <w:szCs w:val="32"/>
        </w:rPr>
        <w:t>4</w:t>
      </w:r>
      <w:r>
        <w:rPr>
          <w:sz w:val="32"/>
          <w:szCs w:val="32"/>
        </w:rPr>
        <w:fldChar w:fldCharType="end"/>
      </w:r>
      <w:r>
        <w:rPr>
          <w:rFonts w:hint="eastAsia" w:ascii="黑体" w:hAnsi="黑体" w:eastAsia="黑体" w:cs="黑体"/>
          <w:sz w:val="32"/>
          <w:szCs w:val="32"/>
        </w:rPr>
        <w:fldChar w:fldCharType="end"/>
      </w:r>
    </w:p>
    <w:p>
      <w:pPr>
        <w:pStyle w:val="12"/>
        <w:tabs>
          <w:tab w:val="right" w:leader="dot" w:pos="8306"/>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_Toc9542 </w:instrText>
      </w:r>
      <w:r>
        <w:rPr>
          <w:rFonts w:hint="eastAsia" w:ascii="黑体" w:hAnsi="黑体" w:eastAsia="黑体" w:cs="黑体"/>
          <w:sz w:val="32"/>
          <w:szCs w:val="32"/>
        </w:rPr>
        <w:fldChar w:fldCharType="separate"/>
      </w:r>
      <w:r>
        <w:rPr>
          <w:rFonts w:hint="eastAsia" w:ascii="宋体" w:hAnsi="宋体" w:eastAsia="宋体" w:cs="宋体"/>
          <w:bCs/>
          <w:kern w:val="2"/>
          <w:sz w:val="32"/>
          <w:szCs w:val="32"/>
          <w:lang w:val="en-US" w:eastAsia="zh-CN" w:bidi="ar-SA"/>
        </w:rPr>
        <w:t>二、 主要技术指标要求</w:t>
      </w:r>
      <w:r>
        <w:rPr>
          <w:sz w:val="32"/>
          <w:szCs w:val="32"/>
        </w:rPr>
        <w:tab/>
      </w:r>
      <w:r>
        <w:rPr>
          <w:sz w:val="32"/>
          <w:szCs w:val="32"/>
        </w:rPr>
        <w:fldChar w:fldCharType="begin"/>
      </w:r>
      <w:r>
        <w:rPr>
          <w:sz w:val="32"/>
          <w:szCs w:val="32"/>
        </w:rPr>
        <w:instrText xml:space="preserve"> PAGEREF _Toc9542 \h </w:instrText>
      </w:r>
      <w:r>
        <w:rPr>
          <w:sz w:val="32"/>
          <w:szCs w:val="32"/>
        </w:rPr>
        <w:fldChar w:fldCharType="separate"/>
      </w:r>
      <w:r>
        <w:rPr>
          <w:sz w:val="32"/>
          <w:szCs w:val="32"/>
        </w:rPr>
        <w:t>4</w:t>
      </w:r>
      <w:r>
        <w:rPr>
          <w:sz w:val="32"/>
          <w:szCs w:val="32"/>
        </w:rPr>
        <w:fldChar w:fldCharType="end"/>
      </w:r>
      <w:r>
        <w:rPr>
          <w:rFonts w:hint="eastAsia" w:ascii="黑体" w:hAnsi="黑体" w:eastAsia="黑体" w:cs="黑体"/>
          <w:sz w:val="32"/>
          <w:szCs w:val="32"/>
        </w:rPr>
        <w:fldChar w:fldCharType="end"/>
      </w:r>
    </w:p>
    <w:p>
      <w:pPr>
        <w:pStyle w:val="12"/>
        <w:tabs>
          <w:tab w:val="right" w:leader="dot" w:pos="8306"/>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_Toc30257 </w:instrText>
      </w:r>
      <w:r>
        <w:rPr>
          <w:rFonts w:hint="eastAsia" w:ascii="黑体" w:hAnsi="黑体" w:eastAsia="黑体" w:cs="黑体"/>
          <w:sz w:val="32"/>
          <w:szCs w:val="32"/>
        </w:rPr>
        <w:fldChar w:fldCharType="separate"/>
      </w:r>
      <w:r>
        <w:rPr>
          <w:rFonts w:hint="eastAsia" w:ascii="宋体" w:hAnsi="宋体" w:eastAsia="宋体" w:cs="宋体"/>
          <w:bCs/>
          <w:kern w:val="2"/>
          <w:sz w:val="32"/>
          <w:szCs w:val="32"/>
          <w:lang w:val="en-US" w:eastAsia="zh-CN" w:bidi="ar-SA"/>
        </w:rPr>
        <w:t>三、 成果交付与验收</w:t>
      </w:r>
      <w:r>
        <w:rPr>
          <w:sz w:val="32"/>
          <w:szCs w:val="32"/>
        </w:rPr>
        <w:tab/>
      </w:r>
      <w:r>
        <w:rPr>
          <w:sz w:val="32"/>
          <w:szCs w:val="32"/>
        </w:rPr>
        <w:fldChar w:fldCharType="begin"/>
      </w:r>
      <w:r>
        <w:rPr>
          <w:sz w:val="32"/>
          <w:szCs w:val="32"/>
        </w:rPr>
        <w:instrText xml:space="preserve"> PAGEREF _Toc30257 \h </w:instrText>
      </w:r>
      <w:r>
        <w:rPr>
          <w:sz w:val="32"/>
          <w:szCs w:val="32"/>
        </w:rPr>
        <w:fldChar w:fldCharType="separate"/>
      </w:r>
      <w:r>
        <w:rPr>
          <w:sz w:val="32"/>
          <w:szCs w:val="32"/>
        </w:rPr>
        <w:t>5</w:t>
      </w:r>
      <w:r>
        <w:rPr>
          <w:sz w:val="32"/>
          <w:szCs w:val="32"/>
        </w:rPr>
        <w:fldChar w:fldCharType="end"/>
      </w:r>
      <w:r>
        <w:rPr>
          <w:rFonts w:hint="eastAsia" w:ascii="黑体" w:hAnsi="黑体" w:eastAsia="黑体" w:cs="黑体"/>
          <w:sz w:val="32"/>
          <w:szCs w:val="32"/>
        </w:rPr>
        <w:fldChar w:fldCharType="end"/>
      </w:r>
    </w:p>
    <w:p>
      <w:pPr>
        <w:pStyle w:val="12"/>
        <w:tabs>
          <w:tab w:val="right" w:leader="dot" w:pos="8306"/>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_Toc30702 </w:instrText>
      </w:r>
      <w:r>
        <w:rPr>
          <w:rFonts w:hint="eastAsia" w:ascii="黑体" w:hAnsi="黑体" w:eastAsia="黑体" w:cs="黑体"/>
          <w:sz w:val="32"/>
          <w:szCs w:val="32"/>
        </w:rPr>
        <w:fldChar w:fldCharType="separate"/>
      </w:r>
      <w:r>
        <w:rPr>
          <w:rFonts w:hint="eastAsia" w:ascii="宋体" w:hAnsi="宋体" w:eastAsia="宋体" w:cs="宋体"/>
          <w:bCs/>
          <w:kern w:val="2"/>
          <w:sz w:val="32"/>
          <w:szCs w:val="32"/>
          <w:lang w:val="en-US" w:eastAsia="zh-CN" w:bidi="ar-SA"/>
        </w:rPr>
        <w:t>四、 资格要求</w:t>
      </w:r>
      <w:r>
        <w:rPr>
          <w:sz w:val="32"/>
          <w:szCs w:val="32"/>
        </w:rPr>
        <w:tab/>
      </w:r>
      <w:r>
        <w:rPr>
          <w:sz w:val="32"/>
          <w:szCs w:val="32"/>
        </w:rPr>
        <w:fldChar w:fldCharType="begin"/>
      </w:r>
      <w:r>
        <w:rPr>
          <w:sz w:val="32"/>
          <w:szCs w:val="32"/>
        </w:rPr>
        <w:instrText xml:space="preserve"> PAGEREF _Toc30702 \h </w:instrText>
      </w:r>
      <w:r>
        <w:rPr>
          <w:sz w:val="32"/>
          <w:szCs w:val="32"/>
        </w:rPr>
        <w:fldChar w:fldCharType="separate"/>
      </w:r>
      <w:r>
        <w:rPr>
          <w:sz w:val="32"/>
          <w:szCs w:val="32"/>
        </w:rPr>
        <w:t>6</w:t>
      </w:r>
      <w:r>
        <w:rPr>
          <w:sz w:val="32"/>
          <w:szCs w:val="32"/>
        </w:rPr>
        <w:fldChar w:fldCharType="end"/>
      </w:r>
      <w:r>
        <w:rPr>
          <w:rFonts w:hint="eastAsia" w:ascii="黑体" w:hAnsi="黑体" w:eastAsia="黑体" w:cs="黑体"/>
          <w:sz w:val="32"/>
          <w:szCs w:val="32"/>
        </w:rPr>
        <w:fldChar w:fldCharType="end"/>
      </w:r>
    </w:p>
    <w:p>
      <w:pPr>
        <w:pStyle w:val="12"/>
        <w:tabs>
          <w:tab w:val="right" w:leader="dot" w:pos="8306"/>
        </w:tabs>
        <w:snapToGrid w:val="0"/>
        <w:spacing w:line="560" w:lineRule="exact"/>
        <w:rPr>
          <w:rFonts w:hint="eastAsia" w:ascii="黑体" w:hAnsi="黑体" w:eastAsia="黑体" w:cs="黑体"/>
          <w:b/>
          <w:sz w:val="24"/>
        </w:rPr>
      </w:pPr>
      <w:r>
        <w:rPr>
          <w:rFonts w:hint="eastAsia" w:ascii="黑体" w:hAnsi="黑体" w:eastAsia="黑体" w:cs="黑体"/>
          <w:sz w:val="32"/>
          <w:szCs w:val="32"/>
        </w:rPr>
        <w:fldChar w:fldCharType="end"/>
      </w:r>
    </w:p>
    <w:p>
      <w:pPr>
        <w:rPr>
          <w:rFonts w:hint="eastAsia" w:ascii="宋体" w:hAnsi="宋体"/>
          <w:b/>
          <w:sz w:val="30"/>
        </w:rPr>
      </w:pPr>
      <w:r>
        <w:rPr>
          <w:rFonts w:ascii="宋体" w:hAnsi="宋体"/>
          <w:b/>
          <w:sz w:val="30"/>
        </w:rPr>
        <w:br w:type="page"/>
      </w:r>
    </w:p>
    <w:p>
      <w:pPr>
        <w:spacing w:line="480" w:lineRule="auto"/>
        <w:jc w:val="center"/>
        <w:outlineLvl w:val="0"/>
        <w:rPr>
          <w:rFonts w:hint="eastAsia" w:ascii="宋体" w:hAnsi="宋体"/>
          <w:b/>
          <w:sz w:val="32"/>
        </w:rPr>
      </w:pPr>
      <w:bookmarkStart w:id="3" w:name="_Toc266713645"/>
      <w:bookmarkStart w:id="4" w:name="_Toc32374"/>
      <w:bookmarkStart w:id="5" w:name="_Toc17586"/>
      <w:bookmarkStart w:id="6" w:name="_Toc19589"/>
      <w:bookmarkStart w:id="7" w:name="_Toc161832193"/>
      <w:bookmarkStart w:id="8" w:name="_Toc7361"/>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outlineLvl w:val="9"/>
        <w:rPr>
          <w:rFonts w:hint="eastAsia" w:ascii="宋体" w:hAnsi="宋体"/>
          <w:bCs/>
          <w:sz w:val="24"/>
        </w:rPr>
      </w:pPr>
      <w:r>
        <w:rPr>
          <w:rFonts w:hint="eastAsia" w:ascii="宋体" w:hAnsi="宋体"/>
          <w:bCs/>
          <w:sz w:val="24"/>
        </w:rPr>
        <w:t>本文件为该一种多功能的低压架空线路故障排查工具</w:t>
      </w:r>
      <w:r>
        <w:rPr>
          <w:rFonts w:hint="eastAsia" w:ascii="宋体" w:hAnsi="宋体"/>
          <w:bCs/>
          <w:sz w:val="24"/>
          <w:lang w:val="en-US" w:eastAsia="zh-CN"/>
        </w:rPr>
        <w:t>测试加工服务</w:t>
      </w:r>
      <w:r>
        <w:rPr>
          <w:rFonts w:hint="eastAsia" w:ascii="宋体" w:hAnsi="宋体"/>
          <w:bCs/>
          <w:sz w:val="24"/>
        </w:rPr>
        <w:t>项目的技术要求书。</w:t>
      </w:r>
    </w:p>
    <w:p>
      <w:pPr>
        <w:numPr>
          <w:ilvl w:val="0"/>
          <w:numId w:val="2"/>
        </w:numPr>
        <w:spacing w:line="360" w:lineRule="auto"/>
        <w:outlineLvl w:val="9"/>
        <w:rPr>
          <w:rFonts w:hint="eastAsia" w:ascii="宋体" w:hAnsi="宋体"/>
          <w:bCs/>
          <w:sz w:val="24"/>
          <w:szCs w:val="22"/>
        </w:rPr>
      </w:pPr>
      <w:r>
        <w:rPr>
          <w:rFonts w:hint="eastAsia" w:ascii="宋体" w:hAnsi="宋体"/>
          <w:bCs/>
          <w:sz w:val="24"/>
          <w:szCs w:val="22"/>
          <w:lang w:val="en-US" w:eastAsia="zh-CN"/>
        </w:rPr>
        <w:t>测试加工</w:t>
      </w:r>
      <w:r>
        <w:rPr>
          <w:rFonts w:hint="eastAsia" w:ascii="宋体" w:hAnsi="宋体"/>
          <w:bCs/>
          <w:sz w:val="24"/>
          <w:szCs w:val="22"/>
        </w:rPr>
        <w:t>服务提供方</w:t>
      </w:r>
      <w:r>
        <w:rPr>
          <w:rFonts w:hint="eastAsia"/>
          <w:sz w:val="24"/>
        </w:rPr>
        <w:t>需要提供满足</w:t>
      </w:r>
      <w:r>
        <w:rPr>
          <w:rFonts w:hint="eastAsia" w:ascii="宋体" w:hAnsi="宋体"/>
          <w:bCs/>
          <w:sz w:val="24"/>
          <w:szCs w:val="22"/>
        </w:rPr>
        <w:t>本技术要求书制定目标的材料供应，以及在项目进行中为达成既定目标提</w:t>
      </w:r>
      <w:r>
        <w:rPr>
          <w:rFonts w:hint="eastAsia"/>
          <w:sz w:val="24"/>
        </w:rPr>
        <w:t>出的其他</w:t>
      </w:r>
      <w:bookmarkStart w:id="9" w:name="_Hlk173933519"/>
      <w:r>
        <w:rPr>
          <w:rFonts w:hint="eastAsia"/>
          <w:sz w:val="24"/>
        </w:rPr>
        <w:t>优化调整</w:t>
      </w:r>
      <w:bookmarkEnd w:id="9"/>
      <w:r>
        <w:rPr>
          <w:rFonts w:hint="eastAsia"/>
          <w:sz w:val="24"/>
        </w:rPr>
        <w:t>需求。</w:t>
      </w:r>
    </w:p>
    <w:p>
      <w:pPr>
        <w:numPr>
          <w:ilvl w:val="0"/>
          <w:numId w:val="2"/>
        </w:numPr>
        <w:spacing w:line="360" w:lineRule="auto"/>
        <w:outlineLvl w:val="9"/>
        <w:rPr>
          <w:rFonts w:hint="eastAsia" w:ascii="宋体" w:hAnsi="宋体"/>
          <w:bCs/>
          <w:sz w:val="24"/>
          <w:szCs w:val="22"/>
        </w:rPr>
      </w:pPr>
      <w:r>
        <w:rPr>
          <w:rFonts w:hint="eastAsia" w:ascii="宋体" w:hAnsi="宋体"/>
          <w:bCs/>
          <w:sz w:val="24"/>
          <w:szCs w:val="22"/>
        </w:rPr>
        <w:t>本技术要求书未尽事宜，由双方协商确定。</w:t>
      </w:r>
    </w:p>
    <w:p>
      <w:pPr>
        <w:pStyle w:val="24"/>
        <w:spacing w:before="312"/>
        <w:outlineLvl w:val="9"/>
        <w:rPr>
          <w:rFonts w:hint="eastAsia"/>
          <w:szCs w:val="22"/>
        </w:rPr>
      </w:pPr>
      <w:r>
        <w:rPr>
          <w:rFonts w:hint="eastAsia"/>
          <w:szCs w:val="22"/>
        </w:rPr>
        <w:br w:type="page"/>
      </w:r>
    </w:p>
    <w:p>
      <w:pPr>
        <w:widowControl w:val="0"/>
        <w:numPr>
          <w:ilvl w:val="0"/>
          <w:numId w:val="3"/>
        </w:numPr>
        <w:ind w:left="440" w:hanging="440" w:firstLineChars="0"/>
        <w:jc w:val="both"/>
        <w:outlineLvl w:val="0"/>
        <w:rPr>
          <w:rFonts w:hint="eastAsia" w:ascii="宋体" w:hAnsi="宋体" w:eastAsia="宋体" w:cs="宋体"/>
          <w:b/>
          <w:bCs/>
          <w:kern w:val="2"/>
          <w:sz w:val="28"/>
          <w:szCs w:val="28"/>
          <w:lang w:val="en-US" w:eastAsia="zh-CN" w:bidi="ar-SA"/>
        </w:rPr>
      </w:pPr>
      <w:bookmarkStart w:id="10" w:name="_Toc12367"/>
      <w:r>
        <w:rPr>
          <w:rFonts w:hint="eastAsia" w:ascii="宋体" w:hAnsi="宋体" w:eastAsia="宋体" w:cs="宋体"/>
          <w:b/>
          <w:bCs/>
          <w:kern w:val="2"/>
          <w:sz w:val="28"/>
          <w:szCs w:val="28"/>
          <w:lang w:val="en-US" w:eastAsia="zh-CN" w:bidi="ar-SA"/>
        </w:rPr>
        <w:t>服务内容及目的</w:t>
      </w:r>
      <w:bookmarkEnd w:id="10"/>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为提升一线现场低压配网故障排查技术水平，</w:t>
      </w:r>
      <w:r>
        <w:rPr>
          <w:rFonts w:hint="eastAsia" w:ascii="宋体" w:hAnsi="宋体" w:cs="宋体"/>
          <w:sz w:val="24"/>
          <w:szCs w:val="24"/>
          <w:lang w:val="en-US" w:eastAsia="zh-CN"/>
        </w:rPr>
        <w:t>甲方</w:t>
      </w:r>
      <w:r>
        <w:rPr>
          <w:rFonts w:hint="eastAsia" w:ascii="宋体" w:hAnsi="宋体" w:eastAsia="宋体" w:cs="宋体"/>
          <w:sz w:val="24"/>
          <w:szCs w:val="24"/>
        </w:rPr>
        <w:t>项目组拟针对低压配网夜晚故障场景排查检测需要，研制一种多功能的低压架空线路故障排查工具，采用一体式轻量化集成设计，集成照明、电流测量、电压感应等多功能于一体，有效减轻现场作业负担及操作步骤，提升故障巡查效率。</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rPr>
        <w:t>服务方需要提供满足主要技术指标要求的</w:t>
      </w:r>
      <w:r>
        <w:rPr>
          <w:rFonts w:hint="eastAsia" w:ascii="宋体" w:hAnsi="宋体" w:cs="宋体"/>
          <w:sz w:val="24"/>
          <w:szCs w:val="24"/>
          <w:lang w:val="en-US" w:eastAsia="zh-CN"/>
        </w:rPr>
        <w:t>测试加工服务</w:t>
      </w:r>
      <w:r>
        <w:rPr>
          <w:rFonts w:hint="eastAsia" w:ascii="宋体" w:hAnsi="宋体" w:eastAsia="宋体" w:cs="宋体"/>
          <w:sz w:val="24"/>
          <w:szCs w:val="24"/>
        </w:rPr>
        <w:t>，以及在项目进行中为达成既定目标提出的其他优化调整需求</w:t>
      </w:r>
      <w:r>
        <w:rPr>
          <w:rFonts w:hint="eastAsia" w:ascii="宋体" w:hAnsi="宋体" w:cs="宋体"/>
          <w:sz w:val="24"/>
          <w:szCs w:val="24"/>
          <w:lang w:eastAsia="zh-CN"/>
        </w:rPr>
        <w:t>，</w:t>
      </w:r>
      <w:r>
        <w:rPr>
          <w:rFonts w:hint="eastAsia" w:ascii="宋体" w:hAnsi="宋体" w:cs="宋体"/>
          <w:sz w:val="24"/>
          <w:szCs w:val="24"/>
          <w:lang w:val="en-US" w:eastAsia="zh-CN"/>
        </w:rPr>
        <w:t>保证成品按要求交付</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b/>
          <w:bCs/>
          <w:sz w:val="24"/>
          <w:szCs w:val="24"/>
        </w:rPr>
      </w:pPr>
      <w:r>
        <w:rPr>
          <w:rFonts w:hint="eastAsia" w:ascii="宋体" w:hAnsi="宋体" w:cs="宋体"/>
          <w:b/>
          <w:bCs/>
          <w:sz w:val="24"/>
          <w:szCs w:val="24"/>
          <w:lang w:val="en-US" w:eastAsia="zh-CN"/>
        </w:rPr>
        <w:t>服务</w:t>
      </w:r>
      <w:r>
        <w:rPr>
          <w:rFonts w:hint="eastAsia" w:ascii="宋体" w:hAnsi="宋体" w:eastAsia="宋体" w:cs="宋体"/>
          <w:b/>
          <w:bCs/>
          <w:sz w:val="24"/>
          <w:szCs w:val="24"/>
        </w:rPr>
        <w:t>目的：</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集成加工生产出符合甲方技术文件要求的成品</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对成产的成品进行安装测试服务</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保证成品符合甲方技术要求规范，保证成品在规定时间内交付</w:t>
      </w:r>
    </w:p>
    <w:p>
      <w:pPr>
        <w:outlineLvl w:val="9"/>
        <w:rPr>
          <w:rFonts w:ascii="等线" w:hAnsi="等线" w:eastAsia="等线"/>
          <w:b/>
          <w:bCs/>
          <w:szCs w:val="22"/>
        </w:rPr>
      </w:pPr>
    </w:p>
    <w:p>
      <w:pPr>
        <w:widowControl w:val="0"/>
        <w:numPr>
          <w:ilvl w:val="0"/>
          <w:numId w:val="3"/>
        </w:numPr>
        <w:ind w:left="440" w:hanging="440" w:firstLineChars="0"/>
        <w:jc w:val="both"/>
        <w:outlineLvl w:val="0"/>
        <w:rPr>
          <w:rFonts w:hint="eastAsia" w:ascii="宋体" w:hAnsi="宋体" w:eastAsia="宋体" w:cs="宋体"/>
          <w:b/>
          <w:bCs/>
          <w:kern w:val="2"/>
          <w:sz w:val="28"/>
          <w:szCs w:val="28"/>
          <w:lang w:val="en-US" w:eastAsia="zh-CN" w:bidi="ar-SA"/>
        </w:rPr>
      </w:pPr>
      <w:bookmarkStart w:id="11" w:name="_Toc9542"/>
      <w:r>
        <w:rPr>
          <w:rFonts w:hint="eastAsia" w:ascii="宋体" w:hAnsi="宋体" w:eastAsia="宋体" w:cs="宋体"/>
          <w:b/>
          <w:bCs/>
          <w:kern w:val="2"/>
          <w:sz w:val="28"/>
          <w:szCs w:val="28"/>
          <w:lang w:val="en-US" w:eastAsia="zh-CN" w:bidi="ar-SA"/>
        </w:rPr>
        <w:t>主要技术指标要求</w:t>
      </w:r>
      <w:bookmarkEnd w:id="11"/>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textAlignment w:val="auto"/>
        <w:outlineLvl w:val="9"/>
        <w:rPr>
          <w:rFonts w:hint="eastAsia" w:ascii="宋体" w:hAnsi="宋体" w:cs="宋体"/>
          <w:b/>
          <w:bCs/>
          <w:sz w:val="26"/>
          <w:szCs w:val="26"/>
          <w:lang w:val="en-US" w:eastAsia="zh-CN"/>
        </w:rPr>
      </w:pPr>
      <w:r>
        <w:rPr>
          <w:rFonts w:hint="eastAsia" w:ascii="宋体" w:hAnsi="宋体" w:cs="宋体"/>
          <w:b/>
          <w:bCs/>
          <w:sz w:val="26"/>
          <w:szCs w:val="26"/>
          <w:lang w:val="en-US" w:eastAsia="zh-CN"/>
        </w:rPr>
        <w:t>集成加工服务：</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5" w:leftChars="0" w:hanging="425" w:firstLineChars="0"/>
        <w:textAlignment w:val="auto"/>
        <w:outlineLvl w:val="9"/>
        <w:rPr>
          <w:rFonts w:hint="eastAsia" w:ascii="宋体" w:hAnsi="宋体" w:cs="宋体"/>
          <w:b w:val="0"/>
          <w:bCs w:val="0"/>
          <w:sz w:val="24"/>
          <w:szCs w:val="24"/>
          <w:lang w:val="en-US" w:eastAsia="zh-CN"/>
        </w:rPr>
      </w:pPr>
      <w:r>
        <w:rPr>
          <w:rFonts w:hint="eastAsia" w:ascii="宋体" w:hAnsi="宋体" w:cs="宋体"/>
          <w:b/>
          <w:bCs/>
          <w:sz w:val="24"/>
          <w:szCs w:val="24"/>
          <w:lang w:val="en-US" w:eastAsia="zh-CN"/>
        </w:rPr>
        <w:t>工艺精度稳定性</w:t>
      </w:r>
      <w:r>
        <w:rPr>
          <w:rFonts w:hint="eastAsia" w:ascii="宋体" w:hAnsi="宋体" w:eastAsia="宋体" w:cs="宋体"/>
          <w:b/>
          <w:bCs/>
          <w:sz w:val="24"/>
          <w:szCs w:val="24"/>
        </w:rPr>
        <w:t>：</w:t>
      </w:r>
      <w:r>
        <w:rPr>
          <w:rFonts w:hint="eastAsia" w:ascii="宋体" w:hAnsi="宋体" w:eastAsia="宋体" w:cs="宋体"/>
          <w:b w:val="0"/>
          <w:bCs w:val="0"/>
          <w:sz w:val="24"/>
          <w:szCs w:val="24"/>
        </w:rPr>
        <w:t>装置的集成加工服务</w:t>
      </w:r>
      <w:r>
        <w:rPr>
          <w:rFonts w:hint="eastAsia" w:ascii="宋体" w:hAnsi="宋体" w:cs="宋体"/>
          <w:b w:val="0"/>
          <w:bCs w:val="0"/>
          <w:sz w:val="24"/>
          <w:szCs w:val="24"/>
          <w:lang w:val="en-US" w:eastAsia="zh-CN"/>
        </w:rPr>
        <w:t>需保证工艺精度，成品误差在允许范围内，加工设备在长时间使用中保持精度偏差在允许范围内。</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5" w:leftChars="0" w:hanging="425" w:firstLineChars="0"/>
        <w:textAlignment w:val="auto"/>
        <w:outlineLvl w:val="9"/>
        <w:rPr>
          <w:rFonts w:hint="eastAsia"/>
          <w:b w:val="0"/>
          <w:bCs w:val="0"/>
          <w:lang w:val="en-US" w:eastAsia="zh-CN"/>
        </w:rPr>
      </w:pPr>
      <w:r>
        <w:rPr>
          <w:rFonts w:hint="eastAsia" w:ascii="宋体" w:hAnsi="宋体" w:cs="宋体"/>
          <w:b/>
          <w:bCs/>
          <w:sz w:val="24"/>
          <w:szCs w:val="24"/>
          <w:lang w:val="en-US" w:eastAsia="zh-CN"/>
        </w:rPr>
        <w:t>易于产品成套生产和安装</w:t>
      </w:r>
      <w:r>
        <w:rPr>
          <w:rFonts w:hint="eastAsia" w:ascii="宋体" w:hAnsi="宋体" w:eastAsia="宋体" w:cs="宋体"/>
          <w:b/>
          <w:bCs/>
          <w:sz w:val="24"/>
          <w:szCs w:val="24"/>
          <w:lang w:eastAsia="zh-CN"/>
        </w:rPr>
        <w:t>：</w:t>
      </w:r>
      <w:r>
        <w:rPr>
          <w:rFonts w:hint="eastAsia" w:ascii="宋体" w:hAnsi="宋体" w:eastAsia="宋体" w:cs="宋体"/>
          <w:b w:val="0"/>
          <w:bCs w:val="0"/>
          <w:sz w:val="24"/>
          <w:szCs w:val="24"/>
          <w:lang w:eastAsia="zh-CN"/>
        </w:rPr>
        <w:t>装置的集成加工服务</w:t>
      </w:r>
      <w:r>
        <w:rPr>
          <w:rFonts w:hint="eastAsia" w:ascii="宋体" w:hAnsi="宋体" w:cs="宋体"/>
          <w:b w:val="0"/>
          <w:bCs w:val="0"/>
          <w:sz w:val="24"/>
          <w:szCs w:val="24"/>
          <w:lang w:val="en-US" w:eastAsia="zh-CN"/>
        </w:rPr>
        <w:t>能够高效地完成产品所需的全部加工工序，确保产品成套交付。</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5" w:leftChars="0" w:hanging="425" w:firstLineChars="0"/>
        <w:textAlignment w:val="auto"/>
        <w:outlineLvl w:val="9"/>
        <w:rPr>
          <w:rFonts w:hint="eastAsia"/>
          <w:b w:val="0"/>
          <w:bCs w:val="0"/>
          <w:lang w:val="en-US" w:eastAsia="zh-CN"/>
        </w:rPr>
      </w:pPr>
      <w:r>
        <w:rPr>
          <w:rFonts w:hint="eastAsia" w:ascii="宋体" w:hAnsi="宋体" w:eastAsia="宋体" w:cs="宋体"/>
          <w:b/>
          <w:bCs/>
          <w:sz w:val="24"/>
          <w:szCs w:val="24"/>
        </w:rPr>
        <w:t>易</w:t>
      </w:r>
      <w:r>
        <w:rPr>
          <w:rFonts w:hint="eastAsia" w:ascii="宋体" w:hAnsi="宋体" w:cs="宋体"/>
          <w:b/>
          <w:bCs/>
          <w:sz w:val="24"/>
          <w:szCs w:val="24"/>
          <w:lang w:val="en-US" w:eastAsia="zh-CN"/>
        </w:rPr>
        <w:t>于物流和生产管理</w:t>
      </w:r>
      <w:r>
        <w:rPr>
          <w:rFonts w:hint="eastAsia" w:ascii="宋体" w:hAnsi="宋体" w:eastAsia="宋体" w:cs="宋体"/>
          <w:b/>
          <w:bCs/>
          <w:sz w:val="24"/>
          <w:szCs w:val="24"/>
          <w:lang w:eastAsia="zh-CN"/>
        </w:rPr>
        <w:t>：</w:t>
      </w:r>
      <w:r>
        <w:rPr>
          <w:rFonts w:hint="eastAsia" w:ascii="宋体" w:hAnsi="宋体" w:cs="宋体"/>
          <w:b w:val="0"/>
          <w:bCs w:val="0"/>
          <w:sz w:val="24"/>
          <w:szCs w:val="24"/>
          <w:lang w:val="en-US" w:eastAsia="zh-CN"/>
        </w:rPr>
        <w:t>涉及加工服务中的物流规划和生产管理，确保生产流程的高效和流畅。</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5" w:leftChars="0" w:hanging="425" w:firstLineChars="0"/>
        <w:textAlignment w:val="auto"/>
        <w:outlineLvl w:val="9"/>
        <w:rPr>
          <w:rFonts w:hint="eastAsia" w:ascii="宋体" w:hAnsi="宋体" w:cs="宋体"/>
          <w:b w:val="0"/>
          <w:bCs w:val="0"/>
          <w:sz w:val="24"/>
          <w:szCs w:val="24"/>
          <w:lang w:val="en-US" w:eastAsia="zh-CN"/>
        </w:rPr>
      </w:pPr>
      <w:r>
        <w:rPr>
          <w:rFonts w:hint="eastAsia" w:ascii="宋体" w:hAnsi="宋体" w:eastAsia="宋体" w:cs="宋体"/>
          <w:b/>
          <w:bCs/>
          <w:sz w:val="24"/>
          <w:szCs w:val="24"/>
        </w:rPr>
        <w:t>加工余量</w:t>
      </w:r>
      <w:r>
        <w:rPr>
          <w:rFonts w:hint="eastAsia" w:ascii="宋体" w:hAnsi="宋体" w:eastAsia="宋体" w:cs="宋体"/>
          <w:b/>
          <w:bCs/>
          <w:sz w:val="24"/>
          <w:szCs w:val="24"/>
          <w:lang w:eastAsia="zh-CN"/>
        </w:rPr>
        <w:t>：</w:t>
      </w:r>
      <w:r>
        <w:rPr>
          <w:rFonts w:hint="eastAsia" w:ascii="宋体" w:hAnsi="宋体" w:eastAsia="宋体" w:cs="宋体"/>
          <w:b w:val="0"/>
          <w:bCs w:val="0"/>
          <w:sz w:val="24"/>
          <w:szCs w:val="24"/>
          <w:lang w:eastAsia="zh-CN"/>
        </w:rPr>
        <w:t>装置的集成加工服务</w:t>
      </w:r>
      <w:r>
        <w:rPr>
          <w:rFonts w:hint="eastAsia" w:ascii="宋体" w:hAnsi="宋体" w:cs="宋体"/>
          <w:b w:val="0"/>
          <w:bCs w:val="0"/>
          <w:sz w:val="24"/>
          <w:szCs w:val="24"/>
          <w:lang w:val="en-US" w:eastAsia="zh-CN"/>
        </w:rPr>
        <w:t>需保证合理的加工余量，有助于保证加工质量和提高生产效率</w:t>
      </w:r>
    </w:p>
    <w:p>
      <w:pPr>
        <w:pStyle w:val="2"/>
        <w:numPr>
          <w:ilvl w:val="0"/>
          <w:numId w:val="5"/>
        </w:numPr>
        <w:ind w:left="425" w:leftChars="0" w:hanging="425" w:firstLineChars="0"/>
        <w:jc w:val="both"/>
        <w:rPr>
          <w:rFonts w:hint="eastAsia" w:ascii="宋体" w:hAnsi="宋体" w:cs="宋体"/>
          <w:b/>
          <w:bCs/>
          <w:kern w:val="2"/>
          <w:sz w:val="24"/>
          <w:szCs w:val="24"/>
          <w:lang w:val="en-US" w:eastAsia="zh-CN" w:bidi="ar-SA"/>
        </w:rPr>
      </w:pPr>
      <w:r>
        <w:rPr>
          <w:rFonts w:hint="eastAsia" w:ascii="宋体" w:hAnsi="宋体" w:cs="宋体"/>
          <w:b/>
          <w:bCs/>
          <w:kern w:val="2"/>
          <w:sz w:val="24"/>
          <w:szCs w:val="24"/>
          <w:lang w:val="en-US" w:eastAsia="zh-CN" w:bidi="ar-SA"/>
        </w:rPr>
        <w:t>安装测试服务：</w:t>
      </w:r>
    </w:p>
    <w:p>
      <w:pPr>
        <w:pStyle w:val="3"/>
        <w:keepNext w:val="0"/>
        <w:keepLines w:val="0"/>
        <w:pageBreakBefore w:val="0"/>
        <w:widowControl w:val="0"/>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宋体" w:hAnsi="宋体" w:cs="宋体"/>
          <w:b w:val="0"/>
          <w:bCs w:val="0"/>
          <w:kern w:val="2"/>
          <w:sz w:val="24"/>
          <w:szCs w:val="24"/>
          <w:lang w:val="en-US" w:eastAsia="zh-CN" w:bidi="ar-SA"/>
        </w:rPr>
      </w:pPr>
      <w:r>
        <w:rPr>
          <w:rFonts w:hint="eastAsia" w:ascii="宋体" w:hAnsi="宋体" w:cs="宋体"/>
          <w:b/>
          <w:bCs/>
          <w:kern w:val="2"/>
          <w:sz w:val="24"/>
          <w:szCs w:val="24"/>
          <w:lang w:val="en-US" w:eastAsia="zh-CN" w:bidi="ar-SA"/>
        </w:rPr>
        <w:t>安装测试：</w:t>
      </w:r>
      <w:r>
        <w:rPr>
          <w:rFonts w:hint="eastAsia" w:ascii="宋体" w:hAnsi="宋体" w:cs="宋体"/>
          <w:b w:val="0"/>
          <w:bCs w:val="0"/>
          <w:kern w:val="2"/>
          <w:sz w:val="24"/>
          <w:szCs w:val="24"/>
          <w:lang w:val="en-US" w:eastAsia="zh-CN" w:bidi="ar-SA"/>
        </w:rPr>
        <w:t>测试成品安装和拆卸过程是否顺利，有无卡滞和损坏</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425" w:leftChars="0" w:hanging="425" w:firstLineChars="0"/>
        <w:textAlignment w:val="auto"/>
        <w:rPr>
          <w:rFonts w:hint="default"/>
          <w:b w:val="0"/>
          <w:bCs w:val="0"/>
          <w:lang w:val="en-US" w:eastAsia="zh-CN"/>
        </w:rPr>
      </w:pPr>
      <w:r>
        <w:rPr>
          <w:rFonts w:hint="eastAsia" w:ascii="宋体" w:hAnsi="宋体" w:cs="宋体"/>
          <w:b/>
          <w:bCs/>
          <w:kern w:val="2"/>
          <w:sz w:val="24"/>
          <w:szCs w:val="24"/>
          <w:lang w:val="en-US" w:eastAsia="zh-CN" w:bidi="ar-SA"/>
        </w:rPr>
        <w:t>文档资料测试：</w:t>
      </w:r>
      <w:r>
        <w:rPr>
          <w:rFonts w:hint="eastAsia" w:ascii="宋体" w:hAnsi="宋体" w:cs="宋体"/>
          <w:b w:val="0"/>
          <w:bCs w:val="0"/>
          <w:kern w:val="2"/>
          <w:sz w:val="24"/>
          <w:szCs w:val="24"/>
          <w:lang w:val="en-US" w:eastAsia="zh-CN" w:bidi="ar-SA"/>
        </w:rPr>
        <w:t>检查相关文件资料是否齐全，设备技术资料（图纸、设备使用与保养说明书和备件目录）、检测试验报告、产品合格证、随机配件等是否与合同以及技术协议内容相符</w:t>
      </w:r>
    </w:p>
    <w:p>
      <w:pPr>
        <w:pStyle w:val="3"/>
        <w:keepNext w:val="0"/>
        <w:keepLines w:val="0"/>
        <w:pageBreakBefore w:val="0"/>
        <w:widowControl w:val="0"/>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宋体" w:hAnsi="宋体" w:eastAsia="宋体" w:cs="宋体"/>
          <w:b w:val="0"/>
          <w:bCs w:val="0"/>
          <w:kern w:val="2"/>
          <w:sz w:val="24"/>
          <w:szCs w:val="24"/>
          <w:lang w:val="en-US" w:eastAsia="zh-CN" w:bidi="ar-SA"/>
        </w:rPr>
      </w:pPr>
      <w:r>
        <w:rPr>
          <w:rFonts w:hint="eastAsia" w:ascii="宋体" w:hAnsi="宋体" w:eastAsia="宋体" w:cs="宋体"/>
          <w:b/>
          <w:bCs/>
          <w:kern w:val="2"/>
          <w:sz w:val="24"/>
          <w:szCs w:val="24"/>
          <w:lang w:val="en-US" w:eastAsia="zh-CN" w:bidi="ar-SA"/>
        </w:rPr>
        <w:t>功能性测试</w:t>
      </w:r>
      <w:r>
        <w:rPr>
          <w:rFonts w:hint="eastAsia" w:ascii="宋体" w:hAnsi="宋体" w:cs="宋体"/>
          <w:b/>
          <w:bCs/>
          <w:kern w:val="2"/>
          <w:sz w:val="24"/>
          <w:szCs w:val="24"/>
          <w:lang w:val="en-US" w:eastAsia="zh-CN" w:bidi="ar-SA"/>
        </w:rPr>
        <w:t>：</w:t>
      </w:r>
      <w:r>
        <w:rPr>
          <w:rFonts w:hint="eastAsia" w:ascii="宋体" w:hAnsi="宋体" w:cs="宋体"/>
          <w:b w:val="0"/>
          <w:bCs w:val="0"/>
          <w:kern w:val="2"/>
          <w:sz w:val="24"/>
          <w:szCs w:val="24"/>
          <w:lang w:val="en-US" w:eastAsia="zh-CN" w:bidi="ar-SA"/>
        </w:rPr>
        <w:t>测试各个零部件的功能完好，安装完毕后的成品各项功能正常实现</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425" w:leftChars="0" w:hanging="425" w:firstLineChars="0"/>
        <w:textAlignment w:val="auto"/>
        <w:rPr>
          <w:rFonts w:hint="default"/>
          <w:lang w:val="en-US" w:eastAsia="zh-CN"/>
        </w:rPr>
      </w:pPr>
      <w:r>
        <w:rPr>
          <w:rFonts w:hint="eastAsia" w:ascii="宋体" w:hAnsi="宋体" w:eastAsia="宋体" w:cs="宋体"/>
          <w:b/>
          <w:bCs/>
          <w:kern w:val="2"/>
          <w:sz w:val="24"/>
          <w:szCs w:val="24"/>
          <w:lang w:val="en-US" w:eastAsia="zh-CN" w:bidi="ar-SA"/>
        </w:rPr>
        <w:t>性能测试</w:t>
      </w:r>
      <w:r>
        <w:rPr>
          <w:rFonts w:hint="eastAsia" w:ascii="宋体" w:hAnsi="宋体" w:cs="宋体"/>
          <w:b/>
          <w:bCs/>
          <w:kern w:val="2"/>
          <w:sz w:val="24"/>
          <w:szCs w:val="24"/>
          <w:lang w:val="en-US" w:eastAsia="zh-CN" w:bidi="ar-SA"/>
        </w:rPr>
        <w:t>：</w:t>
      </w:r>
      <w:r>
        <w:rPr>
          <w:rFonts w:hint="eastAsia" w:ascii="宋体" w:hAnsi="宋体" w:cs="宋体"/>
          <w:b w:val="0"/>
          <w:bCs w:val="0"/>
          <w:kern w:val="2"/>
          <w:sz w:val="24"/>
          <w:szCs w:val="24"/>
          <w:lang w:val="en-US" w:eastAsia="zh-CN" w:bidi="ar-SA"/>
        </w:rPr>
        <w:t>测试成品在允许使用范围内的各个电压等级上的性能，均需达到正常性能指标</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425" w:leftChars="0" w:hanging="425" w:firstLineChars="0"/>
        <w:textAlignment w:val="auto"/>
        <w:rPr>
          <w:rFonts w:hint="eastAsia"/>
          <w:lang w:val="en-US" w:eastAsia="zh-CN"/>
        </w:rPr>
      </w:pPr>
      <w:r>
        <w:rPr>
          <w:rFonts w:hint="eastAsia" w:ascii="宋体" w:hAnsi="宋体" w:eastAsia="宋体" w:cs="宋体"/>
          <w:b/>
          <w:bCs/>
          <w:kern w:val="2"/>
          <w:sz w:val="24"/>
          <w:szCs w:val="24"/>
          <w:lang w:val="en-US" w:eastAsia="zh-CN" w:bidi="ar-SA"/>
        </w:rPr>
        <w:t>安全性测试</w:t>
      </w:r>
      <w:r>
        <w:rPr>
          <w:rFonts w:hint="eastAsia" w:ascii="宋体" w:hAnsi="宋体" w:cs="宋体"/>
          <w:b/>
          <w:bCs/>
          <w:kern w:val="2"/>
          <w:sz w:val="24"/>
          <w:szCs w:val="24"/>
          <w:lang w:val="en-US" w:eastAsia="zh-CN" w:bidi="ar-SA"/>
        </w:rPr>
        <w:t>：</w:t>
      </w:r>
      <w:r>
        <w:rPr>
          <w:rFonts w:hint="eastAsia" w:ascii="宋体" w:hAnsi="宋体" w:cs="宋体"/>
          <w:b w:val="0"/>
          <w:bCs w:val="0"/>
          <w:kern w:val="2"/>
          <w:sz w:val="24"/>
          <w:szCs w:val="24"/>
          <w:lang w:val="en-US" w:eastAsia="zh-CN" w:bidi="ar-SA"/>
        </w:rPr>
        <w:t>包括但不限于泄露电流测试、连续性测试，在测试中不出现损坏和影响人身安全以及设备安全的现象</w:t>
      </w:r>
    </w:p>
    <w:p>
      <w:pPr>
        <w:pStyle w:val="2"/>
        <w:keepNext w:val="0"/>
        <w:keepLines w:val="0"/>
        <w:pageBreakBefore w:val="0"/>
        <w:widowControl w:val="0"/>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rPr>
          <w:rFonts w:hint="default" w:ascii="宋体" w:hAnsi="宋体" w:eastAsia="宋体" w:cs="宋体"/>
          <w:b w:val="0"/>
          <w:bCs w:val="0"/>
          <w:kern w:val="2"/>
          <w:sz w:val="24"/>
          <w:szCs w:val="24"/>
          <w:lang w:val="en-US" w:eastAsia="zh-CN" w:bidi="ar-SA"/>
        </w:rPr>
      </w:pPr>
      <w:r>
        <w:rPr>
          <w:rFonts w:hint="eastAsia" w:ascii="宋体" w:hAnsi="宋体" w:eastAsia="宋体" w:cs="宋体"/>
          <w:b/>
          <w:bCs/>
          <w:kern w:val="2"/>
          <w:sz w:val="24"/>
          <w:szCs w:val="24"/>
          <w:lang w:val="en-US" w:eastAsia="zh-CN" w:bidi="ar-SA"/>
        </w:rPr>
        <w:t>抗干扰测试：</w:t>
      </w:r>
      <w:r>
        <w:rPr>
          <w:rFonts w:hint="eastAsia" w:ascii="宋体" w:hAnsi="宋体" w:eastAsia="宋体" w:cs="宋体"/>
          <w:b w:val="0"/>
          <w:bCs w:val="0"/>
          <w:kern w:val="2"/>
          <w:sz w:val="24"/>
          <w:szCs w:val="24"/>
          <w:lang w:val="en-US" w:eastAsia="zh-CN" w:bidi="ar-SA"/>
        </w:rPr>
        <w:t>此工具使用环境多为低压线路，现场环境复杂，干扰因素过多，成品需做干扰性测试，包括但不限于带电线路距离过近干扰，服务提供方应</w:t>
      </w:r>
      <w:r>
        <w:rPr>
          <w:rFonts w:hint="eastAsia" w:ascii="宋体" w:hAnsi="宋体" w:cs="宋体"/>
          <w:b w:val="0"/>
          <w:bCs w:val="0"/>
          <w:kern w:val="2"/>
          <w:sz w:val="24"/>
          <w:szCs w:val="24"/>
          <w:lang w:val="en-US" w:eastAsia="zh-CN" w:bidi="ar-SA"/>
        </w:rPr>
        <w:t>提供</w:t>
      </w:r>
      <w:r>
        <w:rPr>
          <w:rFonts w:hint="eastAsia" w:ascii="宋体" w:hAnsi="宋体" w:eastAsia="宋体" w:cs="宋体"/>
          <w:b w:val="0"/>
          <w:bCs w:val="0"/>
          <w:kern w:val="2"/>
          <w:sz w:val="24"/>
          <w:szCs w:val="24"/>
          <w:lang w:val="en-US" w:eastAsia="zh-CN" w:bidi="ar-SA"/>
        </w:rPr>
        <w:t>精度调试</w:t>
      </w:r>
    </w:p>
    <w:p>
      <w:pPr>
        <w:widowControl w:val="0"/>
        <w:numPr>
          <w:ilvl w:val="0"/>
          <w:numId w:val="3"/>
        </w:numPr>
        <w:ind w:left="440" w:hanging="440" w:firstLineChars="0"/>
        <w:jc w:val="both"/>
        <w:outlineLvl w:val="0"/>
        <w:rPr>
          <w:rFonts w:hint="eastAsia" w:ascii="宋体" w:hAnsi="宋体" w:eastAsia="宋体" w:cs="宋体"/>
          <w:b/>
          <w:bCs/>
          <w:kern w:val="2"/>
          <w:sz w:val="28"/>
          <w:szCs w:val="28"/>
          <w:lang w:val="en-US" w:eastAsia="zh-CN" w:bidi="ar-SA"/>
        </w:rPr>
      </w:pPr>
      <w:bookmarkStart w:id="12" w:name="_Toc30257"/>
      <w:r>
        <w:rPr>
          <w:rFonts w:hint="eastAsia" w:ascii="宋体" w:hAnsi="宋体" w:eastAsia="宋体" w:cs="宋体"/>
          <w:b/>
          <w:bCs/>
          <w:kern w:val="2"/>
          <w:sz w:val="28"/>
          <w:szCs w:val="28"/>
          <w:lang w:val="en-US" w:eastAsia="zh-CN" w:bidi="ar-SA"/>
        </w:rPr>
        <w:t>成果交付与验收</w:t>
      </w:r>
      <w:bookmarkEnd w:id="12"/>
    </w:p>
    <w:p>
      <w:pPr>
        <w:keepNext w:val="0"/>
        <w:keepLines w:val="0"/>
        <w:pageBreakBefore w:val="0"/>
        <w:widowControl w:val="0"/>
        <w:kinsoku/>
        <w:wordWrap/>
        <w:overflowPunct/>
        <w:topLinePunct w:val="0"/>
        <w:autoSpaceDE/>
        <w:autoSpaceDN/>
        <w:bidi w:val="0"/>
        <w:adjustRightInd/>
        <w:snapToGrid/>
        <w:spacing w:line="360" w:lineRule="auto"/>
        <w:ind w:firstLine="360"/>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加工服务：提供一种多功能的低压架空线路故障排查工具研制所需测试加工服务，包括装置的集成加工服务、安装测试服务等。在材料供应商的材料供应配合下，交付多功能的低压架空线路故障排查工具样机1套，交付第三方测试报告1篇。</w:t>
      </w:r>
    </w:p>
    <w:p>
      <w:pPr>
        <w:keepNext w:val="0"/>
        <w:keepLines w:val="0"/>
        <w:pageBreakBefore w:val="0"/>
        <w:widowControl w:val="0"/>
        <w:kinsoku/>
        <w:wordWrap/>
        <w:overflowPunct/>
        <w:topLinePunct w:val="0"/>
        <w:autoSpaceDE/>
        <w:autoSpaceDN/>
        <w:bidi w:val="0"/>
        <w:adjustRightInd/>
        <w:snapToGrid/>
        <w:spacing w:line="360" w:lineRule="auto"/>
        <w:ind w:firstLine="360"/>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乙方需于2024年10月30日前交付符合要求的成果，并通过甲方验收，同时需协助甲方完成本项目的相关资料整理，包括协助甲方完成发明专利、论文等知识产权的编写，协助甲方完成项目资料收集、整理，配合甲方通过项目结题验收。</w:t>
      </w:r>
    </w:p>
    <w:p>
      <w:pPr>
        <w:keepNext w:val="0"/>
        <w:keepLines w:val="0"/>
        <w:pageBreakBefore w:val="0"/>
        <w:widowControl w:val="0"/>
        <w:kinsoku/>
        <w:wordWrap/>
        <w:overflowPunct/>
        <w:topLinePunct w:val="0"/>
        <w:autoSpaceDE/>
        <w:autoSpaceDN/>
        <w:bidi w:val="0"/>
        <w:adjustRightInd/>
        <w:snapToGrid/>
        <w:spacing w:line="360" w:lineRule="auto"/>
        <w:ind w:firstLine="360"/>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3、配合甲方申报相关奖项。</w:t>
      </w:r>
    </w:p>
    <w:p>
      <w:pPr>
        <w:keepNext w:val="0"/>
        <w:keepLines w:val="0"/>
        <w:pageBreakBefore w:val="0"/>
        <w:widowControl w:val="0"/>
        <w:kinsoku/>
        <w:wordWrap/>
        <w:overflowPunct/>
        <w:topLinePunct w:val="0"/>
        <w:autoSpaceDE/>
        <w:autoSpaceDN/>
        <w:bidi w:val="0"/>
        <w:adjustRightInd/>
        <w:snapToGrid/>
        <w:spacing w:line="360" w:lineRule="auto"/>
        <w:ind w:firstLine="36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鉴定与验收</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外观检查：按照合同核对生产工具的设备名称、型号规格等是否与合同和技术协议相符，查看是否有破损，如有残损应做好残损情况的现场记录，并拍照记录</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设备技术资料：设备技术资料（图纸、设备使用与保养说明书和备件目录）、产品合格证、检测试验报告、随机配件等是否与合同以及技术协议内容相符，否则不予验收</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开箱验收：设备要现场开箱验收并做好记录</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设备性能验收：设备性能验收要在设备安装完毕之后进行，对于此项设备，需所有主要技术指标均达到要求才给予验收</w:t>
      </w:r>
    </w:p>
    <w:p>
      <w:pPr>
        <w:outlineLvl w:val="9"/>
        <w:rPr>
          <w:rFonts w:hint="eastAsia" w:ascii="等线" w:hAnsi="等线" w:eastAsia="等线"/>
          <w:szCs w:val="22"/>
        </w:rPr>
      </w:pPr>
    </w:p>
    <w:p>
      <w:pPr>
        <w:widowControl w:val="0"/>
        <w:numPr>
          <w:ilvl w:val="0"/>
          <w:numId w:val="3"/>
        </w:numPr>
        <w:ind w:left="440" w:hanging="440" w:firstLineChars="0"/>
        <w:jc w:val="both"/>
        <w:outlineLvl w:val="0"/>
        <w:rPr>
          <w:rFonts w:hint="eastAsia" w:ascii="宋体" w:hAnsi="宋体" w:eastAsia="宋体" w:cs="宋体"/>
          <w:b/>
          <w:bCs/>
          <w:kern w:val="2"/>
          <w:sz w:val="28"/>
          <w:szCs w:val="28"/>
          <w:lang w:val="en-US" w:eastAsia="zh-CN" w:bidi="ar-SA"/>
        </w:rPr>
      </w:pPr>
      <w:bookmarkStart w:id="13" w:name="_Toc30702"/>
      <w:r>
        <w:rPr>
          <w:rFonts w:hint="eastAsia" w:ascii="宋体" w:hAnsi="宋体" w:eastAsia="宋体" w:cs="宋体"/>
          <w:b/>
          <w:bCs/>
          <w:kern w:val="2"/>
          <w:sz w:val="28"/>
          <w:szCs w:val="28"/>
          <w:lang w:val="en-US" w:eastAsia="zh-CN" w:bidi="ar-SA"/>
        </w:rPr>
        <w:t>资格要求</w:t>
      </w:r>
      <w:bookmarkEnd w:id="13"/>
    </w:p>
    <w:tbl>
      <w:tblPr>
        <w:tblStyle w:val="15"/>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宋体" w:hAnsi="宋体" w:eastAsia="宋体" w:cs="宋体"/>
                <w:color w:val="000000"/>
                <w:sz w:val="24"/>
                <w:szCs w:val="24"/>
              </w:rPr>
            </w:pPr>
            <w:r>
              <w:rPr>
                <w:rFonts w:hint="eastAsia" w:ascii="宋体" w:hAnsi="宋体" w:eastAsia="宋体" w:cs="宋体"/>
                <w:color w:val="000000"/>
                <w:kern w:val="0"/>
                <w:sz w:val="24"/>
                <w:szCs w:val="24"/>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宋体" w:hAnsi="宋体" w:eastAsia="宋体" w:cs="宋体"/>
                <w:color w:val="000000"/>
                <w:sz w:val="24"/>
                <w:szCs w:val="24"/>
              </w:rPr>
            </w:pPr>
            <w:r>
              <w:rPr>
                <w:rFonts w:hint="eastAsia" w:ascii="宋体" w:hAnsi="宋体" w:eastAsia="宋体" w:cs="宋体"/>
                <w:color w:val="000000"/>
                <w:kern w:val="0"/>
                <w:sz w:val="24"/>
                <w:szCs w:val="24"/>
              </w:rPr>
              <w:t>能提供营业执照或企业法人营业执照；</w:t>
            </w:r>
          </w:p>
        </w:tc>
      </w:tr>
      <w:tr>
        <w:tblPrEx>
          <w:tblCellMar>
            <w:top w:w="0" w:type="dxa"/>
            <w:left w:w="108" w:type="dxa"/>
            <w:bottom w:w="0" w:type="dxa"/>
            <w:right w:w="108" w:type="dxa"/>
          </w:tblCellMar>
        </w:tblPrEx>
        <w:trPr>
          <w:trHeight w:val="422"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宋体" w:hAnsi="宋体" w:eastAsia="宋体" w:cs="宋体"/>
                <w:color w:val="000000"/>
                <w:sz w:val="24"/>
                <w:szCs w:val="24"/>
              </w:rPr>
            </w:pPr>
            <w:r>
              <w:rPr>
                <w:rFonts w:hint="eastAsia" w:ascii="宋体" w:hAnsi="宋体" w:eastAsia="宋体" w:cs="宋体"/>
                <w:color w:val="000000"/>
                <w:kern w:val="0"/>
                <w:sz w:val="24"/>
                <w:szCs w:val="24"/>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能提供类似的研发合同业绩至少1份；</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宋体" w:hAnsi="宋体" w:eastAsia="宋体" w:cs="宋体"/>
                <w:color w:val="000000"/>
                <w:sz w:val="24"/>
                <w:szCs w:val="24"/>
              </w:rPr>
            </w:pPr>
            <w:r>
              <w:rPr>
                <w:rFonts w:hint="eastAsia" w:ascii="宋体" w:hAnsi="宋体" w:eastAsia="宋体" w:cs="宋体"/>
                <w:color w:val="000000"/>
                <w:kern w:val="0"/>
                <w:sz w:val="24"/>
                <w:szCs w:val="24"/>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本项目报价下浮率高于5% （不含本身）的需附成本分析报告。成本分析报告需充分说明费用的组成、降低成本的合理措施及在其他项目中应用过的经验等，未提供成本分析报告视为原则性不响应采购要求，作不合格处理。</w:t>
            </w:r>
          </w:p>
        </w:tc>
      </w:tr>
    </w:tbl>
    <w:p>
      <w:pPr>
        <w:spacing w:line="360" w:lineRule="auto"/>
        <w:rPr>
          <w:rFonts w:hint="eastAsia" w:ascii="宋体" w:hAnsi="宋体" w:eastAsia="宋体" w:cs="宋体"/>
          <w:color w:val="000000"/>
          <w:sz w:val="24"/>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0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AD5643"/>
    <w:multiLevelType w:val="singleLevel"/>
    <w:tmpl w:val="B9AD5643"/>
    <w:lvl w:ilvl="0" w:tentative="0">
      <w:start w:val="1"/>
      <w:numFmt w:val="decimal"/>
      <w:lvlText w:val="(%1)"/>
      <w:lvlJc w:val="left"/>
      <w:pPr>
        <w:ind w:left="425" w:hanging="425"/>
      </w:pPr>
      <w:rPr>
        <w:rFonts w:hint="default"/>
      </w:rPr>
    </w:lvl>
  </w:abstractNum>
  <w:abstractNum w:abstractNumId="1">
    <w:nsid w:val="00000000"/>
    <w:multiLevelType w:val="singleLevel"/>
    <w:tmpl w:val="00000000"/>
    <w:lvl w:ilvl="0" w:tentative="0">
      <w:start w:val="1"/>
      <w:numFmt w:val="decimal"/>
      <w:pStyle w:val="19"/>
      <w:lvlText w:val="%1."/>
      <w:lvlJc w:val="left"/>
      <w:pPr>
        <w:ind w:left="425" w:hanging="425"/>
      </w:pPr>
      <w:rPr>
        <w:rFonts w:hint="default"/>
      </w:rPr>
    </w:lvl>
  </w:abstractNum>
  <w:abstractNum w:abstractNumId="2">
    <w:nsid w:val="00000001"/>
    <w:multiLevelType w:val="singleLevel"/>
    <w:tmpl w:val="00000001"/>
    <w:lvl w:ilvl="0" w:tentative="0">
      <w:start w:val="1"/>
      <w:numFmt w:val="decimal"/>
      <w:lvlText w:val="%1."/>
      <w:lvlJc w:val="left"/>
      <w:pPr>
        <w:ind w:left="425" w:hanging="425"/>
      </w:pPr>
      <w:rPr>
        <w:rFonts w:hint="default"/>
      </w:rPr>
    </w:lvl>
  </w:abstractNum>
  <w:abstractNum w:abstractNumId="3">
    <w:nsid w:val="1EAA1954"/>
    <w:multiLevelType w:val="multilevel"/>
    <w:tmpl w:val="1EAA195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2D79E6F2"/>
    <w:multiLevelType w:val="singleLevel"/>
    <w:tmpl w:val="2D79E6F2"/>
    <w:lvl w:ilvl="0" w:tentative="0">
      <w:start w:val="1"/>
      <w:numFmt w:val="decimal"/>
      <w:lvlText w:val="%1."/>
      <w:lvlJc w:val="left"/>
      <w:pPr>
        <w:ind w:left="425" w:hanging="425"/>
      </w:pPr>
      <w:rPr>
        <w:rFonts w:hint="default"/>
      </w:rPr>
    </w:lvl>
  </w:abstractNum>
  <w:abstractNum w:abstractNumId="5">
    <w:nsid w:val="2F6A37A4"/>
    <w:multiLevelType w:val="multilevel"/>
    <w:tmpl w:val="2F6A37A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53C31482"/>
    <w:multiLevelType w:val="multilevel"/>
    <w:tmpl w:val="53C31482"/>
    <w:lvl w:ilvl="0" w:tentative="0">
      <w:start w:val="1"/>
      <w:numFmt w:val="chineseCountingThousand"/>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74D2E0A5"/>
    <w:multiLevelType w:val="singleLevel"/>
    <w:tmpl w:val="74D2E0A5"/>
    <w:lvl w:ilvl="0" w:tentative="0">
      <w:start w:val="1"/>
      <w:numFmt w:val="decimal"/>
      <w:lvlText w:val="(%1)"/>
      <w:lvlJc w:val="left"/>
      <w:pPr>
        <w:ind w:left="425" w:hanging="425"/>
      </w:pPr>
      <w:rPr>
        <w:rFonts w:hint="default"/>
      </w:rPr>
    </w:lvl>
  </w:abstractNum>
  <w:num w:numId="1">
    <w:abstractNumId w:val="1"/>
  </w:num>
  <w:num w:numId="2">
    <w:abstractNumId w:val="2"/>
  </w:num>
  <w:num w:numId="3">
    <w:abstractNumId w:val="6"/>
  </w:num>
  <w:num w:numId="4">
    <w:abstractNumId w:val="3"/>
  </w:num>
  <w:num w:numId="5">
    <w:abstractNumId w:val="4"/>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53069"/>
    <w:rsid w:val="038649F2"/>
    <w:rsid w:val="06FB5F96"/>
    <w:rsid w:val="570A6213"/>
    <w:rsid w:val="6E744F32"/>
    <w:rsid w:val="6FA40C10"/>
    <w:rsid w:val="7E4558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qFormat/>
    <w:uiPriority w:val="0"/>
    <w:pPr>
      <w:keepNext/>
      <w:keepLines/>
      <w:spacing w:before="260" w:after="260" w:line="413" w:lineRule="auto"/>
      <w:outlineLvl w:val="2"/>
    </w:pPr>
    <w:rPr>
      <w:b/>
      <w:sz w:val="32"/>
    </w:rPr>
  </w:style>
  <w:style w:type="character" w:default="1" w:styleId="17">
    <w:name w:val="Default Paragraph Font"/>
    <w:qFormat/>
    <w:uiPriority w:val="1"/>
  </w:style>
  <w:style w:type="table" w:default="1" w:styleId="15">
    <w:name w:val="Normal Table"/>
    <w:uiPriority w:val="99"/>
    <w:tblPr>
      <w:tblCellMar>
        <w:top w:w="0" w:type="dxa"/>
        <w:left w:w="108" w:type="dxa"/>
        <w:bottom w:w="0" w:type="dxa"/>
        <w:right w:w="108" w:type="dxa"/>
      </w:tblCellMar>
    </w:tblPr>
  </w:style>
  <w:style w:type="paragraph" w:styleId="2">
    <w:name w:val="Body Text"/>
    <w:basedOn w:val="3"/>
    <w:next w:val="3"/>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Balloon Text"/>
    <w:basedOn w:val="1"/>
    <w:link w:val="30"/>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paragraph" w:styleId="14">
    <w:name w:val="Normal (Web)"/>
    <w:basedOn w:val="1"/>
    <w:qFormat/>
    <w:uiPriority w:val="99"/>
    <w:pPr>
      <w:spacing w:beforeAutospacing="1" w:afterAutospacing="1"/>
      <w:jc w:val="left"/>
    </w:pPr>
    <w:rPr>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qFormat/>
    <w:uiPriority w:val="99"/>
  </w:style>
  <w:style w:type="paragraph" w:customStyle="1" w:styleId="19">
    <w:name w:val="标题1"/>
    <w:basedOn w:val="5"/>
    <w:next w:val="1"/>
    <w:qFormat/>
    <w:uiPriority w:val="0"/>
    <w:pPr>
      <w:numPr>
        <w:ilvl w:val="0"/>
        <w:numId w:val="1"/>
      </w:numPr>
    </w:pPr>
    <w:rPr>
      <w:rFonts w:hAnsi="黑体"/>
    </w:rPr>
  </w:style>
  <w:style w:type="paragraph" w:customStyle="1" w:styleId="20">
    <w:name w:val="首页项目名称"/>
    <w:link w:val="22"/>
    <w:qFormat/>
    <w:uiPriority w:val="0"/>
    <w:pPr>
      <w:jc w:val="center"/>
    </w:pPr>
    <w:rPr>
      <w:rFonts w:ascii="Times New Roman" w:hAnsi="Times New Roman" w:eastAsia="隶书" w:cs="Times New Roman"/>
      <w:sz w:val="52"/>
      <w:lang w:val="en-US" w:eastAsia="zh-CN" w:bidi="ar-SA"/>
    </w:rPr>
  </w:style>
  <w:style w:type="paragraph" w:customStyle="1" w:styleId="21">
    <w:name w:val="首页日期"/>
    <w:basedOn w:val="1"/>
    <w:link w:val="23"/>
    <w:qFormat/>
    <w:uiPriority w:val="0"/>
    <w:pPr>
      <w:jc w:val="center"/>
    </w:pPr>
    <w:rPr>
      <w:rFonts w:eastAsia="楷体"/>
      <w:sz w:val="32"/>
    </w:rPr>
  </w:style>
  <w:style w:type="character" w:customStyle="1" w:styleId="22">
    <w:name w:val="首页项目名称 Char"/>
    <w:link w:val="20"/>
    <w:qFormat/>
    <w:uiPriority w:val="0"/>
    <w:rPr>
      <w:rFonts w:ascii="Times New Roman" w:hAnsi="Times New Roman" w:eastAsia="隶书"/>
      <w:sz w:val="52"/>
    </w:rPr>
  </w:style>
  <w:style w:type="character" w:customStyle="1" w:styleId="23">
    <w:name w:val="首页日期 Char"/>
    <w:link w:val="21"/>
    <w:qFormat/>
    <w:uiPriority w:val="0"/>
    <w:rPr>
      <w:rFonts w:ascii="Times New Roman" w:hAnsi="Times New Roman" w:eastAsia="楷体"/>
      <w:sz w:val="32"/>
    </w:rPr>
  </w:style>
  <w:style w:type="paragraph" w:customStyle="1" w:styleId="24">
    <w:name w:val="一标题"/>
    <w:link w:val="25"/>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5">
    <w:name w:val="一标题 Char"/>
    <w:link w:val="24"/>
    <w:qFormat/>
    <w:uiPriority w:val="0"/>
    <w:rPr>
      <w:rFonts w:ascii="宋体" w:hAnsi="宋体" w:eastAsia="宋体" w:cs="Times New Roman"/>
      <w:b/>
      <w:sz w:val="24"/>
    </w:rPr>
  </w:style>
  <w:style w:type="paragraph" w:customStyle="1" w:styleId="26">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7">
    <w:name w:val="font21"/>
    <w:basedOn w:val="17"/>
    <w:qFormat/>
    <w:uiPriority w:val="0"/>
    <w:rPr>
      <w:rFonts w:hint="eastAsia" w:ascii="微软雅黑" w:hAnsi="微软雅黑" w:eastAsia="微软雅黑" w:cs="微软雅黑"/>
      <w:color w:val="000000"/>
      <w:sz w:val="20"/>
      <w:szCs w:val="20"/>
      <w:u w:val="none"/>
    </w:rPr>
  </w:style>
  <w:style w:type="character" w:customStyle="1" w:styleId="28">
    <w:name w:val="font31"/>
    <w:basedOn w:val="17"/>
    <w:qFormat/>
    <w:uiPriority w:val="0"/>
    <w:rPr>
      <w:rFonts w:hint="eastAsia" w:ascii="微软雅黑" w:hAnsi="微软雅黑" w:eastAsia="微软雅黑" w:cs="微软雅黑"/>
      <w:b/>
      <w:bCs/>
      <w:color w:val="FF0000"/>
      <w:sz w:val="20"/>
      <w:szCs w:val="20"/>
      <w:u w:val="none"/>
    </w:rPr>
  </w:style>
  <w:style w:type="character" w:customStyle="1" w:styleId="29">
    <w:name w:val="font41"/>
    <w:basedOn w:val="17"/>
    <w:qFormat/>
    <w:uiPriority w:val="0"/>
    <w:rPr>
      <w:rFonts w:hint="eastAsia" w:ascii="微软雅黑" w:hAnsi="微软雅黑" w:eastAsia="微软雅黑" w:cs="微软雅黑"/>
      <w:b/>
      <w:bCs/>
      <w:color w:val="000000"/>
      <w:sz w:val="20"/>
      <w:szCs w:val="20"/>
      <w:u w:val="none"/>
    </w:rPr>
  </w:style>
  <w:style w:type="character" w:customStyle="1" w:styleId="30">
    <w:name w:val="批注框文本 字符"/>
    <w:basedOn w:val="17"/>
    <w:link w:val="9"/>
    <w:qFormat/>
    <w:uiPriority w:val="0"/>
    <w:rPr>
      <w:kern w:val="2"/>
      <w:sz w:val="18"/>
      <w:szCs w:val="18"/>
    </w:rPr>
  </w:style>
  <w:style w:type="paragraph" w:styleId="3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1183</Words>
  <Characters>1194</Characters>
  <Paragraphs>47</Paragraphs>
  <TotalTime>64</TotalTime>
  <ScaleCrop>false</ScaleCrop>
  <LinksUpToDate>false</LinksUpToDate>
  <CharactersWithSpaces>1219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A58ECFE84882422589E03AF9E6CC6D7C</cp:lastModifiedBy>
  <dcterms:modified xsi:type="dcterms:W3CDTF">2024-08-29T11:11:20Z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6C692470B75E4A3FAF51E0A2B28317E1</vt:lpwstr>
  </property>
</Properties>
</file>