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jc w:val="center"/>
        <w:rPr>
          <w:rFonts w:ascii="隶书" w:eastAsia="隶书"/>
          <w:color w:val="auto"/>
          <w:sz w:val="56"/>
          <w:szCs w:val="56"/>
        </w:rPr>
      </w:pPr>
      <w:bookmarkStart w:id="0" w:name="_Toc1572"/>
      <w:bookmarkStart w:id="1" w:name="_Toc6059"/>
    </w:p>
    <w:p>
      <w:pPr>
        <w:pStyle w:val="9"/>
        <w:jc w:val="center"/>
        <w:rPr>
          <w:rFonts w:ascii="隶书" w:eastAsia="隶书"/>
          <w:color w:val="auto"/>
          <w:sz w:val="56"/>
          <w:szCs w:val="56"/>
        </w:rPr>
      </w:pPr>
    </w:p>
    <w:p>
      <w:pPr>
        <w:pStyle w:val="9"/>
        <w:jc w:val="center"/>
        <w:rPr>
          <w:rFonts w:hint="eastAsia" w:ascii="黑体" w:hAnsi="黑体" w:eastAsia="黑体" w:cs="黑体"/>
          <w:color w:val="auto"/>
          <w:kern w:val="2"/>
          <w:sz w:val="52"/>
          <w:szCs w:val="52"/>
          <w:lang w:val="en-US" w:eastAsia="zh-CN" w:bidi="ar-SA"/>
        </w:rPr>
      </w:pPr>
      <w:r>
        <w:rPr>
          <w:rFonts w:hint="eastAsia" w:ascii="黑体" w:hAnsi="黑体" w:eastAsia="黑体" w:cs="黑体"/>
          <w:color w:val="auto"/>
          <w:kern w:val="2"/>
          <w:sz w:val="52"/>
          <w:szCs w:val="52"/>
          <w:lang w:val="en-US" w:eastAsia="zh-CN" w:bidi="ar-SA"/>
        </w:rPr>
        <w:t>220千伏天河棠下柔直背靠背工程</w:t>
      </w:r>
    </w:p>
    <w:p>
      <w:pPr>
        <w:pStyle w:val="9"/>
        <w:jc w:val="center"/>
        <w:rPr>
          <w:rFonts w:ascii="隶书" w:eastAsia="隶书"/>
          <w:color w:val="auto"/>
          <w:sz w:val="48"/>
          <w:szCs w:val="48"/>
        </w:rPr>
      </w:pPr>
      <w:r>
        <w:rPr>
          <w:rFonts w:hint="eastAsia" w:ascii="黑体" w:hAnsi="黑体" w:eastAsia="黑体" w:cs="黑体"/>
          <w:color w:val="auto"/>
          <w:sz w:val="48"/>
          <w:szCs w:val="48"/>
        </w:rPr>
        <w:t>防火、灭火</w:t>
      </w:r>
      <w:r>
        <w:rPr>
          <w:rFonts w:hint="eastAsia" w:ascii="黑体" w:hAnsi="黑体" w:eastAsia="黑体" w:cs="黑体"/>
          <w:color w:val="auto"/>
          <w:sz w:val="48"/>
          <w:szCs w:val="48"/>
          <w:lang w:val="en-US" w:eastAsia="zh-CN"/>
        </w:rPr>
        <w:t>技术</w:t>
      </w:r>
      <w:r>
        <w:rPr>
          <w:rFonts w:hint="eastAsia" w:ascii="黑体" w:hAnsi="黑体" w:eastAsia="黑体" w:cs="黑体"/>
          <w:color w:val="auto"/>
          <w:sz w:val="48"/>
          <w:szCs w:val="48"/>
        </w:rPr>
        <w:t>研究</w:t>
      </w:r>
    </w:p>
    <w:p>
      <w:pPr>
        <w:pStyle w:val="9"/>
        <w:jc w:val="center"/>
        <w:rPr>
          <w:rFonts w:hint="eastAsia" w:ascii="黑体" w:hAnsi="黑体" w:eastAsia="黑体" w:cs="黑体"/>
          <w:color w:val="auto"/>
          <w:sz w:val="36"/>
          <w:szCs w:val="36"/>
        </w:rPr>
      </w:pPr>
    </w:p>
    <w:p>
      <w:pPr>
        <w:pStyle w:val="9"/>
        <w:jc w:val="center"/>
        <w:rPr>
          <w:rFonts w:hint="eastAsia" w:ascii="黑体" w:hAnsi="黑体" w:eastAsia="黑体" w:cs="黑体"/>
          <w:color w:val="auto"/>
          <w:sz w:val="36"/>
          <w:szCs w:val="36"/>
        </w:rPr>
      </w:pPr>
      <w:bookmarkStart w:id="32" w:name="_GoBack"/>
      <w:bookmarkEnd w:id="32"/>
    </w:p>
    <w:p>
      <w:pPr>
        <w:pStyle w:val="9"/>
        <w:jc w:val="center"/>
        <w:rPr>
          <w:rFonts w:ascii="隶书" w:eastAsia="隶书"/>
          <w:color w:val="auto"/>
          <w:sz w:val="48"/>
          <w:szCs w:val="48"/>
        </w:rPr>
      </w:pPr>
    </w:p>
    <w:p>
      <w:pPr>
        <w:pStyle w:val="9"/>
        <w:jc w:val="center"/>
        <w:rPr>
          <w:rFonts w:ascii="隶书" w:eastAsia="隶书"/>
          <w:color w:val="auto"/>
          <w:sz w:val="48"/>
          <w:szCs w:val="48"/>
        </w:rPr>
      </w:pPr>
    </w:p>
    <w:p>
      <w:pPr>
        <w:pStyle w:val="9"/>
        <w:jc w:val="center"/>
        <w:rPr>
          <w:rFonts w:ascii="隶书" w:eastAsia="隶书"/>
          <w:color w:val="auto"/>
          <w:sz w:val="48"/>
          <w:szCs w:val="48"/>
        </w:rPr>
      </w:pPr>
    </w:p>
    <w:p>
      <w:pPr>
        <w:pStyle w:val="9"/>
        <w:jc w:val="center"/>
        <w:rPr>
          <w:rFonts w:hint="eastAsia" w:ascii="黑体" w:hAnsi="黑体" w:eastAsia="黑体" w:cs="黑体"/>
          <w:color w:val="auto"/>
          <w:sz w:val="52"/>
          <w:szCs w:val="52"/>
        </w:rPr>
      </w:pPr>
      <w:r>
        <w:rPr>
          <w:rFonts w:hint="eastAsia" w:ascii="黑体" w:hAnsi="黑体" w:eastAsia="黑体" w:cs="黑体"/>
          <w:color w:val="auto"/>
          <w:sz w:val="52"/>
          <w:szCs w:val="52"/>
        </w:rPr>
        <w:t>技术规范书</w:t>
      </w:r>
    </w:p>
    <w:p>
      <w:pPr>
        <w:spacing w:before="156" w:beforeLines="50"/>
        <w:rPr>
          <w:rFonts w:hint="eastAsia" w:ascii="楷体_GB2312" w:hAnsi="宋体" w:eastAsia="楷体_GB2312"/>
          <w:color w:val="auto"/>
          <w:sz w:val="32"/>
          <w:szCs w:val="32"/>
        </w:rPr>
      </w:pPr>
    </w:p>
    <w:p>
      <w:pPr>
        <w:spacing w:before="156" w:beforeLines="50"/>
        <w:jc w:val="center"/>
        <w:rPr>
          <w:rFonts w:hint="eastAsia" w:ascii="楷体_GB2312" w:hAnsi="宋体" w:eastAsia="楷体_GB2312"/>
          <w:color w:val="auto"/>
          <w:sz w:val="32"/>
          <w:szCs w:val="32"/>
        </w:rPr>
      </w:pPr>
    </w:p>
    <w:p>
      <w:pPr>
        <w:spacing w:before="156" w:beforeLines="50"/>
        <w:rPr>
          <w:rFonts w:hint="eastAsia" w:ascii="楷体_GB2312" w:hAnsi="宋体" w:eastAsia="楷体_GB2312"/>
          <w:color w:val="auto"/>
          <w:sz w:val="32"/>
          <w:szCs w:val="32"/>
        </w:rPr>
      </w:pPr>
    </w:p>
    <w:p>
      <w:pPr>
        <w:pStyle w:val="21"/>
        <w:rPr>
          <w:rStyle w:val="23"/>
          <w:rFonts w:hint="eastAsia" w:ascii="黑体" w:hAnsi="黑体" w:eastAsia="黑体" w:cs="黑体"/>
          <w:color w:val="auto"/>
        </w:rPr>
      </w:pPr>
    </w:p>
    <w:p>
      <w:pPr>
        <w:pStyle w:val="21"/>
        <w:rPr>
          <w:rStyle w:val="23"/>
          <w:rFonts w:hint="eastAsia" w:ascii="黑体" w:hAnsi="黑体" w:eastAsia="黑体" w:cs="黑体"/>
          <w:color w:val="auto"/>
        </w:rPr>
      </w:pPr>
    </w:p>
    <w:p>
      <w:pPr>
        <w:pStyle w:val="21"/>
        <w:rPr>
          <w:rFonts w:hint="eastAsia" w:ascii="黑体" w:hAnsi="黑体" w:eastAsia="黑体" w:cs="黑体"/>
          <w:color w:val="auto"/>
        </w:rPr>
        <w:sectPr>
          <w:pgSz w:w="11906" w:h="16838"/>
          <w:pgMar w:top="1440" w:right="1800" w:bottom="1440" w:left="1800" w:header="851" w:footer="992" w:gutter="0"/>
          <w:cols w:space="425" w:num="1"/>
          <w:docGrid w:type="lines" w:linePitch="312" w:charSpace="0"/>
        </w:sectPr>
      </w:pPr>
      <w:r>
        <w:rPr>
          <w:rStyle w:val="23"/>
          <w:rFonts w:hint="eastAsia" w:ascii="黑体" w:hAnsi="黑体" w:eastAsia="黑体" w:cs="黑体"/>
          <w:color w:val="auto"/>
        </w:rPr>
        <w:t>2024年7月</w:t>
      </w:r>
    </w:p>
    <w:p>
      <w:pPr>
        <w:snapToGrid w:val="0"/>
        <w:spacing w:line="360" w:lineRule="auto"/>
        <w:jc w:val="center"/>
        <w:rPr>
          <w:rFonts w:hint="eastAsia" w:ascii="黑体" w:hAnsi="黑体" w:eastAsia="黑体" w:cs="黑体"/>
          <w:bCs/>
          <w:color w:val="auto"/>
          <w:sz w:val="44"/>
          <w:szCs w:val="36"/>
        </w:rPr>
      </w:pPr>
      <w:bookmarkStart w:id="2" w:name="_Toc30850"/>
      <w:r>
        <w:rPr>
          <w:rFonts w:hint="eastAsia" w:ascii="黑体" w:hAnsi="黑体" w:eastAsia="黑体" w:cs="黑体"/>
          <w:bCs/>
          <w:color w:val="auto"/>
          <w:sz w:val="44"/>
          <w:szCs w:val="36"/>
        </w:rPr>
        <w:t>目 录</w:t>
      </w:r>
      <w:bookmarkEnd w:id="0"/>
      <w:bookmarkEnd w:id="1"/>
      <w:bookmarkEnd w:id="2"/>
    </w:p>
    <w:p>
      <w:pPr>
        <w:pStyle w:val="12"/>
        <w:tabs>
          <w:tab w:val="right" w:leader="dot" w:pos="8306"/>
        </w:tabs>
        <w:snapToGrid w:val="0"/>
        <w:spacing w:line="360" w:lineRule="auto"/>
        <w:rPr>
          <w:rFonts w:hint="eastAsia" w:ascii="宋体" w:hAnsi="宋体" w:cs="宋体"/>
          <w:color w:val="auto"/>
          <w:sz w:val="24"/>
        </w:rPr>
      </w:pPr>
      <w:r>
        <w:rPr>
          <w:rFonts w:hint="eastAsia" w:ascii="宋体" w:hAnsi="宋体" w:cs="宋体"/>
          <w:color w:val="auto"/>
          <w:sz w:val="24"/>
        </w:rPr>
        <w:fldChar w:fldCharType="begin"/>
      </w:r>
      <w:r>
        <w:rPr>
          <w:rFonts w:hint="eastAsia" w:ascii="宋体" w:hAnsi="宋体" w:cs="宋体"/>
          <w:color w:val="auto"/>
          <w:sz w:val="24"/>
        </w:rPr>
        <w:instrText xml:space="preserve">TOC \o "1-2" \h \u </w:instrText>
      </w:r>
      <w:r>
        <w:rPr>
          <w:rFonts w:hint="eastAsia" w:ascii="宋体" w:hAnsi="宋体" w:cs="宋体"/>
          <w:color w:val="auto"/>
          <w:sz w:val="24"/>
        </w:rPr>
        <w:fldChar w:fldCharType="separate"/>
      </w:r>
      <w:r>
        <w:rPr>
          <w:color w:val="auto"/>
        </w:rPr>
        <w:fldChar w:fldCharType="begin"/>
      </w:r>
      <w:r>
        <w:rPr>
          <w:color w:val="auto"/>
        </w:rPr>
        <w:instrText xml:space="preserve"> HYPERLINK \l "_Toc9347" </w:instrText>
      </w:r>
      <w:r>
        <w:rPr>
          <w:color w:val="auto"/>
        </w:rPr>
        <w:fldChar w:fldCharType="separate"/>
      </w:r>
      <w:r>
        <w:rPr>
          <w:rFonts w:hint="eastAsia" w:ascii="宋体" w:hAnsi="宋体" w:cs="宋体"/>
          <w:color w:val="auto"/>
          <w:sz w:val="24"/>
        </w:rPr>
        <w:t>总 则</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_Toc9347 \h </w:instrText>
      </w:r>
      <w:r>
        <w:rPr>
          <w:rFonts w:hint="eastAsia" w:ascii="宋体" w:hAnsi="宋体" w:cs="宋体"/>
          <w:color w:val="auto"/>
          <w:sz w:val="24"/>
        </w:rPr>
        <w:fldChar w:fldCharType="separate"/>
      </w:r>
      <w:r>
        <w:rPr>
          <w:rFonts w:hint="eastAsia" w:ascii="宋体" w:hAnsi="宋体" w:cs="宋体"/>
          <w:color w:val="auto"/>
          <w:sz w:val="24"/>
        </w:rPr>
        <w:t>2</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2"/>
        <w:tabs>
          <w:tab w:val="right" w:leader="dot" w:pos="8306"/>
        </w:tabs>
        <w:snapToGrid w:val="0"/>
        <w:spacing w:line="360" w:lineRule="auto"/>
        <w:rPr>
          <w:rFonts w:hint="eastAsia" w:ascii="宋体" w:hAnsi="宋体" w:cs="宋体"/>
          <w:color w:val="auto"/>
          <w:sz w:val="24"/>
        </w:rPr>
      </w:pPr>
      <w:r>
        <w:rPr>
          <w:color w:val="auto"/>
        </w:rPr>
        <w:fldChar w:fldCharType="begin"/>
      </w:r>
      <w:r>
        <w:rPr>
          <w:color w:val="auto"/>
        </w:rPr>
        <w:instrText xml:space="preserve"> HYPERLINK \l "_Toc3738" </w:instrText>
      </w:r>
      <w:r>
        <w:rPr>
          <w:color w:val="auto"/>
        </w:rPr>
        <w:fldChar w:fldCharType="separate"/>
      </w:r>
      <w:r>
        <w:rPr>
          <w:rFonts w:hint="eastAsia" w:ascii="宋体" w:hAnsi="宋体" w:cs="宋体"/>
          <w:color w:val="auto"/>
          <w:sz w:val="24"/>
        </w:rPr>
        <w:t>1  标的概况</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_Toc3738 \h </w:instrText>
      </w:r>
      <w:r>
        <w:rPr>
          <w:rFonts w:hint="eastAsia" w:ascii="宋体" w:hAnsi="宋体" w:cs="宋体"/>
          <w:color w:val="auto"/>
          <w:sz w:val="24"/>
        </w:rPr>
        <w:fldChar w:fldCharType="separate"/>
      </w:r>
      <w:r>
        <w:rPr>
          <w:rFonts w:hint="eastAsia" w:ascii="宋体" w:hAnsi="宋体" w:cs="宋体"/>
          <w:color w:val="auto"/>
          <w:sz w:val="24"/>
        </w:rPr>
        <w:t>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2"/>
        <w:tabs>
          <w:tab w:val="right" w:leader="dot" w:pos="8306"/>
        </w:tabs>
        <w:snapToGrid w:val="0"/>
        <w:spacing w:line="360" w:lineRule="auto"/>
        <w:rPr>
          <w:rFonts w:hint="eastAsia" w:ascii="宋体" w:hAnsi="宋体" w:cs="宋体"/>
          <w:color w:val="auto"/>
          <w:sz w:val="24"/>
        </w:rPr>
      </w:pPr>
      <w:r>
        <w:rPr>
          <w:color w:val="auto"/>
        </w:rPr>
        <w:fldChar w:fldCharType="begin"/>
      </w:r>
      <w:r>
        <w:rPr>
          <w:color w:val="auto"/>
        </w:rPr>
        <w:instrText xml:space="preserve"> HYPERLINK \l "_Toc7667" </w:instrText>
      </w:r>
      <w:r>
        <w:rPr>
          <w:color w:val="auto"/>
        </w:rPr>
        <w:fldChar w:fldCharType="separate"/>
      </w:r>
      <w:r>
        <w:rPr>
          <w:rFonts w:hint="eastAsia" w:ascii="宋体" w:hAnsi="宋体" w:cs="宋体"/>
          <w:color w:val="auto"/>
          <w:sz w:val="24"/>
        </w:rPr>
        <w:t>2  研究内容及目的</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_Toc7667 \h </w:instrText>
      </w:r>
      <w:r>
        <w:rPr>
          <w:rFonts w:hint="eastAsia" w:ascii="宋体" w:hAnsi="宋体" w:cs="宋体"/>
          <w:color w:val="auto"/>
          <w:sz w:val="24"/>
        </w:rPr>
        <w:fldChar w:fldCharType="separate"/>
      </w:r>
      <w:r>
        <w:rPr>
          <w:rFonts w:hint="eastAsia" w:ascii="宋体" w:hAnsi="宋体" w:cs="宋体"/>
          <w:color w:val="auto"/>
          <w:sz w:val="24"/>
        </w:rPr>
        <w:t>3</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"_Toc29882" </w:instrText>
      </w:r>
      <w:r>
        <w:rPr>
          <w:color w:val="auto"/>
        </w:rPr>
        <w:fldChar w:fldCharType="separate"/>
      </w:r>
      <w:r>
        <w:rPr>
          <w:rFonts w:hint="eastAsia" w:ascii="宋体" w:hAnsi="宋体" w:cs="宋体"/>
          <w:bCs/>
          <w:color w:val="auto"/>
          <w:szCs w:val="24"/>
        </w:rPr>
        <w:t>2.1 研究内容</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_Toc29882 \h </w:instrText>
      </w:r>
      <w:r>
        <w:rPr>
          <w:rFonts w:hint="eastAsia" w:ascii="宋体" w:hAnsi="宋体" w:cs="宋体"/>
          <w:color w:val="auto"/>
          <w:szCs w:val="24"/>
        </w:rPr>
        <w:fldChar w:fldCharType="separate"/>
      </w:r>
      <w:r>
        <w:rPr>
          <w:rFonts w:hint="eastAsia" w:ascii="宋体" w:hAnsi="宋体" w:cs="宋体"/>
          <w:color w:val="auto"/>
          <w:szCs w:val="24"/>
        </w:rPr>
        <w:t>3</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"_Toc22754" </w:instrText>
      </w:r>
      <w:r>
        <w:rPr>
          <w:color w:val="auto"/>
        </w:rPr>
        <w:fldChar w:fldCharType="separate"/>
      </w:r>
      <w:r>
        <w:rPr>
          <w:rFonts w:hint="eastAsia" w:ascii="宋体" w:hAnsi="宋体" w:cs="宋体"/>
          <w:bCs/>
          <w:color w:val="auto"/>
          <w:szCs w:val="24"/>
        </w:rPr>
        <w:t>2.2 研究目的</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_Toc22754 \h </w:instrText>
      </w:r>
      <w:r>
        <w:rPr>
          <w:rFonts w:hint="eastAsia" w:ascii="宋体" w:hAnsi="宋体" w:cs="宋体"/>
          <w:color w:val="auto"/>
          <w:szCs w:val="24"/>
        </w:rPr>
        <w:fldChar w:fldCharType="separate"/>
      </w:r>
      <w:r>
        <w:rPr>
          <w:rFonts w:hint="eastAsia" w:ascii="宋体" w:hAnsi="宋体" w:cs="宋体"/>
          <w:color w:val="auto"/>
          <w:szCs w:val="24"/>
        </w:rPr>
        <w:t>4</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2"/>
        <w:tabs>
          <w:tab w:val="right" w:leader="dot" w:pos="8306"/>
        </w:tabs>
        <w:snapToGrid w:val="0"/>
        <w:spacing w:line="360" w:lineRule="auto"/>
        <w:rPr>
          <w:rFonts w:hint="eastAsia" w:ascii="宋体" w:hAnsi="宋体" w:cs="宋体"/>
          <w:color w:val="auto"/>
          <w:sz w:val="24"/>
        </w:rPr>
      </w:pPr>
      <w:r>
        <w:rPr>
          <w:color w:val="auto"/>
        </w:rPr>
        <w:fldChar w:fldCharType="begin"/>
      </w:r>
      <w:r>
        <w:rPr>
          <w:color w:val="auto"/>
        </w:rPr>
        <w:instrText xml:space="preserve"> HYPERLINK \l "_Toc20003" </w:instrText>
      </w:r>
      <w:r>
        <w:rPr>
          <w:color w:val="auto"/>
        </w:rPr>
        <w:fldChar w:fldCharType="separate"/>
      </w:r>
      <w:r>
        <w:rPr>
          <w:rFonts w:hint="eastAsia" w:ascii="宋体" w:hAnsi="宋体" w:cs="宋体"/>
          <w:color w:val="auto"/>
          <w:sz w:val="24"/>
        </w:rPr>
        <w:t>3  主要技术指标要求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_Toc20003 \h </w:instrText>
      </w:r>
      <w:r>
        <w:rPr>
          <w:rFonts w:hint="eastAsia" w:ascii="宋体" w:hAnsi="宋体" w:cs="宋体"/>
          <w:color w:val="auto"/>
          <w:sz w:val="24"/>
        </w:rPr>
        <w:fldChar w:fldCharType="separate"/>
      </w:r>
      <w:r>
        <w:rPr>
          <w:rFonts w:hint="eastAsia" w:ascii="宋体" w:hAnsi="宋体" w:cs="宋体"/>
          <w:color w:val="auto"/>
          <w:sz w:val="24"/>
        </w:rPr>
        <w:t>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2"/>
        <w:tabs>
          <w:tab w:val="right" w:leader="dot" w:pos="8306"/>
        </w:tabs>
        <w:snapToGrid w:val="0"/>
        <w:spacing w:line="360" w:lineRule="auto"/>
        <w:rPr>
          <w:rFonts w:hint="eastAsia" w:ascii="宋体" w:hAnsi="宋体" w:cs="宋体"/>
          <w:color w:val="auto"/>
          <w:sz w:val="24"/>
        </w:rPr>
      </w:pPr>
      <w:r>
        <w:rPr>
          <w:color w:val="auto"/>
        </w:rPr>
        <w:fldChar w:fldCharType="begin"/>
      </w:r>
      <w:r>
        <w:rPr>
          <w:color w:val="auto"/>
        </w:rPr>
        <w:instrText xml:space="preserve"> HYPERLINK \l "_Toc14246" </w:instrText>
      </w:r>
      <w:r>
        <w:rPr>
          <w:color w:val="auto"/>
        </w:rPr>
        <w:fldChar w:fldCharType="separate"/>
      </w:r>
      <w:r>
        <w:rPr>
          <w:rFonts w:hint="eastAsia" w:ascii="宋体" w:hAnsi="宋体" w:cs="宋体"/>
          <w:color w:val="auto"/>
          <w:sz w:val="24"/>
        </w:rPr>
        <w:t>4  时间进度要求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_Toc14246 \h </w:instrText>
      </w:r>
      <w:r>
        <w:rPr>
          <w:rFonts w:hint="eastAsia" w:ascii="宋体" w:hAnsi="宋体" w:cs="宋体"/>
          <w:color w:val="auto"/>
          <w:sz w:val="24"/>
        </w:rPr>
        <w:fldChar w:fldCharType="separate"/>
      </w:r>
      <w:r>
        <w:rPr>
          <w:rFonts w:hint="eastAsia" w:ascii="宋体" w:hAnsi="宋体" w:cs="宋体"/>
          <w:color w:val="auto"/>
          <w:sz w:val="24"/>
        </w:rPr>
        <w:t>4</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2"/>
        <w:tabs>
          <w:tab w:val="right" w:leader="dot" w:pos="8306"/>
        </w:tabs>
        <w:snapToGrid w:val="0"/>
        <w:spacing w:line="360" w:lineRule="auto"/>
        <w:rPr>
          <w:rFonts w:hint="eastAsia" w:ascii="宋体" w:hAnsi="宋体" w:cs="宋体"/>
          <w:color w:val="auto"/>
          <w:sz w:val="24"/>
        </w:rPr>
      </w:pPr>
      <w:r>
        <w:rPr>
          <w:color w:val="auto"/>
        </w:rPr>
        <w:fldChar w:fldCharType="begin"/>
      </w:r>
      <w:r>
        <w:rPr>
          <w:color w:val="auto"/>
        </w:rPr>
        <w:instrText xml:space="preserve"> HYPERLINK \l "_Toc21501" </w:instrText>
      </w:r>
      <w:r>
        <w:rPr>
          <w:color w:val="auto"/>
        </w:rPr>
        <w:fldChar w:fldCharType="separate"/>
      </w:r>
      <w:r>
        <w:rPr>
          <w:rFonts w:hint="eastAsia" w:ascii="宋体" w:hAnsi="宋体" w:cs="宋体"/>
          <w:color w:val="auto"/>
          <w:sz w:val="24"/>
        </w:rPr>
        <w:t>5  成果交付与验收</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_Toc21501 \h </w:instrText>
      </w:r>
      <w:r>
        <w:rPr>
          <w:rFonts w:hint="eastAsia" w:ascii="宋体" w:hAnsi="宋体" w:cs="宋体"/>
          <w:color w:val="auto"/>
          <w:sz w:val="24"/>
        </w:rPr>
        <w:fldChar w:fldCharType="separate"/>
      </w:r>
      <w:r>
        <w:rPr>
          <w:rFonts w:hint="eastAsia" w:ascii="宋体" w:hAnsi="宋体" w:cs="宋体"/>
          <w:color w:val="auto"/>
          <w:sz w:val="24"/>
        </w:rPr>
        <w:t>6</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"_Toc5704" </w:instrText>
      </w:r>
      <w:r>
        <w:rPr>
          <w:color w:val="auto"/>
        </w:rPr>
        <w:fldChar w:fldCharType="separate"/>
      </w:r>
      <w:r>
        <w:rPr>
          <w:rFonts w:hint="eastAsia" w:ascii="宋体" w:hAnsi="宋体" w:cs="宋体"/>
          <w:bCs/>
          <w:color w:val="auto"/>
          <w:szCs w:val="24"/>
        </w:rPr>
        <w:t>5.1 成果形式及数量要求</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_Toc5704 \h </w:instrText>
      </w:r>
      <w:r>
        <w:rPr>
          <w:rFonts w:hint="eastAsia" w:ascii="宋体" w:hAnsi="宋体" w:cs="宋体"/>
          <w:color w:val="auto"/>
          <w:szCs w:val="24"/>
        </w:rPr>
        <w:fldChar w:fldCharType="separate"/>
      </w:r>
      <w:r>
        <w:rPr>
          <w:rFonts w:hint="eastAsia" w:ascii="宋体" w:hAnsi="宋体" w:cs="宋体"/>
          <w:color w:val="auto"/>
          <w:szCs w:val="24"/>
        </w:rPr>
        <w:t>6</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"_Toc25508" </w:instrText>
      </w:r>
      <w:r>
        <w:rPr>
          <w:color w:val="auto"/>
        </w:rPr>
        <w:fldChar w:fldCharType="separate"/>
      </w:r>
      <w:r>
        <w:rPr>
          <w:rFonts w:hint="eastAsia" w:ascii="宋体" w:hAnsi="宋体" w:cs="宋体"/>
          <w:bCs/>
          <w:color w:val="auto"/>
          <w:szCs w:val="24"/>
        </w:rPr>
        <w:t>★5.2 成果的权属要求</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_Toc25508 \h </w:instrText>
      </w:r>
      <w:r>
        <w:rPr>
          <w:rFonts w:hint="eastAsia" w:ascii="宋体" w:hAnsi="宋体" w:cs="宋体"/>
          <w:color w:val="auto"/>
          <w:szCs w:val="24"/>
        </w:rPr>
        <w:fldChar w:fldCharType="separate"/>
      </w:r>
      <w:r>
        <w:rPr>
          <w:rFonts w:hint="eastAsia" w:ascii="宋体" w:hAnsi="宋体" w:cs="宋体"/>
          <w:color w:val="auto"/>
          <w:szCs w:val="24"/>
        </w:rPr>
        <w:t>6</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"_Toc28744" </w:instrText>
      </w:r>
      <w:r>
        <w:rPr>
          <w:color w:val="auto"/>
        </w:rPr>
        <w:fldChar w:fldCharType="separate"/>
      </w:r>
      <w:r>
        <w:rPr>
          <w:rFonts w:hint="eastAsia" w:ascii="宋体" w:hAnsi="宋体" w:cs="宋体"/>
          <w:bCs/>
          <w:color w:val="auto"/>
          <w:szCs w:val="24"/>
        </w:rPr>
        <w:t>5.3技术架构要求</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_Toc28744 \h </w:instrText>
      </w:r>
      <w:r>
        <w:rPr>
          <w:rFonts w:hint="eastAsia" w:ascii="宋体" w:hAnsi="宋体" w:cs="宋体"/>
          <w:color w:val="auto"/>
          <w:szCs w:val="24"/>
        </w:rPr>
        <w:fldChar w:fldCharType="separate"/>
      </w:r>
      <w:r>
        <w:rPr>
          <w:rFonts w:hint="eastAsia" w:ascii="宋体" w:hAnsi="宋体" w:cs="宋体"/>
          <w:color w:val="auto"/>
          <w:szCs w:val="24"/>
        </w:rPr>
        <w:t>7</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"_Toc6117" </w:instrText>
      </w:r>
      <w:r>
        <w:rPr>
          <w:color w:val="auto"/>
        </w:rPr>
        <w:fldChar w:fldCharType="separate"/>
      </w:r>
      <w:r>
        <w:rPr>
          <w:rFonts w:hint="eastAsia" w:ascii="宋体" w:hAnsi="宋体" w:cs="宋体"/>
          <w:bCs/>
          <w:color w:val="auto"/>
          <w:szCs w:val="24"/>
        </w:rPr>
        <w:t>5.4成果验收</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_Toc6117 \h </w:instrText>
      </w:r>
      <w:r>
        <w:rPr>
          <w:rFonts w:hint="eastAsia" w:ascii="宋体" w:hAnsi="宋体" w:cs="宋体"/>
          <w:color w:val="auto"/>
          <w:szCs w:val="24"/>
        </w:rPr>
        <w:fldChar w:fldCharType="separate"/>
      </w:r>
      <w:r>
        <w:rPr>
          <w:rFonts w:hint="eastAsia" w:ascii="宋体" w:hAnsi="宋体" w:cs="宋体"/>
          <w:color w:val="auto"/>
          <w:szCs w:val="24"/>
        </w:rPr>
        <w:t>7</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2"/>
        <w:tabs>
          <w:tab w:val="right" w:leader="dot" w:pos="8306"/>
        </w:tabs>
        <w:snapToGrid w:val="0"/>
        <w:spacing w:line="360" w:lineRule="auto"/>
        <w:rPr>
          <w:rFonts w:hint="eastAsia" w:ascii="宋体" w:hAnsi="宋体" w:cs="宋体"/>
          <w:color w:val="auto"/>
          <w:sz w:val="24"/>
        </w:rPr>
      </w:pPr>
      <w:r>
        <w:rPr>
          <w:color w:val="auto"/>
        </w:rPr>
        <w:fldChar w:fldCharType="begin"/>
      </w:r>
      <w:r>
        <w:rPr>
          <w:color w:val="auto"/>
        </w:rPr>
        <w:instrText xml:space="preserve"> HYPERLINK \l "_Toc30047" </w:instrText>
      </w:r>
      <w:r>
        <w:rPr>
          <w:color w:val="auto"/>
        </w:rPr>
        <w:fldChar w:fldCharType="separate"/>
      </w:r>
      <w:r>
        <w:rPr>
          <w:rFonts w:hint="eastAsia" w:ascii="宋体" w:hAnsi="宋体" w:cs="宋体"/>
          <w:color w:val="auto"/>
          <w:sz w:val="24"/>
        </w:rPr>
        <w:t>6  投标技术文件要求</w:t>
      </w:r>
      <w:r>
        <w:rPr>
          <w:rFonts w:hint="eastAsia" w:ascii="宋体" w:hAnsi="宋体" w:cs="宋体"/>
          <w:color w:val="auto"/>
          <w:sz w:val="24"/>
        </w:rPr>
        <w:tab/>
      </w:r>
      <w:r>
        <w:rPr>
          <w:rFonts w:hint="eastAsia" w:ascii="宋体" w:hAnsi="宋体" w:cs="宋体"/>
          <w:color w:val="auto"/>
          <w:sz w:val="24"/>
        </w:rPr>
        <w:fldChar w:fldCharType="begin"/>
      </w:r>
      <w:r>
        <w:rPr>
          <w:rFonts w:hint="eastAsia" w:ascii="宋体" w:hAnsi="宋体" w:cs="宋体"/>
          <w:color w:val="auto"/>
          <w:sz w:val="24"/>
        </w:rPr>
        <w:instrText xml:space="preserve"> PAGEREF _Toc30047 \h </w:instrText>
      </w:r>
      <w:r>
        <w:rPr>
          <w:rFonts w:hint="eastAsia" w:ascii="宋体" w:hAnsi="宋体" w:cs="宋体"/>
          <w:color w:val="auto"/>
          <w:sz w:val="24"/>
        </w:rPr>
        <w:fldChar w:fldCharType="separate"/>
      </w:r>
      <w:r>
        <w:rPr>
          <w:rFonts w:hint="eastAsia" w:ascii="宋体" w:hAnsi="宋体" w:cs="宋体"/>
          <w:color w:val="auto"/>
          <w:sz w:val="24"/>
        </w:rPr>
        <w:t>7</w:t>
      </w:r>
      <w:r>
        <w:rPr>
          <w:rFonts w:hint="eastAsia" w:ascii="宋体" w:hAnsi="宋体" w:cs="宋体"/>
          <w:color w:val="auto"/>
          <w:sz w:val="24"/>
        </w:rPr>
        <w:fldChar w:fldCharType="end"/>
      </w:r>
      <w:r>
        <w:rPr>
          <w:rFonts w:hint="eastAsia" w:ascii="宋体" w:hAnsi="宋体" w:cs="宋体"/>
          <w:color w:val="auto"/>
          <w:sz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"_Toc26928" </w:instrText>
      </w:r>
      <w:r>
        <w:rPr>
          <w:color w:val="auto"/>
        </w:rPr>
        <w:fldChar w:fldCharType="separate"/>
      </w:r>
      <w:r>
        <w:rPr>
          <w:rFonts w:hint="eastAsia" w:ascii="宋体" w:hAnsi="宋体" w:cs="宋体"/>
          <w:bCs/>
          <w:color w:val="auto"/>
          <w:szCs w:val="24"/>
        </w:rPr>
        <w:t>6.1 研究方案</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_Toc26928 \h </w:instrText>
      </w:r>
      <w:r>
        <w:rPr>
          <w:rFonts w:hint="eastAsia" w:ascii="宋体" w:hAnsi="宋体" w:cs="宋体"/>
          <w:color w:val="auto"/>
          <w:szCs w:val="24"/>
        </w:rPr>
        <w:fldChar w:fldCharType="separate"/>
      </w:r>
      <w:r>
        <w:rPr>
          <w:rFonts w:hint="eastAsia" w:ascii="宋体" w:hAnsi="宋体" w:cs="宋体"/>
          <w:color w:val="auto"/>
          <w:szCs w:val="24"/>
        </w:rPr>
        <w:t>7</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"_Toc3443" </w:instrText>
      </w:r>
      <w:r>
        <w:rPr>
          <w:color w:val="auto"/>
        </w:rPr>
        <w:fldChar w:fldCharType="separate"/>
      </w:r>
      <w:r>
        <w:rPr>
          <w:rFonts w:hint="eastAsia" w:ascii="宋体" w:hAnsi="宋体" w:cs="宋体"/>
          <w:bCs/>
          <w:color w:val="auto"/>
          <w:szCs w:val="24"/>
        </w:rPr>
        <w:t>6.2 项目管理实施</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_Toc3443 \h </w:instrText>
      </w:r>
      <w:r>
        <w:rPr>
          <w:rFonts w:hint="eastAsia" w:ascii="宋体" w:hAnsi="宋体" w:cs="宋体"/>
          <w:color w:val="auto"/>
          <w:szCs w:val="24"/>
        </w:rPr>
        <w:fldChar w:fldCharType="separate"/>
      </w:r>
      <w:r>
        <w:rPr>
          <w:rFonts w:hint="eastAsia" w:ascii="宋体" w:hAnsi="宋体" w:cs="宋体"/>
          <w:color w:val="auto"/>
          <w:szCs w:val="24"/>
        </w:rPr>
        <w:t>8</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"_Toc29755" </w:instrText>
      </w:r>
      <w:r>
        <w:rPr>
          <w:color w:val="auto"/>
        </w:rPr>
        <w:fldChar w:fldCharType="separate"/>
      </w:r>
      <w:r>
        <w:rPr>
          <w:rFonts w:hint="eastAsia" w:ascii="宋体" w:hAnsi="宋体" w:cs="宋体"/>
          <w:bCs/>
          <w:color w:val="auto"/>
          <w:szCs w:val="24"/>
        </w:rPr>
        <w:t>6.3 项目技术支撑能力</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_Toc29755 \h </w:instrText>
      </w:r>
      <w:r>
        <w:rPr>
          <w:rFonts w:hint="eastAsia" w:ascii="宋体" w:hAnsi="宋体" w:cs="宋体"/>
          <w:color w:val="auto"/>
          <w:szCs w:val="24"/>
        </w:rPr>
        <w:fldChar w:fldCharType="separate"/>
      </w:r>
      <w:r>
        <w:rPr>
          <w:rFonts w:hint="eastAsia" w:ascii="宋体" w:hAnsi="宋体" w:cs="宋体"/>
          <w:color w:val="auto"/>
          <w:szCs w:val="24"/>
        </w:rPr>
        <w:t>8</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"_Toc3357" </w:instrText>
      </w:r>
      <w:r>
        <w:rPr>
          <w:color w:val="auto"/>
        </w:rPr>
        <w:fldChar w:fldCharType="separate"/>
      </w:r>
      <w:r>
        <w:rPr>
          <w:rFonts w:hint="eastAsia" w:ascii="宋体" w:hAnsi="宋体" w:cs="宋体"/>
          <w:bCs/>
          <w:color w:val="auto"/>
          <w:szCs w:val="24"/>
        </w:rPr>
        <w:t>6.4 技术支持与售后服务</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_Toc3357 \h </w:instrText>
      </w:r>
      <w:r>
        <w:rPr>
          <w:rFonts w:hint="eastAsia" w:ascii="宋体" w:hAnsi="宋体" w:cs="宋体"/>
          <w:color w:val="auto"/>
          <w:szCs w:val="24"/>
        </w:rPr>
        <w:fldChar w:fldCharType="separate"/>
      </w:r>
      <w:r>
        <w:rPr>
          <w:rFonts w:hint="eastAsia" w:ascii="宋体" w:hAnsi="宋体" w:cs="宋体"/>
          <w:color w:val="auto"/>
          <w:szCs w:val="24"/>
        </w:rPr>
        <w:t>8</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"_Toc17138" </w:instrText>
      </w:r>
      <w:r>
        <w:rPr>
          <w:color w:val="auto"/>
        </w:rPr>
        <w:fldChar w:fldCharType="separate"/>
      </w:r>
      <w:r>
        <w:rPr>
          <w:rFonts w:hint="eastAsia" w:ascii="宋体" w:hAnsi="宋体" w:cs="宋体"/>
          <w:bCs/>
          <w:color w:val="auto"/>
          <w:szCs w:val="24"/>
        </w:rPr>
        <w:t>6.5 技术差异表</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_Toc17138 \h </w:instrText>
      </w:r>
      <w:r>
        <w:rPr>
          <w:rFonts w:hint="eastAsia" w:ascii="宋体" w:hAnsi="宋体" w:cs="宋体"/>
          <w:color w:val="auto"/>
          <w:szCs w:val="24"/>
        </w:rPr>
        <w:fldChar w:fldCharType="separate"/>
      </w:r>
      <w:r>
        <w:rPr>
          <w:rFonts w:hint="eastAsia" w:ascii="宋体" w:hAnsi="宋体" w:cs="宋体"/>
          <w:color w:val="auto"/>
          <w:szCs w:val="24"/>
        </w:rPr>
        <w:t>9</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3"/>
        <w:tabs>
          <w:tab w:val="right" w:leader="dot" w:pos="8306"/>
          <w:tab w:val="clear" w:pos="8302"/>
        </w:tabs>
        <w:rPr>
          <w:rFonts w:hint="eastAsia" w:ascii="宋体" w:hAnsi="宋体" w:cs="宋体"/>
          <w:color w:val="auto"/>
          <w:szCs w:val="24"/>
        </w:rPr>
      </w:pPr>
      <w:r>
        <w:rPr>
          <w:color w:val="auto"/>
        </w:rPr>
        <w:fldChar w:fldCharType="begin"/>
      </w:r>
      <w:r>
        <w:rPr>
          <w:color w:val="auto"/>
        </w:rPr>
        <w:instrText xml:space="preserve"> HYPERLINK \l "_Toc10100" </w:instrText>
      </w:r>
      <w:r>
        <w:rPr>
          <w:color w:val="auto"/>
        </w:rPr>
        <w:fldChar w:fldCharType="separate"/>
      </w:r>
      <w:r>
        <w:rPr>
          <w:rFonts w:hint="eastAsia" w:ascii="宋体" w:hAnsi="宋体" w:cs="宋体"/>
          <w:color w:val="auto"/>
          <w:szCs w:val="24"/>
        </w:rPr>
        <w:t>6.6 其它补充说明</w:t>
      </w:r>
      <w:r>
        <w:rPr>
          <w:rFonts w:hint="eastAsia" w:ascii="宋体" w:hAnsi="宋体" w:cs="宋体"/>
          <w:color w:val="auto"/>
          <w:szCs w:val="24"/>
        </w:rPr>
        <w:tab/>
      </w:r>
      <w:r>
        <w:rPr>
          <w:rFonts w:hint="eastAsia" w:ascii="宋体" w:hAnsi="宋体" w:cs="宋体"/>
          <w:color w:val="auto"/>
          <w:szCs w:val="24"/>
        </w:rPr>
        <w:fldChar w:fldCharType="begin"/>
      </w:r>
      <w:r>
        <w:rPr>
          <w:rFonts w:hint="eastAsia" w:ascii="宋体" w:hAnsi="宋体" w:cs="宋体"/>
          <w:color w:val="auto"/>
          <w:szCs w:val="24"/>
        </w:rPr>
        <w:instrText xml:space="preserve"> PAGEREF _Toc10100 \h </w:instrText>
      </w:r>
      <w:r>
        <w:rPr>
          <w:rFonts w:hint="eastAsia" w:ascii="宋体" w:hAnsi="宋体" w:cs="宋体"/>
          <w:color w:val="auto"/>
          <w:szCs w:val="24"/>
        </w:rPr>
        <w:fldChar w:fldCharType="separate"/>
      </w:r>
      <w:r>
        <w:rPr>
          <w:rFonts w:hint="eastAsia" w:ascii="宋体" w:hAnsi="宋体" w:cs="宋体"/>
          <w:color w:val="auto"/>
          <w:szCs w:val="24"/>
        </w:rPr>
        <w:t>9</w:t>
      </w:r>
      <w:r>
        <w:rPr>
          <w:rFonts w:hint="eastAsia" w:ascii="宋体" w:hAnsi="宋体" w:cs="宋体"/>
          <w:color w:val="auto"/>
          <w:szCs w:val="24"/>
        </w:rPr>
        <w:fldChar w:fldCharType="end"/>
      </w:r>
      <w:r>
        <w:rPr>
          <w:rFonts w:hint="eastAsia" w:ascii="宋体" w:hAnsi="宋体" w:cs="宋体"/>
          <w:color w:val="auto"/>
          <w:szCs w:val="24"/>
        </w:rPr>
        <w:fldChar w:fldCharType="end"/>
      </w:r>
    </w:p>
    <w:p>
      <w:pPr>
        <w:pStyle w:val="12"/>
        <w:tabs>
          <w:tab w:val="right" w:leader="dot" w:pos="8306"/>
        </w:tabs>
        <w:snapToGrid w:val="0"/>
        <w:spacing w:line="360" w:lineRule="auto"/>
        <w:rPr>
          <w:rFonts w:hint="eastAsia" w:ascii="黑体" w:hAnsi="黑体" w:eastAsia="黑体" w:cs="黑体"/>
          <w:b/>
          <w:color w:val="auto"/>
          <w:sz w:val="24"/>
        </w:rPr>
      </w:pPr>
      <w:r>
        <w:rPr>
          <w:rFonts w:hint="eastAsia" w:ascii="宋体" w:hAnsi="宋体" w:cs="宋体"/>
          <w:color w:val="auto"/>
          <w:sz w:val="24"/>
        </w:rPr>
        <w:fldChar w:fldCharType="end"/>
      </w:r>
    </w:p>
    <w:p>
      <w:pPr>
        <w:rPr>
          <w:rFonts w:hint="eastAsia" w:ascii="宋体" w:hAnsi="宋体"/>
          <w:b/>
          <w:color w:val="auto"/>
          <w:sz w:val="30"/>
        </w:rPr>
      </w:pPr>
      <w:r>
        <w:rPr>
          <w:rFonts w:ascii="宋体" w:hAnsi="宋体"/>
          <w:b/>
          <w:color w:val="auto"/>
          <w:sz w:val="30"/>
        </w:rPr>
        <w:br w:type="page"/>
      </w:r>
    </w:p>
    <w:p>
      <w:pPr>
        <w:spacing w:line="480" w:lineRule="auto"/>
        <w:jc w:val="center"/>
        <w:outlineLvl w:val="0"/>
        <w:rPr>
          <w:rFonts w:hint="eastAsia" w:ascii="宋体" w:hAnsi="宋体"/>
          <w:b/>
          <w:color w:val="auto"/>
          <w:sz w:val="32"/>
        </w:rPr>
      </w:pPr>
      <w:bookmarkStart w:id="3" w:name="_Toc266713645"/>
      <w:bookmarkStart w:id="4" w:name="_Toc17586"/>
      <w:bookmarkStart w:id="5" w:name="_Toc32374"/>
      <w:bookmarkStart w:id="6" w:name="_Toc9347"/>
      <w:bookmarkStart w:id="7" w:name="_Toc19589"/>
      <w:r>
        <w:rPr>
          <w:rFonts w:hint="eastAsia" w:ascii="宋体" w:hAnsi="宋体"/>
          <w:b/>
          <w:color w:val="auto"/>
          <w:sz w:val="32"/>
        </w:rPr>
        <w:t>总 则</w:t>
      </w:r>
      <w:bookmarkEnd w:id="3"/>
      <w:bookmarkEnd w:id="4"/>
      <w:bookmarkEnd w:id="5"/>
      <w:bookmarkEnd w:id="6"/>
      <w:bookmarkEnd w:id="7"/>
    </w:p>
    <w:p>
      <w:pPr>
        <w:numPr>
          <w:ilvl w:val="0"/>
          <w:numId w:val="2"/>
        </w:numPr>
        <w:spacing w:line="360" w:lineRule="auto"/>
        <w:rPr>
          <w:rFonts w:hint="eastAsia" w:ascii="宋体" w:hAnsi="宋体"/>
          <w:bCs/>
          <w:color w:val="auto"/>
          <w:sz w:val="24"/>
        </w:rPr>
      </w:pPr>
      <w:r>
        <w:rPr>
          <w:rFonts w:hint="eastAsia" w:ascii="宋体" w:hAnsi="宋体"/>
          <w:bCs/>
          <w:color w:val="auto"/>
          <w:sz w:val="24"/>
        </w:rPr>
        <w:t>本文件为该采购项目的技术招标文件。</w:t>
      </w:r>
    </w:p>
    <w:p>
      <w:pPr>
        <w:numPr>
          <w:ilvl w:val="0"/>
          <w:numId w:val="2"/>
        </w:numPr>
        <w:spacing w:line="360" w:lineRule="auto"/>
        <w:rPr>
          <w:rFonts w:hint="eastAsia" w:ascii="宋体" w:hAnsi="宋体"/>
          <w:bCs/>
          <w:color w:val="auto"/>
          <w:sz w:val="24"/>
        </w:rPr>
      </w:pPr>
      <w:r>
        <w:rPr>
          <w:rFonts w:hint="eastAsia" w:ascii="宋体" w:hAnsi="宋体"/>
          <w:bCs/>
          <w:color w:val="auto"/>
          <w:sz w:val="24"/>
        </w:rPr>
        <w:t>本文件所描述的各</w:t>
      </w:r>
      <w:r>
        <w:rPr>
          <w:rFonts w:hint="eastAsia" w:hAnsi="宋体"/>
          <w:bCs/>
          <w:color w:val="auto"/>
          <w:sz w:val="24"/>
        </w:rPr>
        <w:t>项技术要求</w:t>
      </w:r>
      <w:r>
        <w:rPr>
          <w:rFonts w:hint="eastAsia" w:ascii="宋体" w:hAnsi="宋体"/>
          <w:bCs/>
          <w:color w:val="auto"/>
          <w:sz w:val="24"/>
        </w:rPr>
        <w:t>仅供投标方编制投标文件之用。</w:t>
      </w:r>
    </w:p>
    <w:p>
      <w:pPr>
        <w:numPr>
          <w:ilvl w:val="0"/>
          <w:numId w:val="2"/>
        </w:numPr>
        <w:spacing w:line="360" w:lineRule="auto"/>
        <w:rPr>
          <w:rFonts w:hint="eastAsia" w:ascii="宋体" w:hAnsi="宋体"/>
          <w:bCs/>
          <w:color w:val="auto"/>
          <w:sz w:val="24"/>
        </w:rPr>
      </w:pPr>
      <w:r>
        <w:rPr>
          <w:rFonts w:hint="eastAsia" w:ascii="宋体" w:hAnsi="宋体"/>
          <w:bCs/>
          <w:color w:val="auto"/>
          <w:sz w:val="24"/>
        </w:rPr>
        <w:t>本标书仅描述基本的技术需求，并未对一切技术细节做出规定，也未充分引述有关标准和技术条文，投标方应根据需求目标提供进一步具体的可满足要求的</w:t>
      </w:r>
      <w:r>
        <w:rPr>
          <w:rFonts w:hint="eastAsia" w:hAnsi="宋体"/>
          <w:bCs/>
          <w:color w:val="auto"/>
          <w:sz w:val="24"/>
        </w:rPr>
        <w:t>技术</w:t>
      </w:r>
      <w:r>
        <w:rPr>
          <w:rFonts w:hint="eastAsia" w:ascii="宋体" w:hAnsi="宋体"/>
          <w:bCs/>
          <w:color w:val="auto"/>
          <w:sz w:val="24"/>
        </w:rPr>
        <w:t>指标。</w:t>
      </w:r>
    </w:p>
    <w:p>
      <w:pPr>
        <w:numPr>
          <w:ilvl w:val="0"/>
          <w:numId w:val="2"/>
        </w:numPr>
        <w:spacing w:line="360" w:lineRule="auto"/>
        <w:rPr>
          <w:rFonts w:hint="eastAsia" w:ascii="宋体" w:hAnsi="宋体"/>
          <w:bCs/>
          <w:color w:val="auto"/>
          <w:sz w:val="24"/>
        </w:rPr>
      </w:pPr>
      <w:r>
        <w:rPr>
          <w:rFonts w:hint="eastAsia" w:ascii="宋体" w:hAnsi="宋体"/>
          <w:bCs/>
          <w:color w:val="auto"/>
          <w:sz w:val="24"/>
        </w:rPr>
        <w:t>投标技术文件要求文字精练、数据准确、表述及图示清晰明确，具有针对性。</w:t>
      </w:r>
    </w:p>
    <w:p>
      <w:pPr>
        <w:numPr>
          <w:ilvl w:val="0"/>
          <w:numId w:val="2"/>
        </w:numPr>
        <w:spacing w:line="360" w:lineRule="auto"/>
        <w:rPr>
          <w:rFonts w:hint="eastAsia" w:ascii="宋体" w:hAnsi="宋体"/>
          <w:bCs/>
          <w:color w:val="auto"/>
          <w:sz w:val="24"/>
        </w:rPr>
      </w:pPr>
      <w:r>
        <w:rPr>
          <w:rFonts w:hint="eastAsia" w:ascii="宋体" w:hAnsi="宋体"/>
          <w:bCs/>
          <w:color w:val="auto"/>
          <w:sz w:val="24"/>
          <w:szCs w:val="22"/>
        </w:rPr>
        <w:t>投标方在投标技术文件中应对本标书逐项予以说明和答复,应如实反映投标</w:t>
      </w:r>
      <w:r>
        <w:rPr>
          <w:rFonts w:hint="eastAsia" w:hAnsi="宋体"/>
          <w:bCs/>
          <w:color w:val="auto"/>
          <w:sz w:val="24"/>
          <w:szCs w:val="22"/>
        </w:rPr>
        <w:t>服务</w:t>
      </w:r>
      <w:r>
        <w:rPr>
          <w:rFonts w:hint="eastAsia" w:ascii="宋体" w:hAnsi="宋体"/>
          <w:bCs/>
          <w:color w:val="auto"/>
          <w:sz w:val="24"/>
          <w:szCs w:val="22"/>
        </w:rPr>
        <w:t>与本技术规范书的技术差异。如果投标方没有提出技术差异，而在执行合同的过程中，招标方发现投标方提供的</w:t>
      </w:r>
      <w:r>
        <w:rPr>
          <w:rFonts w:hint="eastAsia" w:hAnsi="宋体"/>
          <w:bCs/>
          <w:color w:val="auto"/>
          <w:sz w:val="24"/>
          <w:szCs w:val="22"/>
        </w:rPr>
        <w:t>服务</w:t>
      </w:r>
      <w:r>
        <w:rPr>
          <w:rFonts w:hint="eastAsia" w:ascii="宋体" w:hAnsi="宋体"/>
          <w:bCs/>
          <w:color w:val="auto"/>
          <w:sz w:val="24"/>
          <w:szCs w:val="22"/>
        </w:rPr>
        <w:t>与其投标技术文件的条文存在差异，招标方</w:t>
      </w:r>
      <w:r>
        <w:rPr>
          <w:rFonts w:hint="eastAsia" w:hAnsi="宋体"/>
          <w:bCs/>
          <w:color w:val="auto"/>
          <w:sz w:val="24"/>
          <w:szCs w:val="22"/>
        </w:rPr>
        <w:t>将</w:t>
      </w:r>
      <w:r>
        <w:rPr>
          <w:rFonts w:hint="eastAsia" w:ascii="宋体" w:hAnsi="宋体"/>
          <w:bCs/>
          <w:color w:val="auto"/>
          <w:sz w:val="24"/>
          <w:szCs w:val="22"/>
        </w:rPr>
        <w:t>追究投标方违约责任</w:t>
      </w:r>
      <w:r>
        <w:rPr>
          <w:rFonts w:hint="eastAsia" w:ascii="宋体" w:hAnsi="宋体"/>
          <w:bCs/>
          <w:color w:val="auto"/>
          <w:sz w:val="24"/>
        </w:rPr>
        <w:t>。</w:t>
      </w:r>
    </w:p>
    <w:p>
      <w:pPr>
        <w:numPr>
          <w:ilvl w:val="0"/>
          <w:numId w:val="2"/>
        </w:numPr>
        <w:spacing w:line="360" w:lineRule="auto"/>
        <w:rPr>
          <w:rFonts w:hint="eastAsia" w:ascii="宋体" w:hAnsi="宋体"/>
          <w:bCs/>
          <w:color w:val="auto"/>
          <w:sz w:val="24"/>
        </w:rPr>
      </w:pPr>
      <w:r>
        <w:rPr>
          <w:rFonts w:hint="eastAsia" w:ascii="宋体" w:hAnsi="宋体"/>
          <w:bCs/>
          <w:color w:val="auto"/>
          <w:sz w:val="24"/>
          <w:szCs w:val="22"/>
        </w:rPr>
        <w:t>投标方应在投标技术部分按本技术规范书的要求</w:t>
      </w:r>
      <w:r>
        <w:rPr>
          <w:rFonts w:hint="eastAsia" w:hAnsi="宋体"/>
          <w:bCs/>
          <w:color w:val="auto"/>
          <w:sz w:val="24"/>
          <w:szCs w:val="22"/>
        </w:rPr>
        <w:t>内容</w:t>
      </w:r>
      <w:r>
        <w:rPr>
          <w:rFonts w:hint="eastAsia" w:ascii="宋体" w:hAnsi="宋体"/>
          <w:bCs/>
          <w:color w:val="auto"/>
          <w:sz w:val="24"/>
          <w:szCs w:val="22"/>
        </w:rPr>
        <w:t>如实详细填写投标</w:t>
      </w:r>
      <w:r>
        <w:rPr>
          <w:rFonts w:hint="eastAsia" w:hAnsi="宋体"/>
          <w:bCs/>
          <w:color w:val="auto"/>
          <w:sz w:val="24"/>
          <w:szCs w:val="22"/>
        </w:rPr>
        <w:t>服务</w:t>
      </w:r>
      <w:r>
        <w:rPr>
          <w:rFonts w:hint="eastAsia" w:ascii="宋体" w:hAnsi="宋体"/>
          <w:bCs/>
          <w:color w:val="auto"/>
          <w:sz w:val="24"/>
          <w:szCs w:val="22"/>
        </w:rPr>
        <w:t>的</w:t>
      </w:r>
      <w:r>
        <w:rPr>
          <w:rFonts w:hint="eastAsia" w:hAnsi="宋体"/>
          <w:bCs/>
          <w:color w:val="auto"/>
          <w:sz w:val="24"/>
          <w:szCs w:val="22"/>
        </w:rPr>
        <w:t>范围及明细</w:t>
      </w:r>
      <w:r>
        <w:rPr>
          <w:rFonts w:hint="eastAsia" w:ascii="宋体" w:hAnsi="宋体"/>
          <w:bCs/>
          <w:color w:val="auto"/>
          <w:sz w:val="24"/>
          <w:szCs w:val="22"/>
        </w:rPr>
        <w:t>，并在投标商务部分</w:t>
      </w:r>
      <w:r>
        <w:rPr>
          <w:rFonts w:hint="eastAsia" w:hAnsi="宋体"/>
          <w:bCs/>
          <w:color w:val="auto"/>
          <w:sz w:val="24"/>
          <w:szCs w:val="22"/>
        </w:rPr>
        <w:t>（或报价部分）</w:t>
      </w:r>
      <w:r>
        <w:rPr>
          <w:rFonts w:hint="eastAsia" w:ascii="宋体" w:hAnsi="宋体"/>
          <w:bCs/>
          <w:color w:val="auto"/>
          <w:sz w:val="24"/>
          <w:szCs w:val="22"/>
        </w:rPr>
        <w:t>按</w:t>
      </w:r>
      <w:r>
        <w:rPr>
          <w:rFonts w:hint="eastAsia" w:hAnsi="宋体"/>
          <w:bCs/>
          <w:color w:val="auto"/>
          <w:sz w:val="24"/>
          <w:szCs w:val="22"/>
        </w:rPr>
        <w:t>此范围及明细</w:t>
      </w:r>
      <w:r>
        <w:rPr>
          <w:rFonts w:hint="eastAsia" w:ascii="宋体" w:hAnsi="宋体"/>
          <w:bCs/>
          <w:color w:val="auto"/>
          <w:sz w:val="24"/>
          <w:szCs w:val="22"/>
        </w:rPr>
        <w:t>进行</w:t>
      </w:r>
      <w:r>
        <w:rPr>
          <w:rFonts w:hint="eastAsia" w:hAnsi="宋体"/>
          <w:bCs/>
          <w:color w:val="auto"/>
          <w:sz w:val="24"/>
          <w:szCs w:val="22"/>
        </w:rPr>
        <w:t>分项</w:t>
      </w:r>
      <w:r>
        <w:rPr>
          <w:rFonts w:hint="eastAsia" w:ascii="宋体" w:hAnsi="宋体"/>
          <w:bCs/>
          <w:color w:val="auto"/>
          <w:sz w:val="24"/>
          <w:szCs w:val="22"/>
        </w:rPr>
        <w:t>报价，如发现</w:t>
      </w:r>
      <w:r>
        <w:rPr>
          <w:rFonts w:hint="eastAsia" w:hAnsi="宋体"/>
          <w:bCs/>
          <w:color w:val="auto"/>
          <w:sz w:val="24"/>
          <w:szCs w:val="22"/>
        </w:rPr>
        <w:t>总报价与分项报价</w:t>
      </w:r>
      <w:r>
        <w:rPr>
          <w:rFonts w:hint="eastAsia" w:ascii="宋体" w:hAnsi="宋体"/>
          <w:bCs/>
          <w:color w:val="auto"/>
          <w:sz w:val="24"/>
          <w:szCs w:val="22"/>
        </w:rPr>
        <w:t>有矛盾之处，将按有利于招标方的条款执行</w:t>
      </w:r>
      <w:r>
        <w:rPr>
          <w:rFonts w:hint="eastAsia" w:hAnsi="宋体"/>
          <w:bCs/>
          <w:color w:val="auto"/>
          <w:sz w:val="24"/>
          <w:szCs w:val="22"/>
        </w:rPr>
        <w:t>。</w:t>
      </w:r>
      <w:r>
        <w:rPr>
          <w:rFonts w:hint="eastAsia" w:ascii="宋体" w:hAnsi="宋体"/>
          <w:bCs/>
          <w:color w:val="auto"/>
          <w:sz w:val="24"/>
          <w:szCs w:val="22"/>
        </w:rPr>
        <w:t xml:space="preserve"> </w:t>
      </w:r>
    </w:p>
    <w:p>
      <w:pPr>
        <w:numPr>
          <w:ilvl w:val="0"/>
          <w:numId w:val="2"/>
        </w:numPr>
        <w:spacing w:line="360" w:lineRule="auto"/>
        <w:rPr>
          <w:rFonts w:hint="eastAsia" w:ascii="宋体" w:hAnsi="宋体"/>
          <w:bCs/>
          <w:color w:val="auto"/>
          <w:sz w:val="24"/>
          <w:szCs w:val="22"/>
        </w:rPr>
      </w:pPr>
      <w:r>
        <w:rPr>
          <w:rFonts w:hint="eastAsia" w:ascii="宋体" w:hAnsi="宋体"/>
          <w:bCs/>
          <w:color w:val="auto"/>
          <w:sz w:val="24"/>
          <w:szCs w:val="22"/>
        </w:rPr>
        <w:t>投标方必须仔细阅读采购文件的全部条款，并作出明确响应。采购文件带“★”号的条款及要求，投标方必须满足，若有一项不满足将否决投标。</w:t>
      </w:r>
    </w:p>
    <w:p>
      <w:pPr>
        <w:numPr>
          <w:ilvl w:val="0"/>
          <w:numId w:val="2"/>
        </w:numPr>
        <w:spacing w:line="360" w:lineRule="auto"/>
        <w:rPr>
          <w:rFonts w:hint="eastAsia" w:ascii="宋体" w:hAnsi="宋体"/>
          <w:bCs/>
          <w:color w:val="auto"/>
          <w:sz w:val="24"/>
          <w:szCs w:val="22"/>
        </w:rPr>
      </w:pPr>
      <w:r>
        <w:rPr>
          <w:rFonts w:hint="eastAsia" w:ascii="宋体" w:hAnsi="宋体"/>
          <w:bCs/>
          <w:color w:val="auto"/>
          <w:sz w:val="24"/>
          <w:szCs w:val="22"/>
        </w:rPr>
        <w:t>本技术规范书未尽事宜，由双方协商确定。</w:t>
      </w:r>
    </w:p>
    <w:p>
      <w:pPr>
        <w:numPr>
          <w:ilvl w:val="0"/>
          <w:numId w:val="2"/>
        </w:numPr>
        <w:spacing w:line="360" w:lineRule="auto"/>
        <w:rPr>
          <w:rFonts w:hint="eastAsia" w:ascii="宋体" w:hAnsi="宋体"/>
          <w:bCs/>
          <w:color w:val="auto"/>
          <w:sz w:val="24"/>
        </w:rPr>
      </w:pPr>
      <w:r>
        <w:rPr>
          <w:rFonts w:hint="eastAsia" w:ascii="宋体" w:hAnsi="宋体"/>
          <w:bCs/>
          <w:color w:val="auto"/>
          <w:sz w:val="24"/>
        </w:rPr>
        <w:t>本标书的最终解释权归招标方。</w:t>
      </w:r>
    </w:p>
    <w:p>
      <w:pPr>
        <w:pStyle w:val="24"/>
        <w:spacing w:before="312"/>
        <w:rPr>
          <w:rFonts w:hint="eastAsia"/>
          <w:color w:val="auto"/>
          <w:szCs w:val="22"/>
        </w:rPr>
      </w:pPr>
      <w:r>
        <w:rPr>
          <w:rFonts w:hint="eastAsia"/>
          <w:color w:val="auto"/>
          <w:szCs w:val="22"/>
        </w:rPr>
        <w:br w:type="page"/>
      </w:r>
    </w:p>
    <w:p>
      <w:pPr>
        <w:pStyle w:val="24"/>
        <w:spacing w:before="312"/>
        <w:outlineLvl w:val="0"/>
        <w:rPr>
          <w:rFonts w:hint="eastAsia" w:ascii="黑体" w:hAnsi="黑体" w:eastAsia="黑体" w:cs="黑体"/>
          <w:color w:val="auto"/>
          <w:sz w:val="28"/>
          <w:szCs w:val="28"/>
        </w:rPr>
      </w:pPr>
      <w:bookmarkStart w:id="8" w:name="_Toc3738"/>
      <w:r>
        <w:rPr>
          <w:rFonts w:hint="eastAsia" w:ascii="黑体" w:hAnsi="黑体" w:eastAsia="黑体" w:cs="黑体"/>
          <w:color w:val="auto"/>
          <w:sz w:val="28"/>
          <w:szCs w:val="28"/>
        </w:rPr>
        <w:t>1  标的概况</w:t>
      </w:r>
      <w:bookmarkEnd w:id="8"/>
    </w:p>
    <w:p>
      <w:pPr>
        <w:adjustRightInd w:val="0"/>
        <w:snapToGrid w:val="0"/>
        <w:spacing w:line="360" w:lineRule="auto"/>
        <w:outlineLvl w:val="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标的名称：</w:t>
      </w:r>
      <w:r>
        <w:rPr>
          <w:rFonts w:hint="eastAsia"/>
          <w:color w:val="auto"/>
          <w:sz w:val="24"/>
          <w:szCs w:val="24"/>
        </w:rPr>
        <w:t>220千伏天河棠下柔直背靠背工程消防技术服务</w:t>
      </w:r>
    </w:p>
    <w:p>
      <w:pPr>
        <w:adjustRightInd w:val="0"/>
        <w:snapToGrid w:val="0"/>
        <w:spacing w:line="360" w:lineRule="auto"/>
        <w:outlineLvl w:val="0"/>
        <w:rPr>
          <w:rFonts w:hint="eastAsia" w:asciiTheme="minorEastAsia" w:hAnsiTheme="minorEastAsia" w:eastAsiaTheme="minorEastAsia" w:cstheme="minorEastAsia"/>
          <w:color w:val="auto"/>
          <w:sz w:val="24"/>
        </w:rPr>
      </w:pPr>
      <w:bookmarkStart w:id="9" w:name="_Toc30787"/>
      <w:bookmarkStart w:id="10" w:name="_Toc22746"/>
      <w:r>
        <w:rPr>
          <w:rFonts w:hint="eastAsia" w:asciiTheme="minorEastAsia" w:hAnsiTheme="minorEastAsia" w:eastAsiaTheme="minorEastAsia" w:cstheme="minorEastAsia"/>
          <w:color w:val="auto"/>
          <w:sz w:val="24"/>
        </w:rPr>
        <w:t>标包名称：</w:t>
      </w:r>
      <w:bookmarkEnd w:id="9"/>
      <w:bookmarkEnd w:id="10"/>
      <w:r>
        <w:rPr>
          <w:rFonts w:hint="eastAsia" w:asciiTheme="minorEastAsia" w:hAnsiTheme="minorEastAsia" w:eastAsiaTheme="minorEastAsia" w:cstheme="minorEastAsia"/>
          <w:color w:val="auto"/>
          <w:sz w:val="24"/>
          <w:szCs w:val="24"/>
          <w:lang w:val="en-US" w:eastAsia="zh-CN"/>
        </w:rPr>
        <w:t>220千伏天河棠下柔直背靠背工程安全高效防火、灭火系统专题研究</w:t>
      </w:r>
    </w:p>
    <w:p>
      <w:pPr>
        <w:spacing w:line="360" w:lineRule="auto"/>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color w:val="auto"/>
          <w:sz w:val="24"/>
        </w:rPr>
        <w:t>概况：</w:t>
      </w:r>
      <w:r>
        <w:rPr>
          <w:rFonts w:hint="eastAsia" w:asciiTheme="minorEastAsia" w:hAnsiTheme="minorEastAsia" w:eastAsiaTheme="minorEastAsia" w:cstheme="minorEastAsia"/>
          <w:color w:val="auto"/>
          <w:sz w:val="24"/>
          <w:lang w:val="en-US" w:eastAsia="zh-CN"/>
        </w:rPr>
        <w:t>专题研究依托</w:t>
      </w:r>
      <w:r>
        <w:rPr>
          <w:rFonts w:hint="eastAsia" w:ascii="Times New Roman" w:hAnsi="Times New Roman" w:eastAsia="宋体" w:cs="Times New Roman"/>
          <w:color w:val="auto"/>
          <w:sz w:val="24"/>
        </w:rPr>
        <w:t>220千伏天河棠下柔直背靠背工程。</w:t>
      </w:r>
      <w:r>
        <w:rPr>
          <w:rFonts w:hint="eastAsia" w:asciiTheme="minorEastAsia" w:hAnsiTheme="minorEastAsia" w:eastAsiaTheme="minorEastAsia" w:cstheme="minorEastAsia"/>
          <w:bCs/>
          <w:color w:val="auto"/>
          <w:sz w:val="24"/>
        </w:rPr>
        <w:t>棠下柔直换流站为全户内布置，所有电气设备布置在配电装置楼内，电气设备间上方楼层布置值班办公用房，建筑高度近50m。作为兼具电力供应和人员办公的高层建筑，其火灾风险、人员逃生和灭火难度明显高于常规换流站。</w:t>
      </w:r>
    </w:p>
    <w:p>
      <w:pPr>
        <w:pStyle w:val="24"/>
        <w:spacing w:before="312"/>
        <w:outlineLvl w:val="0"/>
        <w:rPr>
          <w:rFonts w:hint="eastAsia" w:ascii="黑体" w:hAnsi="黑体" w:eastAsia="黑体" w:cs="黑体"/>
          <w:color w:val="auto"/>
          <w:sz w:val="28"/>
          <w:szCs w:val="28"/>
        </w:rPr>
      </w:pPr>
      <w:bookmarkStart w:id="11" w:name="_Toc7667"/>
      <w:r>
        <w:rPr>
          <w:rFonts w:hint="eastAsia" w:ascii="黑体" w:hAnsi="黑体" w:eastAsia="黑体" w:cs="黑体"/>
          <w:color w:val="auto"/>
          <w:sz w:val="28"/>
          <w:szCs w:val="28"/>
        </w:rPr>
        <w:t>2  研究内容及目的</w:t>
      </w:r>
      <w:bookmarkEnd w:id="11"/>
    </w:p>
    <w:p>
      <w:pPr>
        <w:spacing w:line="360" w:lineRule="auto"/>
        <w:outlineLvl w:val="1"/>
        <w:rPr>
          <w:rFonts w:hint="eastAsia" w:ascii="黑体" w:hAnsi="黑体" w:eastAsia="黑体" w:cs="黑体"/>
          <w:bCs/>
          <w:color w:val="auto"/>
          <w:sz w:val="24"/>
        </w:rPr>
      </w:pPr>
      <w:bookmarkStart w:id="12" w:name="_Toc29882"/>
      <w:r>
        <w:rPr>
          <w:rFonts w:hint="eastAsia" w:ascii="黑体" w:hAnsi="黑体" w:eastAsia="黑体" w:cs="黑体"/>
          <w:bCs/>
          <w:color w:val="auto"/>
          <w:sz w:val="24"/>
        </w:rPr>
        <w:t>2.1 研究内容</w:t>
      </w:r>
      <w:bookmarkEnd w:id="12"/>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本项目结合火灾特性分析、火灾动力学模拟、钢结构热力耦合分析，以研究成果为依托开展城市户内高层柔直换流站安全高效防火、灭火系统关键技术研究，具体任务如下：</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课题1 高层户内柔直换流站安全高效灭火方案研究</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主要研究内容包括高层户内柔直换流站电气设备场所和公共区域的火灾特性研究、</w:t>
      </w:r>
      <w:r>
        <w:rPr>
          <w:rFonts w:hint="eastAsia" w:asciiTheme="minorEastAsia" w:hAnsiTheme="minorEastAsia" w:eastAsiaTheme="minorEastAsia" w:cstheme="minorEastAsia"/>
          <w:bCs/>
          <w:color w:val="auto"/>
          <w:sz w:val="24"/>
          <w:lang w:val="en-US" w:eastAsia="zh-CN"/>
        </w:rPr>
        <w:t>全氟己酮灭火系统设计研究、</w:t>
      </w:r>
      <w:r>
        <w:rPr>
          <w:rFonts w:hint="eastAsia" w:asciiTheme="minorEastAsia" w:hAnsiTheme="minorEastAsia" w:eastAsiaTheme="minorEastAsia" w:cstheme="minorEastAsia"/>
          <w:bCs/>
          <w:color w:val="auto"/>
          <w:sz w:val="24"/>
        </w:rPr>
        <w:t>自动喷水灭火系统方案研究、电气设备场所和公共区域灭火系统研究</w:t>
      </w:r>
      <w:r>
        <w:rPr>
          <w:rFonts w:hint="eastAsia" w:asciiTheme="minorEastAsia" w:hAnsiTheme="minorEastAsia" w:eastAsiaTheme="minorEastAsia" w:cstheme="minorEastAsia"/>
          <w:bCs/>
          <w:color w:val="auto"/>
          <w:sz w:val="24"/>
          <w:lang w:val="en-US" w:eastAsia="zh-CN"/>
        </w:rPr>
        <w:t>等</w:t>
      </w:r>
      <w:r>
        <w:rPr>
          <w:rFonts w:hint="eastAsia" w:asciiTheme="minorEastAsia" w:hAnsiTheme="minorEastAsia" w:eastAsiaTheme="minorEastAsia" w:cstheme="minorEastAsia"/>
          <w:bCs/>
          <w:color w:val="auto"/>
          <w:sz w:val="24"/>
        </w:rPr>
        <w:t>。</w:t>
      </w:r>
      <w:r>
        <w:rPr>
          <w:rFonts w:hint="eastAsia"/>
          <w:color w:val="auto"/>
          <w:sz w:val="24"/>
        </w:rPr>
        <w:t>根据不同区域的火灾危险性分类，明确科学合理的灭火系统选型，对比不同灭火系统的灭火效率、经济成本，研究提出适用的水系或气体灭火系统，完成换流站灭火系统整体设计方案。</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课题2高层柔直换流站大跨度钢结构防火设计方案研究</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主要研究内容包括高层柔直换流站大跨度钢构件热力耦合数值模拟研究、基于主动降温防火和被动防火分隔的钢构件耐火性能测试研究、主被动耦合的大跨度钢结构防火保护方案研究。</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课题3极早期火灾报警与高层换流站人员安全疏散、消防扑救研究</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主要研究内容包括换流站可燃物分布及火灾烟气蔓延规律研究、极早期火灾报警系统设计方案研发、换流站消防安防一体化监测技术方案研发；换流站不同区域疏散策略研究、疏散设施设计方案优化研究；换流站公共区域火灾烟气数值模拟研究、</w:t>
      </w:r>
      <w:r>
        <w:rPr>
          <w:rFonts w:hint="eastAsia"/>
          <w:color w:val="auto"/>
          <w:sz w:val="24"/>
        </w:rPr>
        <w:t>灾后通风排烟方案研究、通风排烟系统设计参数优化研究</w:t>
      </w:r>
      <w:r>
        <w:rPr>
          <w:rFonts w:hint="eastAsia" w:asciiTheme="minorEastAsia" w:hAnsiTheme="minorEastAsia" w:eastAsiaTheme="minorEastAsia" w:cstheme="minorEastAsia"/>
          <w:bCs/>
          <w:color w:val="auto"/>
          <w:sz w:val="24"/>
          <w:lang w:val="zh-CN"/>
        </w:rPr>
        <w:t>。</w:t>
      </w:r>
    </w:p>
    <w:p>
      <w:pPr>
        <w:spacing w:line="360" w:lineRule="auto"/>
        <w:outlineLvl w:val="1"/>
        <w:rPr>
          <w:rFonts w:hint="eastAsia" w:ascii="黑体" w:hAnsi="黑体" w:eastAsia="黑体" w:cs="黑体"/>
          <w:bCs/>
          <w:color w:val="auto"/>
          <w:sz w:val="24"/>
        </w:rPr>
      </w:pPr>
      <w:bookmarkStart w:id="13" w:name="_Toc22754"/>
      <w:r>
        <w:rPr>
          <w:rFonts w:hint="eastAsia" w:ascii="黑体" w:hAnsi="黑体" w:eastAsia="黑体" w:cs="黑体"/>
          <w:bCs/>
          <w:color w:val="auto"/>
          <w:sz w:val="24"/>
        </w:rPr>
        <w:t>2.2 研究目的</w:t>
      </w:r>
      <w:bookmarkEnd w:id="13"/>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本项目以研究成果为依托开展高层柔直换流站的防火、灭火系统设计研究，形成高层柔直换流站适用的系统性消防设计标准，研究成果不仅适用于高层柔直换流站的设计和升级改造，也适用于常规高层变电站、地下变电站等电力工程项目，应用前景广阔。预期目标如下：</w:t>
      </w:r>
    </w:p>
    <w:p>
      <w:pPr>
        <w:spacing w:line="360" w:lineRule="auto"/>
        <w:ind w:firstLine="480" w:firstLineChars="200"/>
        <w:rPr>
          <w:rFonts w:hint="eastAsia" w:asciiTheme="minorEastAsia" w:hAnsiTheme="minorEastAsia" w:eastAsiaTheme="minorEastAsia" w:cstheme="minorEastAsia"/>
          <w:bCs/>
          <w:color w:val="auto"/>
          <w:sz w:val="24"/>
        </w:rPr>
      </w:pPr>
      <w:bookmarkStart w:id="14" w:name="_Toc20003"/>
      <w:r>
        <w:rPr>
          <w:rFonts w:hint="eastAsia" w:asciiTheme="minorEastAsia" w:hAnsiTheme="minorEastAsia" w:eastAsiaTheme="minorEastAsia" w:cstheme="minorEastAsia"/>
          <w:bCs/>
          <w:color w:val="auto"/>
          <w:sz w:val="24"/>
        </w:rPr>
        <w:t>（1）形成高层户内柔直换流站安全高效灭火设计方案；</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（2）形成高层大跨度钢结构建筑主被动耦合防火设计方案；</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（3）形成大空间场所及电气设备间火灾极早期探测报警设计方案；</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（4）形成换流站人员安全疏散及扑救系统设计方案；</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（5）形成换流站防排烟系统优化设计方案；</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（6）研究成果支撑工程成功落地。</w:t>
      </w:r>
    </w:p>
    <w:p>
      <w:pPr>
        <w:pStyle w:val="24"/>
        <w:spacing w:before="312"/>
        <w:outlineLvl w:val="0"/>
        <w:rPr>
          <w:rFonts w:hint="eastAsia" w:ascii="黑体" w:hAnsi="黑体" w:eastAsia="黑体" w:cs="黑体"/>
          <w:color w:val="auto"/>
          <w:sz w:val="28"/>
          <w:szCs w:val="28"/>
        </w:rPr>
      </w:pPr>
      <w:r>
        <w:rPr>
          <w:rFonts w:hint="eastAsia" w:ascii="黑体" w:hAnsi="黑体" w:eastAsia="黑体" w:cs="黑体"/>
          <w:color w:val="auto"/>
          <w:sz w:val="28"/>
          <w:szCs w:val="28"/>
        </w:rPr>
        <w:t>3  主要技术指标要求</w:t>
      </w:r>
      <w:bookmarkEnd w:id="14"/>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（1）换流站电气设备区域灭火系统设计方案1项，典型火源功率条件下，洁净气体灭火系统在喷射结束后40s内扑灭明火，10min不复燃。</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（2）换流站典型火源功率条件下，高层大跨度钢结构构件的平均温升不大于300℃。</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（3）换流站公共区域排烟系统设计方案1项，排烟效率不低于80%。</w:t>
      </w:r>
    </w:p>
    <w:p>
      <w:pPr>
        <w:pStyle w:val="24"/>
        <w:spacing w:before="312"/>
        <w:outlineLvl w:val="0"/>
        <w:rPr>
          <w:rFonts w:hint="eastAsia" w:asciiTheme="minorEastAsia" w:hAnsiTheme="minorEastAsia" w:eastAsiaTheme="minorEastAsia" w:cstheme="minorEastAsia"/>
          <w:b w:val="0"/>
          <w:bCs/>
          <w:color w:val="auto"/>
        </w:rPr>
      </w:pPr>
      <w:bookmarkStart w:id="15" w:name="_Toc14246"/>
      <w:bookmarkStart w:id="16" w:name="_Toc266713650"/>
      <w:r>
        <w:rPr>
          <w:rFonts w:hint="eastAsia" w:ascii="黑体" w:hAnsi="黑体" w:eastAsia="黑体" w:cs="黑体"/>
          <w:color w:val="auto"/>
          <w:sz w:val="28"/>
          <w:szCs w:val="28"/>
        </w:rPr>
        <w:t>4  时间进度要求</w:t>
      </w:r>
      <w:bookmarkEnd w:id="15"/>
      <w:bookmarkEnd w:id="16"/>
    </w:p>
    <w:tbl>
      <w:tblPr>
        <w:tblStyle w:val="14"/>
        <w:tblW w:w="8391"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62"/>
        <w:gridCol w:w="762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391" w:type="dxa"/>
            <w:gridSpan w:val="2"/>
            <w:tcBorders>
              <w:tl2br w:val="nil"/>
              <w:tr2bl w:val="nil"/>
            </w:tcBorders>
            <w:vAlign w:val="center"/>
          </w:tcPr>
          <w:p>
            <w:pPr>
              <w:adjustRightInd w:val="0"/>
              <w:snapToGrid w:val="0"/>
              <w:jc w:val="center"/>
              <w:textAlignment w:val="center"/>
              <w:rPr>
                <w:rFonts w:hint="eastAsia" w:ascii="宋体" w:hAnsi="宋体"/>
                <w:b/>
                <w:color w:val="auto"/>
                <w:szCs w:val="21"/>
              </w:rPr>
            </w:pPr>
            <w:r>
              <w:rPr>
                <w:rFonts w:hint="eastAsia" w:ascii="宋体" w:hAnsi="宋体"/>
                <w:b/>
                <w:color w:val="auto"/>
                <w:szCs w:val="21"/>
              </w:rPr>
              <w:t>进度计划</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762" w:type="dxa"/>
            <w:tcBorders>
              <w:tl2br w:val="nil"/>
              <w:tr2bl w:val="nil"/>
            </w:tcBorders>
            <w:vAlign w:val="center"/>
          </w:tcPr>
          <w:p>
            <w:pPr>
              <w:adjustRightInd w:val="0"/>
              <w:snapToGrid w:val="0"/>
              <w:jc w:val="center"/>
              <w:textAlignment w:val="center"/>
              <w:rPr>
                <w:rFonts w:hint="eastAsia" w:ascii="宋体" w:hAnsi="宋体"/>
                <w:b/>
                <w:color w:val="auto"/>
                <w:szCs w:val="21"/>
              </w:rPr>
            </w:pPr>
            <w:r>
              <w:rPr>
                <w:rFonts w:hint="eastAsia" w:ascii="宋体" w:hAnsi="宋体"/>
                <w:b/>
                <w:color w:val="auto"/>
                <w:szCs w:val="21"/>
              </w:rPr>
              <w:t>4</w:t>
            </w:r>
            <w:r>
              <w:rPr>
                <w:rFonts w:ascii="宋体" w:hAnsi="宋体"/>
                <w:b/>
                <w:color w:val="auto"/>
                <w:szCs w:val="21"/>
              </w:rPr>
              <w:t>.1</w:t>
            </w:r>
          </w:p>
        </w:tc>
        <w:tc>
          <w:tcPr>
            <w:tcW w:w="7629" w:type="dxa"/>
            <w:tcBorders>
              <w:tl2br w:val="nil"/>
              <w:tr2bl w:val="nil"/>
            </w:tcBorders>
            <w:vAlign w:val="center"/>
          </w:tcPr>
          <w:p>
            <w:pPr>
              <w:adjustRightInd w:val="0"/>
              <w:snapToGrid w:val="0"/>
              <w:textAlignment w:val="center"/>
              <w:rPr>
                <w:rFonts w:hint="eastAsia" w:ascii="宋体" w:hAnsi="宋体"/>
                <w:b/>
                <w:color w:val="auto"/>
                <w:szCs w:val="21"/>
              </w:rPr>
            </w:pPr>
            <w:r>
              <w:rPr>
                <w:rFonts w:hint="eastAsia" w:ascii="宋体" w:hAnsi="宋体"/>
                <w:b/>
                <w:color w:val="auto"/>
                <w:szCs w:val="21"/>
              </w:rPr>
              <w:t>[自合同签订之日起- 2024年12月31日]</w:t>
            </w:r>
          </w:p>
          <w:p>
            <w:pPr>
              <w:adjustRightInd w:val="0"/>
              <w:snapToGrid w:val="0"/>
              <w:jc w:val="left"/>
              <w:textAlignment w:val="center"/>
              <w:rPr>
                <w:rFonts w:hint="eastAsia" w:ascii="宋体" w:hAnsi="宋体"/>
                <w:b/>
                <w:color w:val="auto"/>
                <w:szCs w:val="21"/>
              </w:rPr>
            </w:pPr>
            <w:r>
              <w:rPr>
                <w:rFonts w:hint="eastAsia" w:ascii="宋体" w:hAnsi="宋体"/>
                <w:b/>
                <w:color w:val="auto"/>
                <w:szCs w:val="21"/>
              </w:rPr>
              <w:t>主要内容：</w:t>
            </w:r>
          </w:p>
          <w:p>
            <w:pPr>
              <w:numPr>
                <w:ilvl w:val="0"/>
                <w:numId w:val="3"/>
              </w:numPr>
              <w:tabs>
                <w:tab w:val="left" w:pos="537"/>
                <w:tab w:val="left" w:pos="763"/>
              </w:tabs>
              <w:adjustRightInd w:val="0"/>
              <w:snapToGrid w:val="0"/>
              <w:ind w:left="0" w:firstLine="0"/>
              <w:jc w:val="left"/>
              <w:textAlignment w:val="center"/>
              <w:rPr>
                <w:rFonts w:hint="eastAsia" w:ascii="宋体" w:hAnsi="宋体"/>
                <w:color w:val="auto"/>
                <w:szCs w:val="21"/>
              </w:rPr>
            </w:pPr>
            <w:r>
              <w:rPr>
                <w:rFonts w:hint="eastAsia" w:ascii="宋体" w:hAnsi="宋体"/>
                <w:color w:val="auto"/>
                <w:szCs w:val="21"/>
              </w:rPr>
              <w:t>开展高层户内柔直换流站电气设备场所、公共区域的火灾特性和灭火系统设计方案研究。</w:t>
            </w:r>
          </w:p>
          <w:p>
            <w:pPr>
              <w:tabs>
                <w:tab w:val="left" w:pos="537"/>
                <w:tab w:val="left" w:pos="763"/>
              </w:tabs>
              <w:adjustRightInd w:val="0"/>
              <w:snapToGrid w:val="0"/>
              <w:jc w:val="left"/>
              <w:textAlignment w:val="center"/>
              <w:rPr>
                <w:rFonts w:hint="eastAsia" w:ascii="宋体" w:hAnsi="宋体"/>
                <w:b/>
                <w:color w:val="auto"/>
                <w:szCs w:val="21"/>
              </w:rPr>
            </w:pPr>
            <w:r>
              <w:rPr>
                <w:rFonts w:hint="eastAsia" w:ascii="宋体" w:hAnsi="宋体"/>
                <w:b/>
                <w:color w:val="auto"/>
                <w:szCs w:val="21"/>
              </w:rPr>
              <w:t>交付物：</w:t>
            </w:r>
          </w:p>
          <w:p>
            <w:pPr>
              <w:tabs>
                <w:tab w:val="left" w:pos="537"/>
                <w:tab w:val="left" w:pos="763"/>
              </w:tabs>
              <w:adjustRightInd w:val="0"/>
              <w:snapToGrid w:val="0"/>
              <w:jc w:val="left"/>
              <w:textAlignment w:val="center"/>
              <w:rPr>
                <w:rFonts w:hint="eastAsia" w:ascii="宋体" w:hAnsi="宋体"/>
                <w:color w:val="auto"/>
                <w:szCs w:val="21"/>
              </w:rPr>
            </w:pPr>
            <w:r>
              <w:rPr>
                <w:rFonts w:hint="eastAsia" w:ascii="宋体" w:hAnsi="宋体"/>
                <w:color w:val="auto"/>
                <w:szCs w:val="21"/>
              </w:rPr>
              <w:t>（1）高层柔直换流站安全高效灭火方案。</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762" w:type="dxa"/>
            <w:tcBorders>
              <w:tl2br w:val="nil"/>
              <w:tr2bl w:val="nil"/>
            </w:tcBorders>
            <w:vAlign w:val="center"/>
          </w:tcPr>
          <w:p>
            <w:pPr>
              <w:adjustRightInd w:val="0"/>
              <w:snapToGrid w:val="0"/>
              <w:jc w:val="center"/>
              <w:textAlignment w:val="center"/>
              <w:rPr>
                <w:rFonts w:hint="eastAsia" w:ascii="宋体" w:hAnsi="宋体"/>
                <w:b/>
                <w:color w:val="auto"/>
                <w:szCs w:val="21"/>
              </w:rPr>
            </w:pPr>
            <w:r>
              <w:rPr>
                <w:rFonts w:hint="eastAsia" w:ascii="宋体" w:hAnsi="宋体"/>
                <w:b/>
                <w:color w:val="auto"/>
                <w:szCs w:val="21"/>
              </w:rPr>
              <w:t>4</w:t>
            </w:r>
            <w:r>
              <w:rPr>
                <w:rFonts w:ascii="宋体" w:hAnsi="宋体"/>
                <w:b/>
                <w:color w:val="auto"/>
                <w:szCs w:val="21"/>
              </w:rPr>
              <w:t>.</w:t>
            </w:r>
            <w:r>
              <w:rPr>
                <w:rFonts w:hint="eastAsia" w:ascii="宋体" w:hAnsi="宋体"/>
                <w:b/>
                <w:color w:val="auto"/>
                <w:szCs w:val="21"/>
              </w:rPr>
              <w:t>2</w:t>
            </w:r>
          </w:p>
        </w:tc>
        <w:tc>
          <w:tcPr>
            <w:tcW w:w="7629" w:type="dxa"/>
            <w:tcBorders>
              <w:tl2br w:val="nil"/>
              <w:tr2bl w:val="nil"/>
            </w:tcBorders>
            <w:vAlign w:val="center"/>
          </w:tcPr>
          <w:p>
            <w:pPr>
              <w:adjustRightInd w:val="0"/>
              <w:snapToGrid w:val="0"/>
              <w:textAlignment w:val="center"/>
              <w:rPr>
                <w:rFonts w:hint="eastAsia" w:ascii="宋体" w:hAnsi="宋体"/>
                <w:b/>
                <w:color w:val="auto"/>
                <w:szCs w:val="21"/>
              </w:rPr>
            </w:pPr>
            <w:r>
              <w:rPr>
                <w:rFonts w:hint="eastAsia" w:ascii="宋体" w:hAnsi="宋体"/>
                <w:b/>
                <w:color w:val="auto"/>
                <w:szCs w:val="21"/>
              </w:rPr>
              <w:t>[2025年1月1日 -</w:t>
            </w:r>
            <w:r>
              <w:rPr>
                <w:rFonts w:ascii="宋体" w:hAnsi="宋体"/>
                <w:b/>
                <w:color w:val="auto"/>
                <w:szCs w:val="21"/>
              </w:rPr>
              <w:t xml:space="preserve"> </w:t>
            </w:r>
            <w:r>
              <w:rPr>
                <w:rFonts w:hint="eastAsia" w:ascii="宋体" w:hAnsi="宋体"/>
                <w:b/>
                <w:color w:val="auto"/>
                <w:szCs w:val="21"/>
              </w:rPr>
              <w:t>2025年4月30日]</w:t>
            </w:r>
          </w:p>
          <w:p>
            <w:pPr>
              <w:adjustRightInd w:val="0"/>
              <w:snapToGrid w:val="0"/>
              <w:jc w:val="left"/>
              <w:textAlignment w:val="center"/>
              <w:rPr>
                <w:rFonts w:hint="eastAsia" w:ascii="宋体" w:hAnsi="宋体"/>
                <w:b/>
                <w:color w:val="auto"/>
                <w:szCs w:val="21"/>
              </w:rPr>
            </w:pPr>
            <w:r>
              <w:rPr>
                <w:rFonts w:hint="eastAsia" w:ascii="宋体" w:hAnsi="宋体"/>
                <w:b/>
                <w:color w:val="auto"/>
                <w:szCs w:val="21"/>
              </w:rPr>
              <w:t>主要内容：</w:t>
            </w:r>
          </w:p>
          <w:p>
            <w:pPr>
              <w:numPr>
                <w:ilvl w:val="0"/>
                <w:numId w:val="4"/>
              </w:numPr>
              <w:tabs>
                <w:tab w:val="left" w:pos="537"/>
                <w:tab w:val="left" w:pos="763"/>
              </w:tabs>
              <w:adjustRightInd w:val="0"/>
              <w:snapToGrid w:val="0"/>
              <w:ind w:left="0" w:firstLine="0"/>
              <w:jc w:val="left"/>
              <w:textAlignment w:val="center"/>
              <w:rPr>
                <w:rFonts w:hint="eastAsia" w:ascii="宋体" w:hAnsi="宋体"/>
                <w:color w:val="auto"/>
                <w:szCs w:val="21"/>
              </w:rPr>
            </w:pPr>
            <w:r>
              <w:rPr>
                <w:rFonts w:hint="eastAsia" w:ascii="宋体" w:hAnsi="宋体"/>
                <w:color w:val="auto"/>
                <w:szCs w:val="21"/>
              </w:rPr>
              <w:t>开展高层户内柔直换流站大跨度钢构件热力耦合数值模拟和耐火性能测试，建立主被动耦合的钢构件防火保护方案。</w:t>
            </w:r>
          </w:p>
          <w:p>
            <w:pPr>
              <w:tabs>
                <w:tab w:val="left" w:pos="537"/>
                <w:tab w:val="left" w:pos="763"/>
              </w:tabs>
              <w:adjustRightInd w:val="0"/>
              <w:snapToGrid w:val="0"/>
              <w:jc w:val="left"/>
              <w:textAlignment w:val="center"/>
              <w:rPr>
                <w:rFonts w:hint="eastAsia" w:ascii="宋体" w:hAnsi="宋体"/>
                <w:b/>
                <w:color w:val="auto"/>
                <w:szCs w:val="21"/>
              </w:rPr>
            </w:pPr>
            <w:r>
              <w:rPr>
                <w:rFonts w:hint="eastAsia" w:ascii="宋体" w:hAnsi="宋体"/>
                <w:b/>
                <w:color w:val="auto"/>
                <w:szCs w:val="21"/>
              </w:rPr>
              <w:t>交付物：</w:t>
            </w:r>
          </w:p>
          <w:p>
            <w:pPr>
              <w:tabs>
                <w:tab w:val="left" w:pos="537"/>
                <w:tab w:val="left" w:pos="763"/>
              </w:tabs>
              <w:adjustRightInd w:val="0"/>
              <w:snapToGrid w:val="0"/>
              <w:jc w:val="left"/>
              <w:textAlignment w:val="center"/>
              <w:rPr>
                <w:rFonts w:hint="eastAsia" w:ascii="宋体" w:hAnsi="宋体"/>
                <w:color w:val="auto"/>
                <w:szCs w:val="21"/>
              </w:rPr>
            </w:pPr>
            <w:r>
              <w:rPr>
                <w:rFonts w:hint="eastAsia" w:ascii="宋体" w:hAnsi="宋体"/>
                <w:color w:val="auto"/>
                <w:szCs w:val="21"/>
              </w:rPr>
              <w:t>（1）高层户内柔直换流站主被动防火、灭火方案研究报告。</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762" w:type="dxa"/>
            <w:tcBorders>
              <w:tl2br w:val="nil"/>
              <w:tr2bl w:val="nil"/>
            </w:tcBorders>
            <w:vAlign w:val="center"/>
          </w:tcPr>
          <w:p>
            <w:pPr>
              <w:widowControl/>
              <w:jc w:val="center"/>
              <w:rPr>
                <w:rFonts w:hint="eastAsia" w:ascii="宋体" w:hAnsi="宋体"/>
                <w:b/>
                <w:color w:val="auto"/>
                <w:szCs w:val="21"/>
              </w:rPr>
            </w:pPr>
            <w:r>
              <w:rPr>
                <w:rFonts w:hint="eastAsia" w:ascii="宋体" w:hAnsi="宋体"/>
                <w:b/>
                <w:color w:val="auto"/>
                <w:szCs w:val="21"/>
              </w:rPr>
              <w:t>4</w:t>
            </w:r>
            <w:r>
              <w:rPr>
                <w:rFonts w:ascii="宋体" w:hAnsi="宋体"/>
                <w:b/>
                <w:color w:val="auto"/>
                <w:szCs w:val="21"/>
              </w:rPr>
              <w:t>.</w:t>
            </w:r>
            <w:r>
              <w:rPr>
                <w:rFonts w:hint="eastAsia" w:ascii="宋体" w:hAnsi="宋体"/>
                <w:b/>
                <w:color w:val="auto"/>
                <w:szCs w:val="21"/>
              </w:rPr>
              <w:t>3</w:t>
            </w:r>
          </w:p>
        </w:tc>
        <w:tc>
          <w:tcPr>
            <w:tcW w:w="7629" w:type="dxa"/>
            <w:tcBorders>
              <w:tl2br w:val="nil"/>
              <w:tr2bl w:val="nil"/>
            </w:tcBorders>
            <w:vAlign w:val="center"/>
          </w:tcPr>
          <w:p>
            <w:pPr>
              <w:adjustRightInd w:val="0"/>
              <w:snapToGrid w:val="0"/>
              <w:textAlignment w:val="center"/>
              <w:rPr>
                <w:rFonts w:hint="eastAsia" w:ascii="宋体" w:hAnsi="宋体"/>
                <w:b/>
                <w:color w:val="auto"/>
                <w:szCs w:val="21"/>
              </w:rPr>
            </w:pPr>
            <w:r>
              <w:rPr>
                <w:rFonts w:hint="eastAsia" w:ascii="宋体" w:hAnsi="宋体"/>
                <w:b/>
                <w:color w:val="auto"/>
                <w:szCs w:val="21"/>
              </w:rPr>
              <w:t>[2025年5月1日 - 2025年5月31日]</w:t>
            </w:r>
          </w:p>
          <w:p>
            <w:pPr>
              <w:adjustRightInd w:val="0"/>
              <w:snapToGrid w:val="0"/>
              <w:jc w:val="left"/>
              <w:textAlignment w:val="center"/>
              <w:rPr>
                <w:rFonts w:hint="eastAsia" w:ascii="宋体" w:hAnsi="宋体"/>
                <w:b/>
                <w:color w:val="auto"/>
                <w:szCs w:val="21"/>
              </w:rPr>
            </w:pPr>
            <w:r>
              <w:rPr>
                <w:rFonts w:hint="eastAsia" w:ascii="宋体" w:hAnsi="宋体"/>
                <w:b/>
                <w:color w:val="auto"/>
                <w:szCs w:val="21"/>
              </w:rPr>
              <w:t>主要内容：</w:t>
            </w:r>
          </w:p>
          <w:p>
            <w:pPr>
              <w:numPr>
                <w:ilvl w:val="0"/>
                <w:numId w:val="5"/>
              </w:numPr>
              <w:tabs>
                <w:tab w:val="left" w:pos="537"/>
              </w:tabs>
              <w:adjustRightInd w:val="0"/>
              <w:snapToGrid w:val="0"/>
              <w:ind w:left="0" w:firstLine="0"/>
              <w:jc w:val="left"/>
              <w:textAlignment w:val="center"/>
              <w:rPr>
                <w:rFonts w:hint="eastAsia" w:ascii="宋体" w:hAnsi="宋体"/>
                <w:color w:val="auto"/>
                <w:szCs w:val="21"/>
              </w:rPr>
            </w:pPr>
            <w:r>
              <w:rPr>
                <w:rFonts w:hint="eastAsia" w:ascii="宋体" w:hAnsi="宋体"/>
                <w:color w:val="auto"/>
                <w:szCs w:val="21"/>
              </w:rPr>
              <w:t>建立换流站公共区域、阀厅火灾烟气数值模型，研究优化防烟排烟系统设计方案。</w:t>
            </w:r>
          </w:p>
          <w:p>
            <w:pPr>
              <w:tabs>
                <w:tab w:val="left" w:pos="537"/>
                <w:tab w:val="left" w:pos="763"/>
              </w:tabs>
              <w:adjustRightInd w:val="0"/>
              <w:snapToGrid w:val="0"/>
              <w:jc w:val="left"/>
              <w:textAlignment w:val="center"/>
              <w:rPr>
                <w:rFonts w:hint="eastAsia" w:ascii="宋体" w:hAnsi="宋体"/>
                <w:b/>
                <w:color w:val="auto"/>
                <w:szCs w:val="21"/>
              </w:rPr>
            </w:pPr>
            <w:r>
              <w:rPr>
                <w:rFonts w:hint="eastAsia" w:ascii="宋体" w:hAnsi="宋体"/>
                <w:b/>
                <w:color w:val="auto"/>
                <w:szCs w:val="21"/>
              </w:rPr>
              <w:t>交付物：</w:t>
            </w:r>
          </w:p>
          <w:p>
            <w:pPr>
              <w:tabs>
                <w:tab w:val="left" w:pos="537"/>
              </w:tabs>
              <w:adjustRightInd w:val="0"/>
              <w:snapToGrid w:val="0"/>
              <w:jc w:val="left"/>
              <w:textAlignment w:val="center"/>
              <w:rPr>
                <w:rFonts w:ascii="宋体" w:hAnsi="宋体"/>
                <w:bCs/>
                <w:color w:val="auto"/>
                <w:szCs w:val="21"/>
              </w:rPr>
            </w:pPr>
            <w:r>
              <w:rPr>
                <w:rFonts w:hint="eastAsia" w:ascii="宋体" w:hAnsi="宋体"/>
                <w:bCs/>
                <w:color w:val="auto"/>
                <w:szCs w:val="21"/>
              </w:rPr>
              <w:t>（1）换流站防排烟系统优化设计方案。</w:t>
            </w:r>
          </w:p>
          <w:p>
            <w:pPr>
              <w:pStyle w:val="18"/>
              <w:spacing w:before="0" w:beforeAutospacing="0" w:after="0" w:afterAutospacing="0"/>
              <w:ind w:left="0" w:leftChars="0"/>
              <w:rPr>
                <w:rFonts w:hint="eastAsia"/>
                <w:color w:val="auto"/>
              </w:rPr>
            </w:pPr>
            <w:r>
              <w:rPr>
                <w:rFonts w:hint="eastAsia"/>
                <w:color w:val="auto"/>
              </w:rPr>
              <w:t>（2）发明专利受理2个。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762" w:type="dxa"/>
            <w:tcBorders>
              <w:tl2br w:val="nil"/>
              <w:tr2bl w:val="nil"/>
            </w:tcBorders>
            <w:shd w:val="clear" w:color="auto" w:fill="auto"/>
            <w:vAlign w:val="center"/>
          </w:tcPr>
          <w:p>
            <w:pPr>
              <w:widowControl/>
              <w:jc w:val="center"/>
              <w:rPr>
                <w:rFonts w:hint="eastAsia" w:ascii="宋体" w:hAnsi="宋体"/>
                <w:b/>
                <w:color w:val="auto"/>
                <w:szCs w:val="21"/>
              </w:rPr>
            </w:pPr>
            <w:r>
              <w:rPr>
                <w:rFonts w:hint="eastAsia" w:ascii="宋体" w:hAnsi="宋体"/>
                <w:b/>
                <w:color w:val="auto"/>
                <w:szCs w:val="21"/>
              </w:rPr>
              <w:t>4</w:t>
            </w:r>
            <w:r>
              <w:rPr>
                <w:rFonts w:ascii="宋体" w:hAnsi="宋体"/>
                <w:b/>
                <w:color w:val="auto"/>
                <w:szCs w:val="21"/>
              </w:rPr>
              <w:t>.</w:t>
            </w:r>
            <w:r>
              <w:rPr>
                <w:rFonts w:hint="eastAsia" w:ascii="宋体" w:hAnsi="宋体"/>
                <w:b/>
                <w:color w:val="auto"/>
                <w:szCs w:val="21"/>
              </w:rPr>
              <w:t>4</w:t>
            </w:r>
          </w:p>
        </w:tc>
        <w:tc>
          <w:tcPr>
            <w:tcW w:w="7629" w:type="dxa"/>
            <w:tcBorders>
              <w:tl2br w:val="nil"/>
              <w:tr2bl w:val="nil"/>
            </w:tcBorders>
            <w:shd w:val="clear" w:color="auto" w:fill="auto"/>
            <w:vAlign w:val="center"/>
          </w:tcPr>
          <w:p>
            <w:pPr>
              <w:adjustRightInd w:val="0"/>
              <w:snapToGrid w:val="0"/>
              <w:textAlignment w:val="center"/>
              <w:rPr>
                <w:rFonts w:hint="eastAsia" w:ascii="宋体" w:hAnsi="宋体"/>
                <w:b/>
                <w:color w:val="auto"/>
                <w:szCs w:val="21"/>
              </w:rPr>
            </w:pPr>
            <w:r>
              <w:rPr>
                <w:rFonts w:hint="eastAsia" w:ascii="宋体" w:hAnsi="宋体"/>
                <w:b/>
                <w:color w:val="auto"/>
                <w:szCs w:val="21"/>
              </w:rPr>
              <w:t>[2025年6月1日 - 2025年6月30日]</w:t>
            </w:r>
          </w:p>
          <w:p>
            <w:pPr>
              <w:adjustRightInd w:val="0"/>
              <w:snapToGrid w:val="0"/>
              <w:jc w:val="left"/>
              <w:textAlignment w:val="center"/>
              <w:rPr>
                <w:rFonts w:hint="eastAsia" w:ascii="宋体" w:hAnsi="宋体"/>
                <w:b/>
                <w:color w:val="auto"/>
                <w:szCs w:val="21"/>
              </w:rPr>
            </w:pPr>
            <w:r>
              <w:rPr>
                <w:rFonts w:hint="eastAsia" w:ascii="宋体" w:hAnsi="宋体"/>
                <w:b/>
                <w:color w:val="auto"/>
                <w:szCs w:val="21"/>
              </w:rPr>
              <w:t>主要内容：</w:t>
            </w:r>
          </w:p>
          <w:p>
            <w:pPr>
              <w:numPr>
                <w:ilvl w:val="0"/>
                <w:numId w:val="6"/>
              </w:numPr>
              <w:tabs>
                <w:tab w:val="left" w:pos="537"/>
              </w:tabs>
              <w:adjustRightInd w:val="0"/>
              <w:snapToGrid w:val="0"/>
              <w:ind w:left="0" w:firstLine="0"/>
              <w:jc w:val="left"/>
              <w:textAlignment w:val="center"/>
              <w:rPr>
                <w:rFonts w:hint="eastAsia" w:ascii="宋体" w:hAnsi="宋体"/>
                <w:color w:val="auto"/>
                <w:szCs w:val="21"/>
              </w:rPr>
            </w:pPr>
            <w:r>
              <w:rPr>
                <w:rFonts w:hint="eastAsia" w:ascii="宋体" w:hAnsi="宋体"/>
                <w:color w:val="auto"/>
                <w:szCs w:val="21"/>
              </w:rPr>
              <w:t>建立换流站人员疏散数值模型，优化疏散设施设计方案。</w:t>
            </w:r>
          </w:p>
          <w:p>
            <w:pPr>
              <w:tabs>
                <w:tab w:val="left" w:pos="537"/>
                <w:tab w:val="left" w:pos="763"/>
              </w:tabs>
              <w:adjustRightInd w:val="0"/>
              <w:snapToGrid w:val="0"/>
              <w:jc w:val="left"/>
              <w:textAlignment w:val="center"/>
              <w:rPr>
                <w:rFonts w:hint="eastAsia" w:ascii="宋体" w:hAnsi="宋体"/>
                <w:b/>
                <w:color w:val="auto"/>
                <w:szCs w:val="21"/>
              </w:rPr>
            </w:pPr>
            <w:r>
              <w:rPr>
                <w:rFonts w:hint="eastAsia" w:ascii="宋体" w:hAnsi="宋体"/>
                <w:b/>
                <w:color w:val="auto"/>
                <w:szCs w:val="21"/>
              </w:rPr>
              <w:t>交付物：</w:t>
            </w:r>
          </w:p>
          <w:p>
            <w:pPr>
              <w:tabs>
                <w:tab w:val="left" w:pos="537"/>
              </w:tabs>
              <w:adjustRightInd w:val="0"/>
              <w:snapToGrid w:val="0"/>
              <w:jc w:val="left"/>
              <w:textAlignment w:val="center"/>
              <w:rPr>
                <w:rFonts w:hint="eastAsia" w:ascii="宋体" w:hAnsi="宋体"/>
                <w:bCs/>
                <w:color w:val="auto"/>
                <w:szCs w:val="21"/>
              </w:rPr>
            </w:pPr>
            <w:r>
              <w:rPr>
                <w:rFonts w:hint="eastAsia" w:ascii="宋体" w:hAnsi="宋体"/>
                <w:bCs/>
                <w:color w:val="auto"/>
                <w:szCs w:val="21"/>
              </w:rPr>
              <w:t>（1）换流站人员安全疏散策略及疏散系统设计研究报告。</w:t>
            </w:r>
          </w:p>
          <w:p>
            <w:pPr>
              <w:pStyle w:val="18"/>
              <w:spacing w:before="0" w:beforeAutospacing="0" w:after="0" w:afterAutospacing="0"/>
              <w:ind w:left="0" w:leftChars="0"/>
              <w:rPr>
                <w:rFonts w:hint="eastAsia" w:ascii="宋体" w:hAnsi="宋体"/>
                <w:color w:val="auto"/>
                <w:szCs w:val="21"/>
              </w:rPr>
            </w:pPr>
            <w:r>
              <w:rPr>
                <w:rFonts w:hint="eastAsia" w:ascii="宋体" w:hAnsi="宋体"/>
                <w:color w:val="auto"/>
                <w:szCs w:val="21"/>
              </w:rPr>
              <w:t>（2）发明专利受理2个。</w:t>
            </w:r>
          </w:p>
          <w:p>
            <w:pPr>
              <w:rPr>
                <w:color w:val="auto"/>
              </w:rPr>
            </w:pPr>
            <w:r>
              <w:rPr>
                <w:rFonts w:hint="eastAsia" w:ascii="宋体" w:hAnsi="宋体"/>
                <w:color w:val="auto"/>
                <w:szCs w:val="21"/>
              </w:rPr>
              <w:t>（3）标准草案1项。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39" w:hRule="atLeast"/>
        </w:trPr>
        <w:tc>
          <w:tcPr>
            <w:tcW w:w="762" w:type="dxa"/>
            <w:tcBorders>
              <w:tl2br w:val="nil"/>
              <w:tr2bl w:val="nil"/>
            </w:tcBorders>
            <w:shd w:val="clear" w:color="auto" w:fill="auto"/>
            <w:vAlign w:val="center"/>
          </w:tcPr>
          <w:p>
            <w:pPr>
              <w:widowControl/>
              <w:jc w:val="center"/>
              <w:rPr>
                <w:rFonts w:hint="eastAsia" w:ascii="宋体" w:hAnsi="宋体"/>
                <w:b/>
                <w:color w:val="auto"/>
                <w:szCs w:val="21"/>
              </w:rPr>
            </w:pPr>
            <w:r>
              <w:rPr>
                <w:rFonts w:hint="eastAsia" w:ascii="宋体" w:hAnsi="宋体"/>
                <w:b/>
                <w:color w:val="auto"/>
                <w:szCs w:val="21"/>
              </w:rPr>
              <w:t>4</w:t>
            </w:r>
            <w:r>
              <w:rPr>
                <w:rFonts w:ascii="宋体" w:hAnsi="宋体"/>
                <w:b/>
                <w:color w:val="auto"/>
                <w:szCs w:val="21"/>
              </w:rPr>
              <w:t>.</w:t>
            </w:r>
            <w:r>
              <w:rPr>
                <w:rFonts w:hint="eastAsia" w:ascii="宋体" w:hAnsi="宋体"/>
                <w:b/>
                <w:color w:val="auto"/>
                <w:szCs w:val="21"/>
              </w:rPr>
              <w:t>5</w:t>
            </w:r>
          </w:p>
        </w:tc>
        <w:tc>
          <w:tcPr>
            <w:tcW w:w="7629" w:type="dxa"/>
            <w:tcBorders>
              <w:tl2br w:val="nil"/>
              <w:tr2bl w:val="nil"/>
            </w:tcBorders>
            <w:shd w:val="clear" w:color="auto" w:fill="auto"/>
            <w:vAlign w:val="center"/>
          </w:tcPr>
          <w:p>
            <w:pPr>
              <w:adjustRightInd w:val="0"/>
              <w:snapToGrid w:val="0"/>
              <w:textAlignment w:val="center"/>
              <w:rPr>
                <w:rFonts w:hint="eastAsia" w:ascii="宋体" w:hAnsi="宋体"/>
                <w:b/>
                <w:color w:val="auto"/>
                <w:szCs w:val="21"/>
              </w:rPr>
            </w:pPr>
            <w:r>
              <w:rPr>
                <w:rFonts w:hint="eastAsia" w:ascii="宋体" w:hAnsi="宋体"/>
                <w:b/>
                <w:color w:val="auto"/>
                <w:szCs w:val="21"/>
              </w:rPr>
              <w:t>[2025年7月1日 - 2025年9月15日]</w:t>
            </w:r>
          </w:p>
          <w:p>
            <w:pPr>
              <w:adjustRightInd w:val="0"/>
              <w:snapToGrid w:val="0"/>
              <w:jc w:val="left"/>
              <w:textAlignment w:val="center"/>
              <w:rPr>
                <w:rFonts w:hint="eastAsia" w:ascii="宋体" w:hAnsi="宋体"/>
                <w:b/>
                <w:color w:val="auto"/>
                <w:szCs w:val="21"/>
              </w:rPr>
            </w:pPr>
            <w:r>
              <w:rPr>
                <w:rFonts w:hint="eastAsia" w:ascii="宋体" w:hAnsi="宋体"/>
                <w:b/>
                <w:color w:val="auto"/>
                <w:szCs w:val="21"/>
              </w:rPr>
              <w:t>主要内容：</w:t>
            </w:r>
          </w:p>
          <w:p>
            <w:pPr>
              <w:numPr>
                <w:ilvl w:val="0"/>
                <w:numId w:val="7"/>
              </w:numPr>
              <w:tabs>
                <w:tab w:val="left" w:pos="537"/>
              </w:tabs>
              <w:adjustRightInd w:val="0"/>
              <w:snapToGrid w:val="0"/>
              <w:ind w:left="0" w:firstLine="0"/>
              <w:jc w:val="left"/>
              <w:textAlignment w:val="center"/>
              <w:rPr>
                <w:rFonts w:hint="eastAsia" w:ascii="宋体" w:hAnsi="宋体"/>
                <w:color w:val="auto"/>
                <w:szCs w:val="21"/>
              </w:rPr>
            </w:pPr>
            <w:r>
              <w:rPr>
                <w:rFonts w:hint="eastAsia" w:ascii="宋体" w:hAnsi="宋体"/>
                <w:color w:val="auto"/>
                <w:szCs w:val="21"/>
              </w:rPr>
              <w:t>基于图像识别技术，研发极早期图像识别火灾报警系统设计方案，建立换流站消防、安防一体化监测技术方案。</w:t>
            </w:r>
          </w:p>
          <w:p>
            <w:pPr>
              <w:tabs>
                <w:tab w:val="left" w:pos="537"/>
                <w:tab w:val="left" w:pos="763"/>
              </w:tabs>
              <w:adjustRightInd w:val="0"/>
              <w:snapToGrid w:val="0"/>
              <w:jc w:val="left"/>
              <w:textAlignment w:val="center"/>
              <w:rPr>
                <w:rFonts w:hint="eastAsia" w:ascii="宋体" w:hAnsi="宋体"/>
                <w:b/>
                <w:color w:val="auto"/>
                <w:szCs w:val="21"/>
              </w:rPr>
            </w:pPr>
            <w:r>
              <w:rPr>
                <w:rFonts w:hint="eastAsia" w:ascii="宋体" w:hAnsi="宋体"/>
                <w:b/>
                <w:color w:val="auto"/>
                <w:szCs w:val="21"/>
              </w:rPr>
              <w:t>交付物：</w:t>
            </w:r>
          </w:p>
          <w:p>
            <w:pPr>
              <w:tabs>
                <w:tab w:val="left" w:pos="537"/>
              </w:tabs>
              <w:adjustRightInd w:val="0"/>
              <w:snapToGrid w:val="0"/>
              <w:jc w:val="left"/>
              <w:textAlignment w:val="center"/>
              <w:rPr>
                <w:rFonts w:hint="eastAsia" w:ascii="宋体" w:hAnsi="宋体"/>
                <w:bCs/>
                <w:color w:val="auto"/>
                <w:szCs w:val="21"/>
              </w:rPr>
            </w:pPr>
            <w:r>
              <w:rPr>
                <w:rFonts w:hint="eastAsia" w:ascii="宋体" w:hAnsi="宋体"/>
                <w:bCs/>
                <w:color w:val="auto"/>
                <w:szCs w:val="21"/>
              </w:rPr>
              <w:t>（1）大空间场所及电气设备间火灾极早期探测报警研究报告。</w:t>
            </w:r>
          </w:p>
          <w:p>
            <w:pPr>
              <w:tabs>
                <w:tab w:val="left" w:pos="537"/>
              </w:tabs>
              <w:adjustRightInd w:val="0"/>
              <w:snapToGrid w:val="0"/>
              <w:jc w:val="left"/>
              <w:textAlignment w:val="center"/>
              <w:rPr>
                <w:rFonts w:hint="eastAsia" w:ascii="宋体" w:hAnsi="宋体"/>
                <w:bCs/>
                <w:color w:val="auto"/>
                <w:szCs w:val="21"/>
              </w:rPr>
            </w:pPr>
            <w:r>
              <w:rPr>
                <w:rFonts w:hint="eastAsia" w:ascii="宋体" w:hAnsi="宋体"/>
                <w:bCs/>
                <w:color w:val="auto"/>
                <w:szCs w:val="21"/>
              </w:rPr>
              <w:t>（2）发明专利受理3个。</w:t>
            </w:r>
          </w:p>
          <w:p>
            <w:pPr>
              <w:pStyle w:val="18"/>
              <w:spacing w:before="0" w:beforeAutospacing="0" w:after="0" w:afterAutospacing="0"/>
              <w:ind w:left="0" w:leftChars="0"/>
              <w:rPr>
                <w:rFonts w:hint="eastAsia" w:ascii="宋体" w:hAnsi="宋体"/>
                <w:bCs/>
                <w:color w:val="auto"/>
                <w:szCs w:val="21"/>
              </w:rPr>
            </w:pPr>
            <w:r>
              <w:rPr>
                <w:rFonts w:hint="eastAsia" w:ascii="宋体" w:hAnsi="宋体"/>
                <w:bCs/>
                <w:color w:val="auto"/>
                <w:szCs w:val="21"/>
              </w:rPr>
              <w:t>（3）论文录用2篇。</w:t>
            </w:r>
          </w:p>
          <w:p>
            <w:pPr>
              <w:rPr>
                <w:color w:val="auto"/>
              </w:rPr>
            </w:pPr>
            <w:r>
              <w:rPr>
                <w:rFonts w:hint="eastAsia" w:ascii="宋体" w:hAnsi="宋体"/>
                <w:color w:val="auto"/>
                <w:szCs w:val="21"/>
              </w:rPr>
              <w:t>（4）标准草案1项。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762" w:type="dxa"/>
            <w:tcBorders>
              <w:tl2br w:val="nil"/>
              <w:tr2bl w:val="nil"/>
            </w:tcBorders>
            <w:vAlign w:val="center"/>
          </w:tcPr>
          <w:p>
            <w:pPr>
              <w:widowControl/>
              <w:jc w:val="center"/>
              <w:rPr>
                <w:rFonts w:hint="eastAsia" w:ascii="宋体" w:hAnsi="宋体"/>
                <w:b/>
                <w:color w:val="auto"/>
                <w:szCs w:val="21"/>
              </w:rPr>
            </w:pPr>
            <w:r>
              <w:rPr>
                <w:rFonts w:hint="eastAsia" w:ascii="宋体" w:hAnsi="宋体"/>
                <w:b/>
                <w:color w:val="auto"/>
                <w:szCs w:val="21"/>
              </w:rPr>
              <w:t>4</w:t>
            </w:r>
            <w:r>
              <w:rPr>
                <w:rFonts w:ascii="宋体" w:hAnsi="宋体"/>
                <w:b/>
                <w:color w:val="auto"/>
                <w:szCs w:val="21"/>
              </w:rPr>
              <w:t>.</w:t>
            </w:r>
            <w:r>
              <w:rPr>
                <w:rFonts w:hint="eastAsia" w:ascii="宋体" w:hAnsi="宋体"/>
                <w:b/>
                <w:color w:val="auto"/>
                <w:szCs w:val="21"/>
              </w:rPr>
              <w:t>6</w:t>
            </w:r>
          </w:p>
        </w:tc>
        <w:tc>
          <w:tcPr>
            <w:tcW w:w="7629" w:type="dxa"/>
            <w:tcBorders>
              <w:tl2br w:val="nil"/>
              <w:tr2bl w:val="nil"/>
            </w:tcBorders>
            <w:vAlign w:val="center"/>
          </w:tcPr>
          <w:p>
            <w:pPr>
              <w:adjustRightInd w:val="0"/>
              <w:snapToGrid w:val="0"/>
              <w:textAlignment w:val="center"/>
              <w:rPr>
                <w:rFonts w:hint="eastAsia" w:ascii="宋体" w:hAnsi="宋体"/>
                <w:b/>
                <w:color w:val="auto"/>
                <w:szCs w:val="21"/>
              </w:rPr>
            </w:pPr>
            <w:r>
              <w:rPr>
                <w:rFonts w:hint="eastAsia" w:ascii="宋体" w:hAnsi="宋体"/>
                <w:b/>
                <w:color w:val="auto"/>
                <w:szCs w:val="21"/>
              </w:rPr>
              <w:t>[2025年9月16日 - 2026年1月15日]</w:t>
            </w:r>
          </w:p>
          <w:p>
            <w:pPr>
              <w:adjustRightInd w:val="0"/>
              <w:snapToGrid w:val="0"/>
              <w:jc w:val="left"/>
              <w:textAlignment w:val="center"/>
              <w:rPr>
                <w:color w:val="auto"/>
                <w:sz w:val="24"/>
              </w:rPr>
            </w:pPr>
            <w:r>
              <w:rPr>
                <w:rFonts w:hint="eastAsia" w:ascii="宋体" w:hAnsi="宋体"/>
                <w:b/>
                <w:color w:val="auto"/>
                <w:szCs w:val="21"/>
              </w:rPr>
              <w:t>主要内容：</w:t>
            </w:r>
          </w:p>
          <w:p>
            <w:pPr>
              <w:numPr>
                <w:ilvl w:val="0"/>
                <w:numId w:val="8"/>
              </w:numPr>
              <w:tabs>
                <w:tab w:val="left" w:pos="537"/>
              </w:tabs>
              <w:adjustRightInd w:val="0"/>
              <w:snapToGrid w:val="0"/>
              <w:ind w:left="0" w:firstLine="0"/>
              <w:jc w:val="left"/>
              <w:textAlignment w:val="center"/>
              <w:rPr>
                <w:rFonts w:hint="eastAsia" w:ascii="宋体" w:hAnsi="宋体"/>
                <w:color w:val="auto"/>
                <w:szCs w:val="21"/>
              </w:rPr>
            </w:pPr>
            <w:r>
              <w:rPr>
                <w:rFonts w:hint="eastAsia" w:ascii="宋体" w:hAnsi="宋体"/>
                <w:color w:val="auto"/>
                <w:szCs w:val="21"/>
              </w:rPr>
              <w:t>结合理论与工程实际运用研究，完成</w:t>
            </w:r>
            <w:r>
              <w:rPr>
                <w:rFonts w:hint="eastAsia" w:ascii="宋体" w:hAnsi="宋体"/>
                <w:color w:val="auto"/>
                <w:szCs w:val="21"/>
                <w:lang w:val="zh-CN"/>
              </w:rPr>
              <w:t>技术运用与研究报告。</w:t>
            </w:r>
          </w:p>
          <w:p>
            <w:pPr>
              <w:tabs>
                <w:tab w:val="left" w:pos="537"/>
                <w:tab w:val="left" w:pos="763"/>
              </w:tabs>
              <w:adjustRightInd w:val="0"/>
              <w:snapToGrid w:val="0"/>
              <w:jc w:val="left"/>
              <w:textAlignment w:val="center"/>
              <w:rPr>
                <w:rFonts w:hint="eastAsia" w:ascii="宋体" w:hAnsi="宋体"/>
                <w:color w:val="auto"/>
                <w:szCs w:val="21"/>
              </w:rPr>
            </w:pPr>
            <w:r>
              <w:rPr>
                <w:rFonts w:hint="eastAsia" w:ascii="宋体" w:hAnsi="宋体"/>
                <w:b/>
                <w:color w:val="auto"/>
                <w:szCs w:val="21"/>
              </w:rPr>
              <w:t>交付物：</w:t>
            </w:r>
          </w:p>
          <w:p>
            <w:pPr>
              <w:tabs>
                <w:tab w:val="left" w:pos="537"/>
              </w:tabs>
              <w:adjustRightInd w:val="0"/>
              <w:snapToGrid w:val="0"/>
              <w:jc w:val="left"/>
              <w:textAlignment w:val="center"/>
              <w:rPr>
                <w:rFonts w:hint="eastAsia" w:ascii="宋体" w:hAnsi="宋体"/>
                <w:bCs/>
                <w:color w:val="auto"/>
                <w:szCs w:val="21"/>
              </w:rPr>
            </w:pPr>
            <w:r>
              <w:rPr>
                <w:rFonts w:hint="eastAsia" w:ascii="宋体" w:hAnsi="宋体"/>
                <w:color w:val="auto"/>
                <w:szCs w:val="21"/>
              </w:rPr>
              <w:t>（1）高层柔直换流站消防设计关键技术运用与研究报告</w:t>
            </w:r>
            <w:r>
              <w:rPr>
                <w:rFonts w:hint="eastAsia" w:ascii="宋体" w:hAnsi="宋体"/>
                <w:bCs/>
                <w:color w:val="auto"/>
                <w:szCs w:val="21"/>
              </w:rPr>
              <w:t>。</w:t>
            </w:r>
          </w:p>
          <w:p>
            <w:pPr>
              <w:pStyle w:val="18"/>
              <w:spacing w:before="0" w:beforeAutospacing="0" w:after="0" w:afterAutospacing="0"/>
              <w:ind w:left="0" w:leftChars="0"/>
              <w:rPr>
                <w:color w:val="auto"/>
              </w:rPr>
            </w:pPr>
            <w:r>
              <w:rPr>
                <w:rFonts w:hint="eastAsia" w:ascii="宋体" w:hAnsi="宋体"/>
                <w:bCs/>
                <w:color w:val="auto"/>
                <w:szCs w:val="21"/>
              </w:rPr>
              <w:t>（2）论文录用2篇。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391" w:hRule="atLeast"/>
        </w:trPr>
        <w:tc>
          <w:tcPr>
            <w:tcW w:w="762" w:type="dxa"/>
            <w:tcBorders>
              <w:tl2br w:val="nil"/>
              <w:tr2bl w:val="nil"/>
            </w:tcBorders>
            <w:vAlign w:val="center"/>
          </w:tcPr>
          <w:p>
            <w:pPr>
              <w:widowControl/>
              <w:jc w:val="center"/>
              <w:rPr>
                <w:rFonts w:hint="eastAsia" w:ascii="宋体" w:hAnsi="宋体"/>
                <w:b/>
                <w:color w:val="auto"/>
                <w:szCs w:val="21"/>
              </w:rPr>
            </w:pPr>
            <w:r>
              <w:rPr>
                <w:rFonts w:hint="eastAsia" w:ascii="宋体" w:hAnsi="宋体"/>
                <w:b/>
                <w:color w:val="auto"/>
                <w:szCs w:val="21"/>
              </w:rPr>
              <w:t>4</w:t>
            </w:r>
            <w:r>
              <w:rPr>
                <w:rFonts w:ascii="宋体" w:hAnsi="宋体"/>
                <w:b/>
                <w:color w:val="auto"/>
                <w:szCs w:val="21"/>
              </w:rPr>
              <w:t>.</w:t>
            </w:r>
            <w:r>
              <w:rPr>
                <w:rFonts w:hint="eastAsia" w:ascii="宋体" w:hAnsi="宋体"/>
                <w:b/>
                <w:color w:val="auto"/>
                <w:szCs w:val="21"/>
              </w:rPr>
              <w:t>7</w:t>
            </w:r>
          </w:p>
        </w:tc>
        <w:tc>
          <w:tcPr>
            <w:tcW w:w="7629" w:type="dxa"/>
            <w:tcBorders>
              <w:tl2br w:val="nil"/>
              <w:tr2bl w:val="nil"/>
            </w:tcBorders>
            <w:vAlign w:val="center"/>
          </w:tcPr>
          <w:p>
            <w:pPr>
              <w:adjustRightInd w:val="0"/>
              <w:snapToGrid w:val="0"/>
              <w:textAlignment w:val="center"/>
              <w:rPr>
                <w:rFonts w:hint="eastAsia" w:ascii="宋体" w:hAnsi="宋体"/>
                <w:b/>
                <w:color w:val="auto"/>
                <w:szCs w:val="21"/>
              </w:rPr>
            </w:pPr>
            <w:r>
              <w:rPr>
                <w:rFonts w:hint="eastAsia" w:ascii="宋体" w:hAnsi="宋体"/>
                <w:b/>
                <w:color w:val="auto"/>
                <w:szCs w:val="21"/>
              </w:rPr>
              <w:t>[2026年1月16日 - 2026年3月31日]</w:t>
            </w:r>
          </w:p>
          <w:p>
            <w:pPr>
              <w:adjustRightInd w:val="0"/>
              <w:snapToGrid w:val="0"/>
              <w:jc w:val="left"/>
              <w:textAlignment w:val="center"/>
              <w:rPr>
                <w:color w:val="auto"/>
                <w:sz w:val="24"/>
              </w:rPr>
            </w:pPr>
            <w:r>
              <w:rPr>
                <w:rFonts w:hint="eastAsia" w:ascii="宋体" w:hAnsi="宋体"/>
                <w:b/>
                <w:color w:val="auto"/>
                <w:szCs w:val="21"/>
              </w:rPr>
              <w:t>主要内容：</w:t>
            </w:r>
          </w:p>
          <w:p>
            <w:pPr>
              <w:numPr>
                <w:ilvl w:val="0"/>
                <w:numId w:val="9"/>
              </w:numPr>
              <w:tabs>
                <w:tab w:val="left" w:pos="537"/>
              </w:tabs>
              <w:adjustRightInd w:val="0"/>
              <w:snapToGrid w:val="0"/>
              <w:ind w:left="0" w:firstLine="0"/>
              <w:jc w:val="left"/>
              <w:textAlignment w:val="center"/>
              <w:rPr>
                <w:color w:val="auto"/>
              </w:rPr>
            </w:pPr>
            <w:r>
              <w:rPr>
                <w:rFonts w:hint="eastAsia" w:ascii="宋体" w:hAnsi="宋体"/>
                <w:color w:val="auto"/>
                <w:szCs w:val="21"/>
              </w:rPr>
              <w:t>完成著作编撰，配合专题验收</w:t>
            </w:r>
            <w:r>
              <w:rPr>
                <w:rFonts w:hint="eastAsia" w:ascii="宋体" w:hAnsi="宋体"/>
                <w:color w:val="auto"/>
                <w:szCs w:val="21"/>
                <w:lang w:val="zh-CN"/>
              </w:rPr>
              <w:t>。</w:t>
            </w:r>
          </w:p>
          <w:p>
            <w:pPr>
              <w:tabs>
                <w:tab w:val="left" w:pos="537"/>
                <w:tab w:val="left" w:pos="763"/>
              </w:tabs>
              <w:adjustRightInd w:val="0"/>
              <w:snapToGrid w:val="0"/>
              <w:jc w:val="left"/>
              <w:textAlignment w:val="center"/>
              <w:rPr>
                <w:rFonts w:hint="eastAsia" w:ascii="宋体" w:hAnsi="宋体"/>
                <w:color w:val="auto"/>
                <w:szCs w:val="21"/>
              </w:rPr>
            </w:pPr>
            <w:r>
              <w:rPr>
                <w:rFonts w:hint="eastAsia" w:ascii="宋体" w:hAnsi="宋体"/>
                <w:b/>
                <w:color w:val="auto"/>
                <w:szCs w:val="21"/>
              </w:rPr>
              <w:t>交付物：</w:t>
            </w:r>
          </w:p>
          <w:p>
            <w:pPr>
              <w:tabs>
                <w:tab w:val="left" w:pos="537"/>
              </w:tabs>
              <w:adjustRightInd w:val="0"/>
              <w:snapToGrid w:val="0"/>
              <w:jc w:val="left"/>
              <w:textAlignment w:val="center"/>
              <w:rPr>
                <w:color w:val="auto"/>
              </w:rPr>
            </w:pPr>
            <w:r>
              <w:rPr>
                <w:rFonts w:hint="eastAsia" w:ascii="宋体" w:hAnsi="宋体"/>
                <w:color w:val="auto"/>
                <w:szCs w:val="21"/>
              </w:rPr>
              <w:t>（1）著作《城市户内高层柔直换流站安全高效防火、灭火系统设计》。</w:t>
            </w:r>
          </w:p>
        </w:tc>
      </w:tr>
    </w:tbl>
    <w:p>
      <w:pPr>
        <w:pStyle w:val="24"/>
        <w:spacing w:before="312"/>
        <w:outlineLvl w:val="0"/>
        <w:rPr>
          <w:rFonts w:hint="eastAsia" w:ascii="黑体" w:hAnsi="黑体" w:eastAsia="黑体" w:cs="黑体"/>
          <w:color w:val="auto"/>
          <w:sz w:val="28"/>
          <w:szCs w:val="28"/>
        </w:rPr>
      </w:pPr>
      <w:bookmarkStart w:id="17" w:name="_Toc21501"/>
      <w:r>
        <w:rPr>
          <w:rFonts w:hint="eastAsia" w:ascii="黑体" w:hAnsi="黑体" w:eastAsia="黑体" w:cs="黑体"/>
          <w:color w:val="auto"/>
          <w:sz w:val="28"/>
          <w:szCs w:val="28"/>
        </w:rPr>
        <w:t>5  成果交付与验收</w:t>
      </w:r>
      <w:bookmarkEnd w:id="17"/>
    </w:p>
    <w:p>
      <w:pPr>
        <w:spacing w:line="360" w:lineRule="auto"/>
        <w:outlineLvl w:val="1"/>
        <w:rPr>
          <w:rFonts w:hint="eastAsia" w:asciiTheme="minorEastAsia" w:hAnsiTheme="minorEastAsia" w:eastAsiaTheme="minorEastAsia" w:cstheme="minorEastAsia"/>
          <w:bCs/>
          <w:color w:val="auto"/>
          <w:sz w:val="24"/>
        </w:rPr>
      </w:pPr>
      <w:bookmarkStart w:id="18" w:name="_Toc5704"/>
      <w:r>
        <w:rPr>
          <w:rFonts w:hint="eastAsia" w:ascii="黑体" w:hAnsi="黑体" w:eastAsia="黑体" w:cs="黑体"/>
          <w:bCs/>
          <w:color w:val="auto"/>
          <w:sz w:val="24"/>
        </w:rPr>
        <w:t>5.1 成果形式及数量要求</w:t>
      </w:r>
      <w:bookmarkEnd w:id="18"/>
      <w:bookmarkStart w:id="19" w:name="_Hlk25764254"/>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（1）高层户内柔直换流站主被动防火、灭火方案研究报告，验收标准：专家验收评审；</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2）大空间场所及电气设备间火灾极早期探测报警研究报告，验收标准：专家验收评审；</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3）换流站人员安全疏散及扑救系统设计研究报告，验收标准：专家验收评审；</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4）论文，级别：</w:t>
      </w:r>
      <w:r>
        <w:rPr>
          <w:rFonts w:hint="eastAsia" w:asciiTheme="minorEastAsia" w:hAnsiTheme="minorEastAsia" w:eastAsiaTheme="minorEastAsia" w:cstheme="minorEastAsia"/>
          <w:color w:val="auto"/>
          <w:sz w:val="24"/>
          <w:highlight w:val="none"/>
        </w:rPr>
        <w:t>北大核心/EI/SCI</w:t>
      </w:r>
      <w:r>
        <w:rPr>
          <w:rFonts w:hint="eastAsia" w:asciiTheme="minorEastAsia" w:hAnsiTheme="minorEastAsia" w:eastAsiaTheme="minorEastAsia" w:cstheme="minorEastAsia"/>
          <w:bCs/>
          <w:color w:val="auto"/>
          <w:sz w:val="24"/>
        </w:rPr>
        <w:t>；数量：4篇；验收标准：</w:t>
      </w:r>
      <w:r>
        <w:rPr>
          <w:rFonts w:hint="eastAsia" w:asciiTheme="minorEastAsia" w:hAnsiTheme="minorEastAsia" w:eastAsiaTheme="minorEastAsia" w:cstheme="minorEastAsia"/>
          <w:bCs/>
          <w:color w:val="auto"/>
          <w:sz w:val="24"/>
          <w:lang w:val="en-US" w:eastAsia="zh-CN"/>
        </w:rPr>
        <w:t>发表或</w:t>
      </w:r>
      <w:r>
        <w:rPr>
          <w:rFonts w:hint="eastAsia" w:asciiTheme="minorEastAsia" w:hAnsiTheme="minorEastAsia" w:eastAsiaTheme="minorEastAsia" w:cstheme="minorEastAsia"/>
          <w:bCs/>
          <w:color w:val="auto"/>
          <w:sz w:val="24"/>
        </w:rPr>
        <w:t>收录证明；</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5）专利，级别：发明专利；数量：7个；验收标准：受理证明；</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6）标准，数量：2本；级别：团体</w:t>
      </w:r>
      <w:r>
        <w:rPr>
          <w:rFonts w:hint="eastAsia" w:asciiTheme="minorEastAsia" w:hAnsiTheme="minorEastAsia" w:eastAsiaTheme="minorEastAsia" w:cstheme="minorEastAsia"/>
          <w:bCs/>
          <w:color w:val="auto"/>
          <w:sz w:val="24"/>
          <w:lang w:val="en-US" w:eastAsia="zh-CN"/>
        </w:rPr>
        <w:t>或行业</w:t>
      </w:r>
      <w:r>
        <w:rPr>
          <w:rFonts w:hint="eastAsia" w:asciiTheme="minorEastAsia" w:hAnsiTheme="minorEastAsia" w:eastAsiaTheme="minorEastAsia" w:cstheme="minorEastAsia"/>
          <w:bCs/>
          <w:color w:val="auto"/>
          <w:sz w:val="24"/>
        </w:rPr>
        <w:t>标准；验收标准：</w:t>
      </w:r>
      <w:r>
        <w:rPr>
          <w:rFonts w:hint="eastAsia" w:asciiTheme="minorEastAsia" w:hAnsiTheme="minorEastAsia" w:eastAsiaTheme="minorEastAsia" w:cstheme="minorEastAsia"/>
          <w:bCs/>
          <w:color w:val="auto"/>
          <w:sz w:val="24"/>
          <w:lang w:val="en-US" w:eastAsia="zh-CN"/>
        </w:rPr>
        <w:t>送审稿</w:t>
      </w:r>
      <w:r>
        <w:rPr>
          <w:rFonts w:hint="eastAsia" w:asciiTheme="minorEastAsia" w:hAnsiTheme="minorEastAsia" w:eastAsiaTheme="minorEastAsia" w:cstheme="minorEastAsia"/>
          <w:bCs/>
          <w:color w:val="auto"/>
          <w:sz w:val="24"/>
        </w:rPr>
        <w:t>；</w:t>
      </w:r>
    </w:p>
    <w:p>
      <w:pPr>
        <w:spacing w:line="360" w:lineRule="auto"/>
        <w:ind w:firstLine="480" w:firstLineChars="200"/>
        <w:rPr>
          <w:rFonts w:hint="eastAsia" w:asciiTheme="minorEastAsia" w:hAnsiTheme="minorEastAsia" w:eastAsiaTheme="minorEastAsia" w:cstheme="minorEastAsia"/>
          <w:bCs/>
          <w:color w:val="auto"/>
          <w:sz w:val="24"/>
        </w:rPr>
      </w:pPr>
      <w:r>
        <w:rPr>
          <w:rFonts w:hint="eastAsia" w:asciiTheme="minorEastAsia" w:hAnsiTheme="minorEastAsia" w:eastAsiaTheme="minorEastAsia" w:cstheme="minorEastAsia"/>
          <w:bCs/>
          <w:color w:val="auto"/>
          <w:sz w:val="24"/>
        </w:rPr>
        <w:t>9）专著</w:t>
      </w:r>
      <w:r>
        <w:rPr>
          <w:rFonts w:hint="eastAsia" w:asciiTheme="minorEastAsia" w:hAnsiTheme="minorEastAsia" w:eastAsiaTheme="minorEastAsia" w:cstheme="minorEastAsia"/>
          <w:bCs/>
          <w:color w:val="auto"/>
          <w:sz w:val="24"/>
          <w:lang w:eastAsia="zh-CN"/>
        </w:rPr>
        <w:t>，</w:t>
      </w:r>
      <w:r>
        <w:rPr>
          <w:rFonts w:hint="eastAsia" w:asciiTheme="minorEastAsia" w:hAnsiTheme="minorEastAsia" w:eastAsiaTheme="minorEastAsia" w:cstheme="minorEastAsia"/>
          <w:bCs/>
          <w:color w:val="auto"/>
          <w:sz w:val="24"/>
        </w:rPr>
        <w:t>数量：1本；验收标准：</w:t>
      </w:r>
      <w:r>
        <w:rPr>
          <w:rFonts w:hint="eastAsia" w:asciiTheme="minorEastAsia" w:hAnsiTheme="minorEastAsia" w:eastAsiaTheme="minorEastAsia" w:cstheme="minorEastAsia"/>
          <w:bCs/>
          <w:color w:val="auto"/>
          <w:sz w:val="24"/>
          <w:lang w:val="en-US" w:eastAsia="zh-CN"/>
        </w:rPr>
        <w:t>送审稿</w:t>
      </w:r>
      <w:r>
        <w:rPr>
          <w:rFonts w:hint="eastAsia" w:asciiTheme="minorEastAsia" w:hAnsiTheme="minorEastAsia" w:eastAsiaTheme="minorEastAsia" w:cstheme="minorEastAsia"/>
          <w:bCs/>
          <w:color w:val="auto"/>
          <w:sz w:val="24"/>
        </w:rPr>
        <w:t>。</w:t>
      </w:r>
    </w:p>
    <w:p>
      <w:pPr>
        <w:spacing w:line="360" w:lineRule="auto"/>
        <w:outlineLvl w:val="1"/>
        <w:rPr>
          <w:rFonts w:hint="eastAsia" w:ascii="黑体" w:hAnsi="黑体" w:eastAsia="黑体" w:cs="黑体"/>
          <w:bCs/>
          <w:color w:val="auto"/>
          <w:sz w:val="24"/>
        </w:rPr>
      </w:pPr>
      <w:bookmarkStart w:id="20" w:name="_Toc25508"/>
      <w:r>
        <w:rPr>
          <w:rFonts w:hint="eastAsia" w:ascii="黑体" w:hAnsi="黑体" w:eastAsia="黑体" w:cs="黑体"/>
          <w:bCs/>
          <w:color w:val="auto"/>
          <w:sz w:val="24"/>
        </w:rPr>
        <w:t>★5.2 成果的权属要求</w:t>
      </w:r>
      <w:bookmarkEnd w:id="20"/>
    </w:p>
    <w:bookmarkEnd w:id="19"/>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本项目形成的论文、专利等知识产权划分方法如下：</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本合同项下研究成果形成的专利、软件著作权等知识产权的申请权利归甲方享有，未经甲方许可，乙方不得单独申请专利或向第三方转让专利申请权。</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（1）本合同项下的研究成果申请专利的权利归甲方享有，未经甲方许可，乙方不得单独申请专利或向第三方转让专利申请权。乙方取得专利权的，未经甲方许可，不得转让专利权或许可第三方实施该专利。</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（2）甲乙双方均享有本合同项下研究成果的使用权，但乙方仅能在甲方许可的范围内使用该研究成果。因使用该研究成果所产生的效益，由甲乙双方共同协商确定分配方式。</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（3）本合同项下的研究成果的转让权属于甲方，乙方不得向第三方转让，亦不得许可第三方实施使用，乙方擅自转让所产生的利益归甲方所有。</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（4）本合同项下的研究成果申请奖励的权利归甲方享有。未经甲方许可，乙方不得单方申请奖励。</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（5）本合同项下的研究成果的发表权由甲乙双方共同享有。未经一方许可，另一方不得单方发表。项目参加人员个人发表有关项目研究内容的论文须征得甲乙双方的同意。</w:t>
      </w:r>
    </w:p>
    <w:p>
      <w:pPr>
        <w:spacing w:line="360" w:lineRule="auto"/>
        <w:ind w:firstLine="480" w:firstLineChars="200"/>
        <w:outlineLvl w:val="9"/>
        <w:rPr>
          <w:rFonts w:hint="eastAsia" w:ascii="黑体" w:hAnsi="黑体" w:eastAsia="黑体" w:cs="黑体"/>
          <w:bCs/>
          <w:color w:val="auto"/>
          <w:sz w:val="24"/>
        </w:rPr>
      </w:pPr>
      <w:r>
        <w:rPr>
          <w:rFonts w:hint="eastAsia" w:asciiTheme="minorEastAsia" w:hAnsiTheme="minorEastAsia" w:eastAsiaTheme="minorEastAsia" w:cstheme="minorEastAsia"/>
          <w:color w:val="auto"/>
          <w:sz w:val="24"/>
        </w:rPr>
        <w:t>（6）使用履行本合同产生的研究成果参与国际标准、国家标准或行业标准等的制定或修订工作的权利属于甲方所有，未经甲方许可，乙方不得单独参与此类工作。</w:t>
      </w:r>
    </w:p>
    <w:p>
      <w:pPr>
        <w:spacing w:line="360" w:lineRule="auto"/>
        <w:outlineLvl w:val="1"/>
        <w:rPr>
          <w:rFonts w:hint="eastAsia" w:ascii="黑体" w:hAnsi="黑体" w:eastAsia="黑体" w:cs="黑体"/>
          <w:bCs/>
          <w:color w:val="auto"/>
          <w:sz w:val="24"/>
        </w:rPr>
      </w:pPr>
      <w:bookmarkStart w:id="21" w:name="_Toc6117"/>
      <w:r>
        <w:rPr>
          <w:rFonts w:hint="eastAsia" w:ascii="黑体" w:hAnsi="黑体" w:eastAsia="黑体" w:cs="黑体"/>
          <w:bCs/>
          <w:color w:val="auto"/>
          <w:sz w:val="24"/>
        </w:rPr>
        <w:t>5.</w:t>
      </w:r>
      <w:r>
        <w:rPr>
          <w:rFonts w:hint="eastAsia" w:ascii="黑体" w:hAnsi="黑体" w:eastAsia="黑体" w:cs="黑体"/>
          <w:bCs/>
          <w:color w:val="auto"/>
          <w:sz w:val="24"/>
          <w:lang w:val="en-US" w:eastAsia="zh-CN"/>
        </w:rPr>
        <w:t>3</w:t>
      </w:r>
      <w:r>
        <w:rPr>
          <w:rFonts w:hint="eastAsia" w:ascii="黑体" w:hAnsi="黑体" w:eastAsia="黑体" w:cs="黑体"/>
          <w:bCs/>
          <w:color w:val="auto"/>
          <w:sz w:val="24"/>
        </w:rPr>
        <w:t>成果验收</w:t>
      </w:r>
      <w:bookmarkEnd w:id="21"/>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项目完成后，由甲方组织专家组对项目的主要技术指标、成果等进行验收。</w:t>
      </w:r>
    </w:p>
    <w:p>
      <w:pPr>
        <w:pStyle w:val="24"/>
        <w:spacing w:before="312"/>
        <w:outlineLvl w:val="0"/>
        <w:rPr>
          <w:rFonts w:hint="eastAsia" w:ascii="黑体" w:hAnsi="黑体" w:eastAsia="黑体" w:cs="黑体"/>
          <w:color w:val="auto"/>
          <w:sz w:val="28"/>
          <w:szCs w:val="28"/>
        </w:rPr>
      </w:pPr>
      <w:bookmarkStart w:id="22" w:name="_Toc30047"/>
      <w:r>
        <w:rPr>
          <w:rFonts w:hint="eastAsia" w:ascii="黑体" w:hAnsi="黑体" w:eastAsia="黑体" w:cs="黑体"/>
          <w:color w:val="auto"/>
          <w:sz w:val="28"/>
          <w:szCs w:val="28"/>
        </w:rPr>
        <w:t>6  投标技术文件要求</w:t>
      </w:r>
      <w:bookmarkEnd w:id="22"/>
    </w:p>
    <w:p>
      <w:pPr>
        <w:spacing w:line="360" w:lineRule="auto"/>
        <w:outlineLvl w:val="1"/>
        <w:rPr>
          <w:rFonts w:hint="eastAsia" w:ascii="黑体" w:hAnsi="黑体" w:eastAsia="黑体" w:cs="黑体"/>
          <w:bCs/>
          <w:color w:val="auto"/>
          <w:sz w:val="24"/>
        </w:rPr>
      </w:pPr>
      <w:bookmarkStart w:id="23" w:name="_Toc26928"/>
      <w:r>
        <w:rPr>
          <w:rFonts w:hint="eastAsia" w:ascii="黑体" w:hAnsi="黑体" w:eastAsia="黑体" w:cs="黑体"/>
          <w:bCs/>
          <w:color w:val="auto"/>
          <w:sz w:val="24"/>
        </w:rPr>
        <w:t>6.1 研究方案</w:t>
      </w:r>
      <w:bookmarkEnd w:id="23"/>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1</w:t>
      </w: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项目概况</w:t>
      </w:r>
    </w:p>
    <w:p>
      <w:pPr>
        <w:spacing w:line="360" w:lineRule="auto"/>
        <w:ind w:firstLine="480" w:firstLineChars="200"/>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eastAsia="zh-CN"/>
        </w:rPr>
        <w:t>项目服务范围及内容。</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（2）技术方案</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投标方应针对每项研究内容提供详尽的技术解决方案。</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3</w:t>
      </w:r>
      <w:r>
        <w:rPr>
          <w:rFonts w:hint="eastAsia" w:asciiTheme="minorEastAsia" w:hAnsiTheme="minorEastAsia" w:eastAsiaTheme="minorEastAsia" w:cstheme="minorEastAsia"/>
          <w:color w:val="auto"/>
          <w:sz w:val="24"/>
        </w:rPr>
        <w:t>）技术路线</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项目实施的总体研究思路和总体框架。</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4</w:t>
      </w:r>
      <w:r>
        <w:rPr>
          <w:rFonts w:hint="eastAsia" w:asciiTheme="minorEastAsia" w:hAnsiTheme="minorEastAsia" w:eastAsiaTheme="minorEastAsia" w:cstheme="minorEastAsia"/>
          <w:color w:val="auto"/>
          <w:sz w:val="24"/>
        </w:rPr>
        <w:t>）重点解决的技术难题</w:t>
      </w:r>
    </w:p>
    <w:p>
      <w:pPr>
        <w:spacing w:line="360" w:lineRule="auto"/>
        <w:ind w:firstLine="480" w:firstLineChars="200"/>
        <w:rPr>
          <w:rFonts w:hint="eastAsia" w:asciiTheme="minorEastAsia" w:hAnsiTheme="minorEastAsia" w:eastAsiaTheme="minorEastAsia" w:cstheme="minorEastAsia"/>
          <w:color w:val="auto"/>
          <w:sz w:val="24"/>
          <w:lang w:val="zh-CN"/>
        </w:rPr>
      </w:pPr>
      <w:r>
        <w:rPr>
          <w:rFonts w:hint="eastAsia" w:asciiTheme="minorEastAsia" w:hAnsiTheme="minorEastAsia" w:eastAsiaTheme="minorEastAsia" w:cstheme="minorEastAsia"/>
          <w:color w:val="auto"/>
          <w:sz w:val="24"/>
        </w:rPr>
        <w:t>投标方应针对高层柔直换流站的灭火系统、钢结构防火保护、极早期</w:t>
      </w:r>
      <w:r>
        <w:rPr>
          <w:rFonts w:hint="eastAsia" w:asciiTheme="minorEastAsia" w:hAnsiTheme="minorEastAsia" w:eastAsiaTheme="minorEastAsia" w:cstheme="minorEastAsia"/>
          <w:color w:val="auto"/>
          <w:sz w:val="24"/>
          <w:lang w:val="en-US" w:eastAsia="zh-CN"/>
        </w:rPr>
        <w:t>火灾</w:t>
      </w:r>
      <w:r>
        <w:rPr>
          <w:rFonts w:hint="eastAsia" w:asciiTheme="minorEastAsia" w:hAnsiTheme="minorEastAsia" w:eastAsiaTheme="minorEastAsia" w:cstheme="minorEastAsia"/>
          <w:color w:val="auto"/>
          <w:sz w:val="24"/>
        </w:rPr>
        <w:t>探测、安全疏散、防烟排烟等重要技术难题开展研究</w:t>
      </w:r>
      <w:r>
        <w:rPr>
          <w:rFonts w:hint="eastAsia"/>
          <w:color w:val="auto"/>
          <w:sz w:val="24"/>
        </w:rPr>
        <w:t>。</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5</w:t>
      </w:r>
      <w:r>
        <w:rPr>
          <w:rFonts w:hint="eastAsia" w:asciiTheme="minorEastAsia" w:hAnsiTheme="minorEastAsia" w:eastAsiaTheme="minorEastAsia" w:cstheme="minorEastAsia"/>
          <w:color w:val="auto"/>
          <w:sz w:val="24"/>
        </w:rPr>
        <w:t>）主要技术指标实现的可行性</w:t>
      </w:r>
    </w:p>
    <w:p>
      <w:pPr>
        <w:spacing w:line="360" w:lineRule="auto"/>
        <w:outlineLvl w:val="1"/>
        <w:rPr>
          <w:rFonts w:hint="eastAsia" w:ascii="黑体" w:hAnsi="黑体" w:eastAsia="黑体" w:cs="黑体"/>
          <w:bCs/>
          <w:color w:val="auto"/>
          <w:sz w:val="24"/>
        </w:rPr>
      </w:pPr>
      <w:bookmarkStart w:id="24" w:name="_Toc12714"/>
      <w:bookmarkStart w:id="25" w:name="_Toc3443"/>
      <w:r>
        <w:rPr>
          <w:rFonts w:hint="eastAsia" w:ascii="黑体" w:hAnsi="黑体" w:eastAsia="黑体" w:cs="黑体"/>
          <w:bCs/>
          <w:color w:val="auto"/>
          <w:sz w:val="24"/>
        </w:rPr>
        <w:t>6.2 项目管理实施</w:t>
      </w:r>
      <w:bookmarkEnd w:id="24"/>
      <w:bookmarkEnd w:id="25"/>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（1）项目人员组织</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介绍项目人员组织情况、职责分工。</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（2）进度计划及保证措施</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提交详细的项目实施计划，明确里程碑。</w:t>
      </w:r>
    </w:p>
    <w:p>
      <w:pPr>
        <w:numPr>
          <w:ilvl w:val="-1"/>
          <w:numId w:val="0"/>
        </w:numPr>
        <w:spacing w:line="360" w:lineRule="auto"/>
        <w:ind w:left="0" w:leftChars="0" w:firstLine="0" w:firstLineChars="0"/>
        <w:outlineLvl w:val="2"/>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lang w:val="en-US" w:eastAsia="zh-CN"/>
        </w:rPr>
        <w:t>3</w:t>
      </w:r>
      <w:r>
        <w:rPr>
          <w:rFonts w:hint="eastAsia" w:asciiTheme="minorEastAsia" w:hAnsiTheme="minorEastAsia" w:eastAsiaTheme="minorEastAsia" w:cstheme="minorEastAsia"/>
          <w:color w:val="auto"/>
          <w:sz w:val="24"/>
          <w:lang w:eastAsia="zh-CN"/>
        </w:rPr>
        <w:t>）质量保证措施</w:t>
      </w:r>
    </w:p>
    <w:p>
      <w:pPr>
        <w:numPr>
          <w:ilvl w:val="0"/>
          <w:numId w:val="0"/>
        </w:numPr>
        <w:spacing w:line="360" w:lineRule="auto"/>
        <w:ind w:leftChars="0"/>
        <w:rPr>
          <w:rFonts w:hint="default" w:asciiTheme="minorEastAsia" w:hAnsiTheme="minorEastAsia" w:eastAsiaTheme="minorEastAsia" w:cstheme="minorEastAsia"/>
          <w:color w:val="auto"/>
          <w:sz w:val="24"/>
          <w:lang w:val="en-US" w:eastAsia="zh-CN"/>
        </w:rPr>
      </w:pPr>
      <w:r>
        <w:rPr>
          <w:rFonts w:hint="eastAsia" w:asciiTheme="minorEastAsia" w:hAnsiTheme="minorEastAsia" w:eastAsiaTheme="minorEastAsia" w:cstheme="minorEastAsia"/>
          <w:color w:val="auto"/>
          <w:sz w:val="24"/>
          <w:lang w:val="en-US" w:eastAsia="zh-CN"/>
        </w:rPr>
        <w:t xml:space="preserve">    </w:t>
      </w:r>
      <w:r>
        <w:rPr>
          <w:rFonts w:hint="eastAsia" w:asciiTheme="minorEastAsia" w:hAnsiTheme="minorEastAsia" w:eastAsiaTheme="minorEastAsia" w:cstheme="minorEastAsia"/>
          <w:color w:val="auto"/>
          <w:sz w:val="24"/>
        </w:rPr>
        <w:t>提交详细的</w:t>
      </w:r>
      <w:r>
        <w:rPr>
          <w:rFonts w:hint="eastAsia" w:asciiTheme="minorEastAsia" w:hAnsiTheme="minorEastAsia" w:eastAsiaTheme="minorEastAsia" w:cstheme="minorEastAsia"/>
          <w:color w:val="auto"/>
          <w:sz w:val="24"/>
          <w:lang w:val="en-US" w:eastAsia="zh-CN"/>
        </w:rPr>
        <w:t>服务质量目标、质量保证体系及措施。</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w:t>
      </w:r>
      <w:r>
        <w:rPr>
          <w:rFonts w:hint="eastAsia" w:asciiTheme="minorEastAsia" w:hAnsiTheme="minorEastAsia" w:eastAsiaTheme="minorEastAsia" w:cstheme="minorEastAsia"/>
          <w:color w:val="auto"/>
          <w:sz w:val="24"/>
          <w:lang w:val="en-US" w:eastAsia="zh-CN"/>
        </w:rPr>
        <w:t>4</w:t>
      </w:r>
      <w:r>
        <w:rPr>
          <w:rFonts w:hint="eastAsia" w:asciiTheme="minorEastAsia" w:hAnsiTheme="minorEastAsia" w:eastAsiaTheme="minorEastAsia" w:cstheme="minorEastAsia"/>
          <w:color w:val="auto"/>
          <w:sz w:val="24"/>
        </w:rPr>
        <w:t>）项目交付项</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说明项目阶段任务完成后，投标方根据成果交付与验收要求应提交给招标方的产品、服务以及交接文件等，并附上相应的交付时间计划表。</w:t>
      </w:r>
    </w:p>
    <w:p>
      <w:pPr>
        <w:spacing w:line="360" w:lineRule="auto"/>
        <w:outlineLvl w:val="1"/>
        <w:rPr>
          <w:rFonts w:hint="eastAsia" w:ascii="黑体" w:hAnsi="黑体" w:eastAsia="黑体" w:cs="黑体"/>
          <w:bCs/>
          <w:color w:val="auto"/>
          <w:sz w:val="24"/>
        </w:rPr>
      </w:pPr>
      <w:bookmarkStart w:id="26" w:name="_Toc29755"/>
      <w:r>
        <w:rPr>
          <w:rFonts w:hint="eastAsia" w:ascii="黑体" w:hAnsi="黑体" w:eastAsia="黑体" w:cs="黑体"/>
          <w:bCs/>
          <w:color w:val="auto"/>
          <w:sz w:val="24"/>
        </w:rPr>
        <w:t>6.3 项目技术支撑能力</w:t>
      </w:r>
      <w:bookmarkEnd w:id="26"/>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（1）项目经验</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该部分填写与标的物相关的项目研究经验、合同情况、论文专利和获奖情况。</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（2）人员支撑能力</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该部分填写与标的物相关的本项目研究成员详细资料（包括学历、资质、研究方向/工作经验等），提供相关支撑材料。</w:t>
      </w:r>
    </w:p>
    <w:p>
      <w:pPr>
        <w:spacing w:line="360" w:lineRule="auto"/>
        <w:outlineLvl w:val="2"/>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（3）设备支撑能力</w:t>
      </w:r>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该部分填写与标的物相关的、支撑该项目研究的设备、平台、实验室等。</w:t>
      </w:r>
    </w:p>
    <w:p>
      <w:pPr>
        <w:spacing w:line="360" w:lineRule="auto"/>
        <w:outlineLvl w:val="1"/>
        <w:rPr>
          <w:rFonts w:hint="eastAsia" w:ascii="黑体" w:hAnsi="黑体" w:eastAsia="黑体" w:cs="黑体"/>
          <w:bCs/>
          <w:color w:val="auto"/>
          <w:sz w:val="24"/>
        </w:rPr>
      </w:pPr>
      <w:bookmarkStart w:id="27" w:name="_Toc3357"/>
      <w:bookmarkStart w:id="28" w:name="_Toc25058"/>
      <w:r>
        <w:rPr>
          <w:rFonts w:hint="eastAsia" w:ascii="黑体" w:hAnsi="黑体" w:eastAsia="黑体" w:cs="黑体"/>
          <w:bCs/>
          <w:color w:val="auto"/>
          <w:sz w:val="24"/>
        </w:rPr>
        <w:t>6.4 服务承诺</w:t>
      </w:r>
      <w:bookmarkEnd w:id="27"/>
      <w:bookmarkEnd w:id="28"/>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投标方要明确所能提供的服务内容，服务方式，服务承诺和售后服务等情况。</w:t>
      </w:r>
    </w:p>
    <w:p>
      <w:pPr>
        <w:spacing w:line="360" w:lineRule="auto"/>
        <w:outlineLvl w:val="1"/>
        <w:rPr>
          <w:rFonts w:hint="eastAsia" w:ascii="黑体" w:hAnsi="黑体" w:eastAsia="黑体" w:cs="黑体"/>
          <w:bCs/>
          <w:color w:val="auto"/>
          <w:sz w:val="24"/>
        </w:rPr>
      </w:pPr>
      <w:bookmarkStart w:id="29" w:name="_Toc17138"/>
      <w:r>
        <w:rPr>
          <w:rFonts w:hint="eastAsia" w:ascii="黑体" w:hAnsi="黑体" w:eastAsia="黑体" w:cs="黑体"/>
          <w:bCs/>
          <w:color w:val="auto"/>
          <w:sz w:val="24"/>
        </w:rPr>
        <w:t>6.5 技术差异表</w:t>
      </w:r>
      <w:bookmarkEnd w:id="29"/>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投标方应针对主要技术指标要求、成果交付数量要求等填写响应的差异情况。</w:t>
      </w:r>
    </w:p>
    <w:p>
      <w:pPr>
        <w:spacing w:line="360" w:lineRule="auto"/>
        <w:jc w:val="center"/>
        <w:rPr>
          <w:rFonts w:hint="eastAsia" w:ascii="黑体" w:hAnsi="黑体" w:eastAsia="黑体" w:cs="黑体"/>
          <w:bCs/>
          <w:color w:val="auto"/>
          <w:szCs w:val="21"/>
        </w:rPr>
      </w:pPr>
      <w:r>
        <w:rPr>
          <w:rFonts w:hint="eastAsia" w:ascii="黑体" w:hAnsi="黑体" w:eastAsia="黑体" w:cs="黑体"/>
          <w:bCs/>
          <w:color w:val="auto"/>
          <w:szCs w:val="21"/>
        </w:rPr>
        <w:t>表6.1 技术指标差异表（投标方填写）</w:t>
      </w:r>
    </w:p>
    <w:tbl>
      <w:tblPr>
        <w:tblStyle w:val="15"/>
        <w:tblW w:w="839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782"/>
        <w:gridCol w:w="1574"/>
        <w:gridCol w:w="1485"/>
        <w:gridCol w:w="1713"/>
        <w:gridCol w:w="135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486"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序号</w:t>
            </w:r>
          </w:p>
        </w:tc>
        <w:tc>
          <w:tcPr>
            <w:tcW w:w="1782"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名称</w:t>
            </w:r>
          </w:p>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（技术指标/成果要求）</w:t>
            </w:r>
          </w:p>
        </w:tc>
        <w:tc>
          <w:tcPr>
            <w:tcW w:w="1574"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lang w:bidi="ar"/>
              </w:rPr>
              <w:t>招标方要求值</w:t>
            </w:r>
          </w:p>
        </w:tc>
        <w:tc>
          <w:tcPr>
            <w:tcW w:w="1485"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lang w:bidi="ar"/>
              </w:rPr>
              <w:t>投标方保证值</w:t>
            </w:r>
          </w:p>
        </w:tc>
        <w:tc>
          <w:tcPr>
            <w:tcW w:w="171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关键指标允许响应情况（正偏差/负偏差/无偏差）</w:t>
            </w:r>
          </w:p>
        </w:tc>
        <w:tc>
          <w:tcPr>
            <w:tcW w:w="1351"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kern w:val="0"/>
                <w:szCs w:val="21"/>
                <w:lang w:bidi="ar"/>
              </w:rPr>
              <w:t>技术方案或保障措施所在的页码</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486" w:type="dxa"/>
            <w:tcBorders>
              <w:tl2br w:val="nil"/>
              <w:tr2bl w:val="nil"/>
            </w:tcBorders>
            <w:vAlign w:val="center"/>
          </w:tcPr>
          <w:p>
            <w:pPr>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1</w:t>
            </w:r>
          </w:p>
        </w:tc>
        <w:tc>
          <w:tcPr>
            <w:tcW w:w="1782"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574"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485"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71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szCs w:val="21"/>
              </w:rPr>
            </w:pPr>
          </w:p>
        </w:tc>
        <w:tc>
          <w:tcPr>
            <w:tcW w:w="1351"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86" w:type="dxa"/>
            <w:tcBorders>
              <w:tl2br w:val="nil"/>
              <w:tr2bl w:val="nil"/>
            </w:tcBorders>
            <w:vAlign w:val="center"/>
          </w:tcPr>
          <w:p>
            <w:pPr>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2</w:t>
            </w:r>
          </w:p>
        </w:tc>
        <w:tc>
          <w:tcPr>
            <w:tcW w:w="1782"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574"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485"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713"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351"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486" w:type="dxa"/>
            <w:tcBorders>
              <w:tl2br w:val="nil"/>
              <w:tr2bl w:val="nil"/>
            </w:tcBorders>
            <w:vAlign w:val="center"/>
          </w:tcPr>
          <w:p>
            <w:pPr>
              <w:jc w:val="center"/>
              <w:rPr>
                <w:rFonts w:hint="eastAsia"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3</w:t>
            </w:r>
          </w:p>
        </w:tc>
        <w:tc>
          <w:tcPr>
            <w:tcW w:w="1782"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574"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485"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713"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c>
          <w:tcPr>
            <w:tcW w:w="1351" w:type="dxa"/>
            <w:tcBorders>
              <w:tl2br w:val="nil"/>
              <w:tr2bl w:val="nil"/>
            </w:tcBorders>
            <w:vAlign w:val="center"/>
          </w:tcPr>
          <w:p>
            <w:pPr>
              <w:jc w:val="center"/>
              <w:rPr>
                <w:rFonts w:hint="eastAsia" w:asciiTheme="minorEastAsia" w:hAnsiTheme="minorEastAsia" w:eastAsiaTheme="minorEastAsia" w:cstheme="minorEastAsia"/>
                <w:color w:val="auto"/>
                <w:szCs w:val="21"/>
              </w:rPr>
            </w:pPr>
          </w:p>
        </w:tc>
      </w:tr>
    </w:tbl>
    <w:p>
      <w:pPr>
        <w:spacing w:line="360" w:lineRule="auto"/>
        <w:ind w:firstLine="480" w:firstLineChars="200"/>
        <w:rPr>
          <w:rFonts w:hint="eastAsia" w:asciiTheme="minorEastAsia" w:hAnsiTheme="minorEastAsia" w:eastAsiaTheme="minorEastAsia" w:cstheme="minorEastAsia"/>
          <w:color w:val="auto"/>
          <w:sz w:val="24"/>
        </w:rPr>
      </w:pPr>
      <w:bookmarkStart w:id="30" w:name="_Toc226362579"/>
      <w:r>
        <w:rPr>
          <w:rFonts w:hint="eastAsia" w:asciiTheme="minorEastAsia" w:hAnsiTheme="minorEastAsia" w:eastAsiaTheme="minorEastAsia" w:cstheme="minorEastAsia"/>
          <w:color w:val="auto"/>
          <w:sz w:val="24"/>
        </w:rPr>
        <w:t>投标方应将所提供服务与本技术规范书有差异之处，无论优于或劣于本技术规范书要求，均汇集成下表。</w:t>
      </w:r>
    </w:p>
    <w:p>
      <w:pPr>
        <w:spacing w:line="360" w:lineRule="auto"/>
        <w:jc w:val="center"/>
        <w:rPr>
          <w:rFonts w:hint="eastAsia" w:ascii="黑体" w:hAnsi="黑体" w:eastAsia="黑体" w:cs="黑体"/>
          <w:bCs/>
          <w:color w:val="auto"/>
          <w:szCs w:val="21"/>
        </w:rPr>
      </w:pPr>
      <w:r>
        <w:rPr>
          <w:rFonts w:hint="eastAsia" w:ascii="黑体" w:hAnsi="黑体" w:eastAsia="黑体" w:cs="黑体"/>
          <w:bCs/>
          <w:color w:val="auto"/>
          <w:szCs w:val="21"/>
        </w:rPr>
        <w:t>表6.2 技术差异汇总表</w:t>
      </w:r>
      <w:bookmarkEnd w:id="30"/>
      <w:r>
        <w:rPr>
          <w:rFonts w:hint="eastAsia" w:ascii="黑体" w:hAnsi="黑体" w:eastAsia="黑体" w:cs="黑体"/>
          <w:bCs/>
          <w:color w:val="auto"/>
          <w:szCs w:val="21"/>
        </w:rPr>
        <w:t>（投标方填写）</w:t>
      </w:r>
    </w:p>
    <w:tbl>
      <w:tblPr>
        <w:tblStyle w:val="14"/>
        <w:tblW w:w="83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163"/>
        <w:gridCol w:w="2713"/>
        <w:gridCol w:w="1258"/>
        <w:gridCol w:w="257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restart"/>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序</w:t>
            </w:r>
          </w:p>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号</w:t>
            </w:r>
          </w:p>
        </w:tc>
        <w:tc>
          <w:tcPr>
            <w:tcW w:w="3876" w:type="dxa"/>
            <w:gridSpan w:val="2"/>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招 标 文 件</w:t>
            </w:r>
          </w:p>
        </w:tc>
        <w:tc>
          <w:tcPr>
            <w:tcW w:w="3833" w:type="dxa"/>
            <w:gridSpan w:val="2"/>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投  标  文  件</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9" w:type="dxa"/>
            <w:vMerge w:val="continue"/>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116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条  目</w:t>
            </w:r>
          </w:p>
        </w:tc>
        <w:tc>
          <w:tcPr>
            <w:tcW w:w="271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简  要  内  容</w:t>
            </w:r>
          </w:p>
        </w:tc>
        <w:tc>
          <w:tcPr>
            <w:tcW w:w="1258"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条  目</w:t>
            </w:r>
          </w:p>
        </w:tc>
        <w:tc>
          <w:tcPr>
            <w:tcW w:w="2575"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简  要  内  容</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1</w:t>
            </w:r>
          </w:p>
        </w:tc>
        <w:tc>
          <w:tcPr>
            <w:tcW w:w="116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71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1258"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575"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2</w:t>
            </w:r>
          </w:p>
        </w:tc>
        <w:tc>
          <w:tcPr>
            <w:tcW w:w="116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71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1258"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575"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3</w:t>
            </w:r>
          </w:p>
        </w:tc>
        <w:tc>
          <w:tcPr>
            <w:tcW w:w="116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71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1258"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575"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79"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r>
              <w:rPr>
                <w:rFonts w:hint="eastAsia" w:asciiTheme="minorEastAsia" w:hAnsiTheme="minorEastAsia" w:eastAsiaTheme="minorEastAsia" w:cstheme="minorEastAsia"/>
                <w:color w:val="auto"/>
                <w:kern w:val="0"/>
                <w:szCs w:val="21"/>
                <w:lang w:bidi="ar"/>
              </w:rPr>
              <w:t>4</w:t>
            </w:r>
          </w:p>
        </w:tc>
        <w:tc>
          <w:tcPr>
            <w:tcW w:w="116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713"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1258"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c>
          <w:tcPr>
            <w:tcW w:w="2575" w:type="dxa"/>
            <w:tcBorders>
              <w:tl2br w:val="nil"/>
              <w:tr2bl w:val="nil"/>
            </w:tcBorders>
            <w:vAlign w:val="center"/>
          </w:tcPr>
          <w:p>
            <w:pPr>
              <w:widowControl/>
              <w:jc w:val="center"/>
              <w:textAlignment w:val="center"/>
              <w:rPr>
                <w:rFonts w:hint="eastAsia" w:asciiTheme="minorEastAsia" w:hAnsiTheme="minorEastAsia" w:eastAsiaTheme="minorEastAsia" w:cstheme="minorEastAsia"/>
                <w:color w:val="auto"/>
                <w:kern w:val="0"/>
                <w:szCs w:val="21"/>
                <w:lang w:bidi="ar"/>
              </w:rPr>
            </w:pPr>
          </w:p>
        </w:tc>
      </w:tr>
    </w:tbl>
    <w:p>
      <w:pPr>
        <w:spacing w:before="156" w:beforeLines="50" w:line="360" w:lineRule="auto"/>
        <w:outlineLvl w:val="1"/>
        <w:rPr>
          <w:rFonts w:hint="eastAsia" w:ascii="黑体" w:hAnsi="黑体" w:eastAsia="黑体" w:cs="黑体"/>
          <w:color w:val="auto"/>
          <w:sz w:val="24"/>
        </w:rPr>
      </w:pPr>
      <w:bookmarkStart w:id="31" w:name="_Toc10100"/>
      <w:r>
        <w:rPr>
          <w:rFonts w:hint="eastAsia" w:ascii="黑体" w:hAnsi="黑体" w:eastAsia="黑体" w:cs="黑体"/>
          <w:color w:val="auto"/>
          <w:sz w:val="24"/>
        </w:rPr>
        <w:t>6.6 其它补充说明</w:t>
      </w:r>
      <w:bookmarkEnd w:id="31"/>
    </w:p>
    <w:p>
      <w:pPr>
        <w:spacing w:line="360" w:lineRule="auto"/>
        <w:ind w:firstLine="480" w:firstLineChars="200"/>
        <w:rPr>
          <w:rFonts w:hint="eastAsia"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投标方认为实现本文件的相关内容存在技术类或其它类风险，请详细说明，并提供相应的对策。</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F70EF6"/>
    <w:multiLevelType w:val="multilevel"/>
    <w:tmpl w:val="CDF70EF6"/>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D12C290B"/>
    <w:multiLevelType w:val="singleLevel"/>
    <w:tmpl w:val="D12C290B"/>
    <w:lvl w:ilvl="0" w:tentative="0">
      <w:start w:val="1"/>
      <w:numFmt w:val="decimal"/>
      <w:pStyle w:val="19"/>
      <w:lvlText w:val="%1."/>
      <w:lvlJc w:val="left"/>
      <w:pPr>
        <w:ind w:left="425" w:hanging="425"/>
      </w:pPr>
      <w:rPr>
        <w:rFonts w:hint="default"/>
      </w:rPr>
    </w:lvl>
  </w:abstractNum>
  <w:abstractNum w:abstractNumId="2">
    <w:nsid w:val="DB625398"/>
    <w:multiLevelType w:val="multilevel"/>
    <w:tmpl w:val="DB625398"/>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E"/>
    <w:multiLevelType w:val="multilevel"/>
    <w:tmpl w:val="0000000E"/>
    <w:lvl w:ilvl="0" w:tentative="0">
      <w:start w:val="1"/>
      <w:numFmt w:val="decimal"/>
      <w:lvlText w:val="（%1）"/>
      <w:lvlJc w:val="left"/>
      <w:pPr>
        <w:tabs>
          <w:tab w:val="left" w:pos="643"/>
        </w:tabs>
        <w:ind w:left="983" w:hanging="623"/>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18"/>
    <w:multiLevelType w:val="multilevel"/>
    <w:tmpl w:val="00000018"/>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4BAB1C50"/>
    <w:multiLevelType w:val="multilevel"/>
    <w:tmpl w:val="4BAB1C50"/>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E537055"/>
    <w:multiLevelType w:val="singleLevel"/>
    <w:tmpl w:val="5E537055"/>
    <w:lvl w:ilvl="0" w:tentative="0">
      <w:start w:val="1"/>
      <w:numFmt w:val="decimal"/>
      <w:lvlText w:val="%1."/>
      <w:lvlJc w:val="left"/>
      <w:pPr>
        <w:ind w:left="425" w:hanging="425"/>
      </w:pPr>
      <w:rPr>
        <w:rFonts w:hint="default"/>
      </w:rPr>
    </w:lvl>
  </w:abstractNum>
  <w:abstractNum w:abstractNumId="7">
    <w:nsid w:val="67C500D5"/>
    <w:multiLevelType w:val="multilevel"/>
    <w:tmpl w:val="67C500D5"/>
    <w:lvl w:ilvl="0" w:tentative="0">
      <w:start w:val="1"/>
      <w:numFmt w:val="decimal"/>
      <w:lvlText w:val="（%1）"/>
      <w:lvlJc w:val="left"/>
      <w:pPr>
        <w:tabs>
          <w:tab w:val="left" w:pos="643"/>
        </w:tabs>
        <w:ind w:left="983" w:hanging="623"/>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7D1BEEC2"/>
    <w:multiLevelType w:val="multilevel"/>
    <w:tmpl w:val="7D1BEEC2"/>
    <w:lvl w:ilvl="0" w:tentative="0">
      <w:start w:val="1"/>
      <w:numFmt w:val="decimal"/>
      <w:lvlText w:val="（%1）"/>
      <w:lvlJc w:val="left"/>
      <w:pPr>
        <w:tabs>
          <w:tab w:val="left" w:pos="763"/>
        </w:tabs>
        <w:ind w:left="1103" w:hanging="623"/>
      </w:pPr>
      <w:rPr>
        <w:b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0"/>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4MjQ3Mjc4Y2U4NjU4ODZkNTRiYzMzNDgxMTQ1MmUifQ=="/>
  </w:docVars>
  <w:rsids>
    <w:rsidRoot w:val="56112EA9"/>
    <w:rsid w:val="0000270B"/>
    <w:rsid w:val="00055794"/>
    <w:rsid w:val="000667C8"/>
    <w:rsid w:val="000A11C2"/>
    <w:rsid w:val="000C126C"/>
    <w:rsid w:val="00113C97"/>
    <w:rsid w:val="00136CB6"/>
    <w:rsid w:val="00174DD8"/>
    <w:rsid w:val="001C3BDD"/>
    <w:rsid w:val="00236382"/>
    <w:rsid w:val="0029340C"/>
    <w:rsid w:val="002D0ED7"/>
    <w:rsid w:val="003447FE"/>
    <w:rsid w:val="003973B5"/>
    <w:rsid w:val="00425604"/>
    <w:rsid w:val="00471DF4"/>
    <w:rsid w:val="004D3251"/>
    <w:rsid w:val="004E6FD4"/>
    <w:rsid w:val="005725BA"/>
    <w:rsid w:val="00730908"/>
    <w:rsid w:val="00761013"/>
    <w:rsid w:val="00832644"/>
    <w:rsid w:val="008C5FA5"/>
    <w:rsid w:val="00920102"/>
    <w:rsid w:val="0094573F"/>
    <w:rsid w:val="009A07A3"/>
    <w:rsid w:val="009F544E"/>
    <w:rsid w:val="00A00905"/>
    <w:rsid w:val="00A20B78"/>
    <w:rsid w:val="00A57914"/>
    <w:rsid w:val="00B54102"/>
    <w:rsid w:val="00BC0E7C"/>
    <w:rsid w:val="00CA77EA"/>
    <w:rsid w:val="00D178DD"/>
    <w:rsid w:val="00D628D0"/>
    <w:rsid w:val="011B2D5D"/>
    <w:rsid w:val="014B316F"/>
    <w:rsid w:val="015D28CD"/>
    <w:rsid w:val="0179697A"/>
    <w:rsid w:val="01802A82"/>
    <w:rsid w:val="01D86994"/>
    <w:rsid w:val="01E106E9"/>
    <w:rsid w:val="01E6152D"/>
    <w:rsid w:val="025B14EB"/>
    <w:rsid w:val="02696283"/>
    <w:rsid w:val="02742095"/>
    <w:rsid w:val="027C11FC"/>
    <w:rsid w:val="0295401A"/>
    <w:rsid w:val="02CB2490"/>
    <w:rsid w:val="0303051E"/>
    <w:rsid w:val="03087086"/>
    <w:rsid w:val="031F252E"/>
    <w:rsid w:val="034E11A4"/>
    <w:rsid w:val="03541CED"/>
    <w:rsid w:val="040E43B5"/>
    <w:rsid w:val="043C3BFF"/>
    <w:rsid w:val="045447CF"/>
    <w:rsid w:val="047B7BC4"/>
    <w:rsid w:val="04AF3F3E"/>
    <w:rsid w:val="04BF0B83"/>
    <w:rsid w:val="04ED23F9"/>
    <w:rsid w:val="04FE4EAD"/>
    <w:rsid w:val="05312146"/>
    <w:rsid w:val="05330E8B"/>
    <w:rsid w:val="054364BD"/>
    <w:rsid w:val="056004DF"/>
    <w:rsid w:val="056D4E14"/>
    <w:rsid w:val="058337B0"/>
    <w:rsid w:val="058C4826"/>
    <w:rsid w:val="05F544C1"/>
    <w:rsid w:val="05FD7391"/>
    <w:rsid w:val="06407F07"/>
    <w:rsid w:val="06462D5B"/>
    <w:rsid w:val="06BF391E"/>
    <w:rsid w:val="06CB0518"/>
    <w:rsid w:val="06E11AE9"/>
    <w:rsid w:val="0715212E"/>
    <w:rsid w:val="078D3A1F"/>
    <w:rsid w:val="079061F5"/>
    <w:rsid w:val="07B27A2E"/>
    <w:rsid w:val="07D459E5"/>
    <w:rsid w:val="07DC3C63"/>
    <w:rsid w:val="07E37CBC"/>
    <w:rsid w:val="07F24F95"/>
    <w:rsid w:val="08115868"/>
    <w:rsid w:val="08246A68"/>
    <w:rsid w:val="082779ED"/>
    <w:rsid w:val="0837350B"/>
    <w:rsid w:val="086E5BE3"/>
    <w:rsid w:val="08B0664C"/>
    <w:rsid w:val="0900633E"/>
    <w:rsid w:val="095101A9"/>
    <w:rsid w:val="09C5130A"/>
    <w:rsid w:val="09DB3418"/>
    <w:rsid w:val="09F078C2"/>
    <w:rsid w:val="0A9773AF"/>
    <w:rsid w:val="0AB4389F"/>
    <w:rsid w:val="0B3E7F80"/>
    <w:rsid w:val="0B715FA9"/>
    <w:rsid w:val="0B81776F"/>
    <w:rsid w:val="0B894B7C"/>
    <w:rsid w:val="0BAB2B32"/>
    <w:rsid w:val="0BD1033B"/>
    <w:rsid w:val="0BFD7548"/>
    <w:rsid w:val="0C157FE3"/>
    <w:rsid w:val="0C4607B2"/>
    <w:rsid w:val="0C4D013D"/>
    <w:rsid w:val="0C7D670E"/>
    <w:rsid w:val="0C8C1EEF"/>
    <w:rsid w:val="0CD25E17"/>
    <w:rsid w:val="0CFB6FDC"/>
    <w:rsid w:val="0D0343E8"/>
    <w:rsid w:val="0D0C14ED"/>
    <w:rsid w:val="0D6039E5"/>
    <w:rsid w:val="0DBA7538"/>
    <w:rsid w:val="0DBE6D1A"/>
    <w:rsid w:val="0DDE0C6E"/>
    <w:rsid w:val="0DF82377"/>
    <w:rsid w:val="0E241F41"/>
    <w:rsid w:val="0E3C75E8"/>
    <w:rsid w:val="0E7E38D5"/>
    <w:rsid w:val="0E806DD8"/>
    <w:rsid w:val="0EE000F6"/>
    <w:rsid w:val="0F545EB6"/>
    <w:rsid w:val="0F573D98"/>
    <w:rsid w:val="0F8F3712"/>
    <w:rsid w:val="0FBF064C"/>
    <w:rsid w:val="10011F66"/>
    <w:rsid w:val="10142351"/>
    <w:rsid w:val="10352FA6"/>
    <w:rsid w:val="10426A38"/>
    <w:rsid w:val="10972384"/>
    <w:rsid w:val="1104237A"/>
    <w:rsid w:val="110D2C89"/>
    <w:rsid w:val="110F2EEB"/>
    <w:rsid w:val="11351E8B"/>
    <w:rsid w:val="11402C86"/>
    <w:rsid w:val="11537B7A"/>
    <w:rsid w:val="11616E90"/>
    <w:rsid w:val="11840349"/>
    <w:rsid w:val="118A2253"/>
    <w:rsid w:val="11912B16"/>
    <w:rsid w:val="119F43A3"/>
    <w:rsid w:val="11B60016"/>
    <w:rsid w:val="11C56BB4"/>
    <w:rsid w:val="11DC7709"/>
    <w:rsid w:val="12344C6A"/>
    <w:rsid w:val="12394975"/>
    <w:rsid w:val="1254771D"/>
    <w:rsid w:val="12841571"/>
    <w:rsid w:val="12E44E0E"/>
    <w:rsid w:val="12FD2134"/>
    <w:rsid w:val="1300693C"/>
    <w:rsid w:val="130804C5"/>
    <w:rsid w:val="13101155"/>
    <w:rsid w:val="13102103"/>
    <w:rsid w:val="131D4BE7"/>
    <w:rsid w:val="132A7F74"/>
    <w:rsid w:val="13434E27"/>
    <w:rsid w:val="13566E57"/>
    <w:rsid w:val="137D3D07"/>
    <w:rsid w:val="139574C9"/>
    <w:rsid w:val="139E1CBE"/>
    <w:rsid w:val="13E744B7"/>
    <w:rsid w:val="13F413C8"/>
    <w:rsid w:val="13FE555A"/>
    <w:rsid w:val="14421D4B"/>
    <w:rsid w:val="144733D0"/>
    <w:rsid w:val="14782116"/>
    <w:rsid w:val="147F0C66"/>
    <w:rsid w:val="15135B84"/>
    <w:rsid w:val="15545B7C"/>
    <w:rsid w:val="1558413F"/>
    <w:rsid w:val="155E4129"/>
    <w:rsid w:val="15B259A5"/>
    <w:rsid w:val="15DA37E6"/>
    <w:rsid w:val="15EF5D0A"/>
    <w:rsid w:val="160351CB"/>
    <w:rsid w:val="16103CC1"/>
    <w:rsid w:val="163A2FC4"/>
    <w:rsid w:val="16984E9E"/>
    <w:rsid w:val="169E262B"/>
    <w:rsid w:val="16C31525"/>
    <w:rsid w:val="16F77748"/>
    <w:rsid w:val="17610576"/>
    <w:rsid w:val="176F4CA1"/>
    <w:rsid w:val="17741389"/>
    <w:rsid w:val="17B2302E"/>
    <w:rsid w:val="17B44371"/>
    <w:rsid w:val="1812470B"/>
    <w:rsid w:val="184719C8"/>
    <w:rsid w:val="18496DE3"/>
    <w:rsid w:val="186E7023"/>
    <w:rsid w:val="18CB5D46"/>
    <w:rsid w:val="18FE477D"/>
    <w:rsid w:val="196562B6"/>
    <w:rsid w:val="19A10699"/>
    <w:rsid w:val="19E5590B"/>
    <w:rsid w:val="1A0D104E"/>
    <w:rsid w:val="1A316175"/>
    <w:rsid w:val="1A830B36"/>
    <w:rsid w:val="1A907FA2"/>
    <w:rsid w:val="1ADD4B0E"/>
    <w:rsid w:val="1B3F26C4"/>
    <w:rsid w:val="1B412344"/>
    <w:rsid w:val="1B507A64"/>
    <w:rsid w:val="1B746F78"/>
    <w:rsid w:val="1BBE0A14"/>
    <w:rsid w:val="1BF021DF"/>
    <w:rsid w:val="1BFA3C82"/>
    <w:rsid w:val="1C477673"/>
    <w:rsid w:val="1C672B50"/>
    <w:rsid w:val="1C8E1FE6"/>
    <w:rsid w:val="1CCE54EB"/>
    <w:rsid w:val="1CD65C5D"/>
    <w:rsid w:val="1D2821E4"/>
    <w:rsid w:val="1D465F68"/>
    <w:rsid w:val="1D5D0580"/>
    <w:rsid w:val="1D71569B"/>
    <w:rsid w:val="1D7B5A38"/>
    <w:rsid w:val="1DA01B05"/>
    <w:rsid w:val="1DFC3E5E"/>
    <w:rsid w:val="1E0A4D56"/>
    <w:rsid w:val="1E3723A2"/>
    <w:rsid w:val="1E464BBA"/>
    <w:rsid w:val="1E5B7F7C"/>
    <w:rsid w:val="1EA0654E"/>
    <w:rsid w:val="1EA43205"/>
    <w:rsid w:val="1EC16A83"/>
    <w:rsid w:val="1EFE68E7"/>
    <w:rsid w:val="1F3F3C03"/>
    <w:rsid w:val="1F512AEE"/>
    <w:rsid w:val="1F63002C"/>
    <w:rsid w:val="1FB262C1"/>
    <w:rsid w:val="1FB83797"/>
    <w:rsid w:val="1FBD1E67"/>
    <w:rsid w:val="1FC31B28"/>
    <w:rsid w:val="1FE37E5F"/>
    <w:rsid w:val="20067E08"/>
    <w:rsid w:val="20207CC4"/>
    <w:rsid w:val="206D026B"/>
    <w:rsid w:val="209D487B"/>
    <w:rsid w:val="20C65ED3"/>
    <w:rsid w:val="20D855DF"/>
    <w:rsid w:val="21D65D10"/>
    <w:rsid w:val="21DC13D3"/>
    <w:rsid w:val="22015C0D"/>
    <w:rsid w:val="220620E3"/>
    <w:rsid w:val="224C6FD4"/>
    <w:rsid w:val="226F2A0B"/>
    <w:rsid w:val="229B4DEB"/>
    <w:rsid w:val="22D24CAE"/>
    <w:rsid w:val="23241235"/>
    <w:rsid w:val="234277A0"/>
    <w:rsid w:val="234B187D"/>
    <w:rsid w:val="236E457B"/>
    <w:rsid w:val="23817433"/>
    <w:rsid w:val="23CC2948"/>
    <w:rsid w:val="23EA4C89"/>
    <w:rsid w:val="23FC7BFC"/>
    <w:rsid w:val="24001599"/>
    <w:rsid w:val="24610C3D"/>
    <w:rsid w:val="249C559F"/>
    <w:rsid w:val="24B0423F"/>
    <w:rsid w:val="24B42C46"/>
    <w:rsid w:val="24C279DD"/>
    <w:rsid w:val="24E84399"/>
    <w:rsid w:val="24EA7C79"/>
    <w:rsid w:val="25020159"/>
    <w:rsid w:val="250613CB"/>
    <w:rsid w:val="250F564D"/>
    <w:rsid w:val="252B1EB7"/>
    <w:rsid w:val="253D7326"/>
    <w:rsid w:val="255E785B"/>
    <w:rsid w:val="256870E0"/>
    <w:rsid w:val="25874F46"/>
    <w:rsid w:val="25B811EE"/>
    <w:rsid w:val="25C32E03"/>
    <w:rsid w:val="25D17B9A"/>
    <w:rsid w:val="25E42BF8"/>
    <w:rsid w:val="25E60A39"/>
    <w:rsid w:val="26322018"/>
    <w:rsid w:val="264136D1"/>
    <w:rsid w:val="264439EB"/>
    <w:rsid w:val="264A3FE1"/>
    <w:rsid w:val="264C74E4"/>
    <w:rsid w:val="265249D6"/>
    <w:rsid w:val="267351A5"/>
    <w:rsid w:val="26AA04BC"/>
    <w:rsid w:val="27015D0E"/>
    <w:rsid w:val="2741757B"/>
    <w:rsid w:val="275D5D26"/>
    <w:rsid w:val="275F7D29"/>
    <w:rsid w:val="276415E7"/>
    <w:rsid w:val="279D398E"/>
    <w:rsid w:val="27A45517"/>
    <w:rsid w:val="27AE5E26"/>
    <w:rsid w:val="27C747D2"/>
    <w:rsid w:val="27F154AD"/>
    <w:rsid w:val="28341582"/>
    <w:rsid w:val="28362887"/>
    <w:rsid w:val="28403FE5"/>
    <w:rsid w:val="28701767"/>
    <w:rsid w:val="28BE48E2"/>
    <w:rsid w:val="28C049EA"/>
    <w:rsid w:val="28CD627E"/>
    <w:rsid w:val="28DC6898"/>
    <w:rsid w:val="28F306BC"/>
    <w:rsid w:val="29695A4F"/>
    <w:rsid w:val="2980493E"/>
    <w:rsid w:val="29A94967"/>
    <w:rsid w:val="2A441357"/>
    <w:rsid w:val="2A544E00"/>
    <w:rsid w:val="2A6C24A7"/>
    <w:rsid w:val="2A773956"/>
    <w:rsid w:val="2A7975BE"/>
    <w:rsid w:val="2AC944BF"/>
    <w:rsid w:val="2AFA0631"/>
    <w:rsid w:val="2B467C0B"/>
    <w:rsid w:val="2B4A1E95"/>
    <w:rsid w:val="2B4F70BA"/>
    <w:rsid w:val="2B6721B0"/>
    <w:rsid w:val="2B7A135F"/>
    <w:rsid w:val="2C191EA0"/>
    <w:rsid w:val="2C2417F8"/>
    <w:rsid w:val="2C3B7CE5"/>
    <w:rsid w:val="2C6E0BE4"/>
    <w:rsid w:val="2C863E1B"/>
    <w:rsid w:val="2CA3124A"/>
    <w:rsid w:val="2CA37B48"/>
    <w:rsid w:val="2CAA2D56"/>
    <w:rsid w:val="2CB27900"/>
    <w:rsid w:val="2CE51BB8"/>
    <w:rsid w:val="2D5A78BE"/>
    <w:rsid w:val="2D8B5047"/>
    <w:rsid w:val="2D8F39A1"/>
    <w:rsid w:val="2DAC4578"/>
    <w:rsid w:val="2DB36870"/>
    <w:rsid w:val="2DB55CFC"/>
    <w:rsid w:val="2DBE3B18"/>
    <w:rsid w:val="2DCD1BB4"/>
    <w:rsid w:val="2DEA6350"/>
    <w:rsid w:val="2E260032"/>
    <w:rsid w:val="2E3737E1"/>
    <w:rsid w:val="2E380045"/>
    <w:rsid w:val="2E4B2482"/>
    <w:rsid w:val="2E704C40"/>
    <w:rsid w:val="2E9460F9"/>
    <w:rsid w:val="2E97707E"/>
    <w:rsid w:val="2EFA1D2E"/>
    <w:rsid w:val="2F055134"/>
    <w:rsid w:val="2F2E6BFF"/>
    <w:rsid w:val="2F35303F"/>
    <w:rsid w:val="2F406212"/>
    <w:rsid w:val="2F4D3910"/>
    <w:rsid w:val="2F604549"/>
    <w:rsid w:val="2FC241F2"/>
    <w:rsid w:val="2FEF2882"/>
    <w:rsid w:val="30045C2F"/>
    <w:rsid w:val="30257789"/>
    <w:rsid w:val="302D4B96"/>
    <w:rsid w:val="30727889"/>
    <w:rsid w:val="308974AE"/>
    <w:rsid w:val="30A64860"/>
    <w:rsid w:val="30D675AD"/>
    <w:rsid w:val="30DF2B6C"/>
    <w:rsid w:val="30F43D16"/>
    <w:rsid w:val="31003887"/>
    <w:rsid w:val="31380937"/>
    <w:rsid w:val="313E1E7A"/>
    <w:rsid w:val="31416C5C"/>
    <w:rsid w:val="31C85C3C"/>
    <w:rsid w:val="31CF55C7"/>
    <w:rsid w:val="31FF6116"/>
    <w:rsid w:val="321863DA"/>
    <w:rsid w:val="323B6A91"/>
    <w:rsid w:val="32424281"/>
    <w:rsid w:val="32546D64"/>
    <w:rsid w:val="326203B9"/>
    <w:rsid w:val="32ED471A"/>
    <w:rsid w:val="32EF34A0"/>
    <w:rsid w:val="330D71CD"/>
    <w:rsid w:val="330E4E8B"/>
    <w:rsid w:val="33161353"/>
    <w:rsid w:val="334E3954"/>
    <w:rsid w:val="335E270E"/>
    <w:rsid w:val="335F6FD7"/>
    <w:rsid w:val="338268DC"/>
    <w:rsid w:val="34255CC8"/>
    <w:rsid w:val="34336FAF"/>
    <w:rsid w:val="34B7500A"/>
    <w:rsid w:val="34EF0BD6"/>
    <w:rsid w:val="354635F4"/>
    <w:rsid w:val="356660A7"/>
    <w:rsid w:val="357D1550"/>
    <w:rsid w:val="358A1AD4"/>
    <w:rsid w:val="358B06A1"/>
    <w:rsid w:val="359E1A84"/>
    <w:rsid w:val="35E11274"/>
    <w:rsid w:val="35E41FA9"/>
    <w:rsid w:val="360B40D3"/>
    <w:rsid w:val="36595A3B"/>
    <w:rsid w:val="3661221B"/>
    <w:rsid w:val="36AF5145"/>
    <w:rsid w:val="36D030FB"/>
    <w:rsid w:val="36F323B6"/>
    <w:rsid w:val="373C022C"/>
    <w:rsid w:val="37807A1C"/>
    <w:rsid w:val="37903539"/>
    <w:rsid w:val="37A433E0"/>
    <w:rsid w:val="37AE0477"/>
    <w:rsid w:val="37BC7880"/>
    <w:rsid w:val="37D705C8"/>
    <w:rsid w:val="38004B22"/>
    <w:rsid w:val="38265C2B"/>
    <w:rsid w:val="3863501E"/>
    <w:rsid w:val="38681F18"/>
    <w:rsid w:val="38735D2A"/>
    <w:rsid w:val="387966B0"/>
    <w:rsid w:val="38C522B1"/>
    <w:rsid w:val="38E0491A"/>
    <w:rsid w:val="38E27663"/>
    <w:rsid w:val="39140E3A"/>
    <w:rsid w:val="394E0F10"/>
    <w:rsid w:val="39605333"/>
    <w:rsid w:val="397B107A"/>
    <w:rsid w:val="398C2739"/>
    <w:rsid w:val="39C1344E"/>
    <w:rsid w:val="39E974DB"/>
    <w:rsid w:val="3A0C25C8"/>
    <w:rsid w:val="3A250F74"/>
    <w:rsid w:val="3A5F45D1"/>
    <w:rsid w:val="3ABD5C6F"/>
    <w:rsid w:val="3ACF5B89"/>
    <w:rsid w:val="3B0405E2"/>
    <w:rsid w:val="3B3B2CBA"/>
    <w:rsid w:val="3B58006C"/>
    <w:rsid w:val="3BC14218"/>
    <w:rsid w:val="3BC80320"/>
    <w:rsid w:val="3BCD002B"/>
    <w:rsid w:val="3C0B5911"/>
    <w:rsid w:val="3C2D5AC6"/>
    <w:rsid w:val="3C4C5078"/>
    <w:rsid w:val="3C666F24"/>
    <w:rsid w:val="3C77021F"/>
    <w:rsid w:val="3C8F22E7"/>
    <w:rsid w:val="3C9157EA"/>
    <w:rsid w:val="3C94492D"/>
    <w:rsid w:val="3CFF1EEC"/>
    <w:rsid w:val="3D8C6D07"/>
    <w:rsid w:val="3DA962B7"/>
    <w:rsid w:val="3DC862F7"/>
    <w:rsid w:val="3DDA4888"/>
    <w:rsid w:val="3DDE3626"/>
    <w:rsid w:val="3E0F3A5D"/>
    <w:rsid w:val="3E3D3F7A"/>
    <w:rsid w:val="3E5D15DE"/>
    <w:rsid w:val="3EFC5C64"/>
    <w:rsid w:val="3F2A54AE"/>
    <w:rsid w:val="3F2D1CB6"/>
    <w:rsid w:val="3F337E76"/>
    <w:rsid w:val="3F495D63"/>
    <w:rsid w:val="3F4B21EC"/>
    <w:rsid w:val="3F867DC6"/>
    <w:rsid w:val="3F9D1F6A"/>
    <w:rsid w:val="3FB1448E"/>
    <w:rsid w:val="3FCA3D33"/>
    <w:rsid w:val="3FEF3F72"/>
    <w:rsid w:val="3FF019F4"/>
    <w:rsid w:val="40053F18"/>
    <w:rsid w:val="401C5798"/>
    <w:rsid w:val="40225A46"/>
    <w:rsid w:val="40457CF6"/>
    <w:rsid w:val="40505291"/>
    <w:rsid w:val="4057639D"/>
    <w:rsid w:val="40794199"/>
    <w:rsid w:val="408A19B3"/>
    <w:rsid w:val="40CF0453"/>
    <w:rsid w:val="40F0234E"/>
    <w:rsid w:val="40F0643B"/>
    <w:rsid w:val="41414714"/>
    <w:rsid w:val="415470BD"/>
    <w:rsid w:val="415C44C9"/>
    <w:rsid w:val="415E7F28"/>
    <w:rsid w:val="4185788C"/>
    <w:rsid w:val="419C13AE"/>
    <w:rsid w:val="41A73FEA"/>
    <w:rsid w:val="41B40E40"/>
    <w:rsid w:val="4220550C"/>
    <w:rsid w:val="424234C2"/>
    <w:rsid w:val="424F1C03"/>
    <w:rsid w:val="424F27D8"/>
    <w:rsid w:val="425D18FC"/>
    <w:rsid w:val="42A55765"/>
    <w:rsid w:val="42A631E7"/>
    <w:rsid w:val="42C7371B"/>
    <w:rsid w:val="42DF02D2"/>
    <w:rsid w:val="43104E14"/>
    <w:rsid w:val="43393162"/>
    <w:rsid w:val="43453FEA"/>
    <w:rsid w:val="43454BD3"/>
    <w:rsid w:val="436443AF"/>
    <w:rsid w:val="43DA7D60"/>
    <w:rsid w:val="43F23967"/>
    <w:rsid w:val="43FB625C"/>
    <w:rsid w:val="441A52C7"/>
    <w:rsid w:val="44243658"/>
    <w:rsid w:val="444621AA"/>
    <w:rsid w:val="44632243"/>
    <w:rsid w:val="448B4301"/>
    <w:rsid w:val="44A665F1"/>
    <w:rsid w:val="44AB2637"/>
    <w:rsid w:val="44C917FC"/>
    <w:rsid w:val="44D16FF4"/>
    <w:rsid w:val="44DE52DF"/>
    <w:rsid w:val="44F71432"/>
    <w:rsid w:val="44FC0160"/>
    <w:rsid w:val="45154265"/>
    <w:rsid w:val="453B44A5"/>
    <w:rsid w:val="454620A8"/>
    <w:rsid w:val="454724B5"/>
    <w:rsid w:val="455362C8"/>
    <w:rsid w:val="45845B9E"/>
    <w:rsid w:val="45AA6CD7"/>
    <w:rsid w:val="45AD67D6"/>
    <w:rsid w:val="45CF1EF0"/>
    <w:rsid w:val="45E20A8C"/>
    <w:rsid w:val="466F3D0E"/>
    <w:rsid w:val="46737A24"/>
    <w:rsid w:val="46901553"/>
    <w:rsid w:val="469F3D6C"/>
    <w:rsid w:val="46A55C75"/>
    <w:rsid w:val="46E50C5D"/>
    <w:rsid w:val="46F956FF"/>
    <w:rsid w:val="47097B32"/>
    <w:rsid w:val="47382C50"/>
    <w:rsid w:val="473A0E5B"/>
    <w:rsid w:val="474F068C"/>
    <w:rsid w:val="476617B8"/>
    <w:rsid w:val="47B270AC"/>
    <w:rsid w:val="47C118C5"/>
    <w:rsid w:val="47CA05C8"/>
    <w:rsid w:val="47D26D9C"/>
    <w:rsid w:val="47D537A4"/>
    <w:rsid w:val="47EC7861"/>
    <w:rsid w:val="481F76E0"/>
    <w:rsid w:val="48205CF0"/>
    <w:rsid w:val="48783803"/>
    <w:rsid w:val="48961A2D"/>
    <w:rsid w:val="48AE5D4E"/>
    <w:rsid w:val="48B002CA"/>
    <w:rsid w:val="48BC2DE1"/>
    <w:rsid w:val="48CA33FC"/>
    <w:rsid w:val="48F92C46"/>
    <w:rsid w:val="49162EBF"/>
    <w:rsid w:val="49551CDB"/>
    <w:rsid w:val="49582C60"/>
    <w:rsid w:val="497651E5"/>
    <w:rsid w:val="498A4734"/>
    <w:rsid w:val="49B22075"/>
    <w:rsid w:val="49CB2F9F"/>
    <w:rsid w:val="49EC3FFA"/>
    <w:rsid w:val="49EC4978"/>
    <w:rsid w:val="4A1C41B3"/>
    <w:rsid w:val="4A4B4604"/>
    <w:rsid w:val="4A566A25"/>
    <w:rsid w:val="4A7A1254"/>
    <w:rsid w:val="4A9E67FA"/>
    <w:rsid w:val="4ADC697C"/>
    <w:rsid w:val="4AE45C6A"/>
    <w:rsid w:val="4AEA6060"/>
    <w:rsid w:val="4B18258B"/>
    <w:rsid w:val="4B236A53"/>
    <w:rsid w:val="4B2A3103"/>
    <w:rsid w:val="4B3522B4"/>
    <w:rsid w:val="4B5E6BA8"/>
    <w:rsid w:val="4B683CC5"/>
    <w:rsid w:val="4B8A76FC"/>
    <w:rsid w:val="4BA15123"/>
    <w:rsid w:val="4BD33066"/>
    <w:rsid w:val="4BE41090"/>
    <w:rsid w:val="4BFD41B8"/>
    <w:rsid w:val="4C193AE8"/>
    <w:rsid w:val="4C3F54C3"/>
    <w:rsid w:val="4C5835CD"/>
    <w:rsid w:val="4C5C7A55"/>
    <w:rsid w:val="4C8F3727"/>
    <w:rsid w:val="4CA22748"/>
    <w:rsid w:val="4CE147A6"/>
    <w:rsid w:val="4CEE40EF"/>
    <w:rsid w:val="4D264F1F"/>
    <w:rsid w:val="4DBF3FC8"/>
    <w:rsid w:val="4E0A4298"/>
    <w:rsid w:val="4E244E42"/>
    <w:rsid w:val="4E287A4C"/>
    <w:rsid w:val="4E2A6A24"/>
    <w:rsid w:val="4E493D7D"/>
    <w:rsid w:val="4E501189"/>
    <w:rsid w:val="4E723934"/>
    <w:rsid w:val="4E8B5AEB"/>
    <w:rsid w:val="4E9A2882"/>
    <w:rsid w:val="4EC7464B"/>
    <w:rsid w:val="4EDF5575"/>
    <w:rsid w:val="4EE82601"/>
    <w:rsid w:val="4F722566"/>
    <w:rsid w:val="4F7A7972"/>
    <w:rsid w:val="4F7C19ED"/>
    <w:rsid w:val="4F7F767D"/>
    <w:rsid w:val="4F8E6612"/>
    <w:rsid w:val="4F9C5928"/>
    <w:rsid w:val="4FF727BF"/>
    <w:rsid w:val="50A770DF"/>
    <w:rsid w:val="50B25872"/>
    <w:rsid w:val="50E41142"/>
    <w:rsid w:val="50E83C80"/>
    <w:rsid w:val="50E84976"/>
    <w:rsid w:val="50F10148"/>
    <w:rsid w:val="51361FFF"/>
    <w:rsid w:val="51C252AD"/>
    <w:rsid w:val="51CB39BF"/>
    <w:rsid w:val="51DF5EE2"/>
    <w:rsid w:val="52400ADE"/>
    <w:rsid w:val="526F1F4E"/>
    <w:rsid w:val="52AB3BAD"/>
    <w:rsid w:val="52B95845"/>
    <w:rsid w:val="52CF44B9"/>
    <w:rsid w:val="52D005A9"/>
    <w:rsid w:val="52D27864"/>
    <w:rsid w:val="52E10F88"/>
    <w:rsid w:val="52F92CDD"/>
    <w:rsid w:val="53223085"/>
    <w:rsid w:val="5329137C"/>
    <w:rsid w:val="53514ABF"/>
    <w:rsid w:val="536B3F5C"/>
    <w:rsid w:val="537E1A3B"/>
    <w:rsid w:val="53801D8B"/>
    <w:rsid w:val="538D10A1"/>
    <w:rsid w:val="53B81EE5"/>
    <w:rsid w:val="53C75190"/>
    <w:rsid w:val="53CD308F"/>
    <w:rsid w:val="53E95F37"/>
    <w:rsid w:val="5430412D"/>
    <w:rsid w:val="543350B2"/>
    <w:rsid w:val="54537B65"/>
    <w:rsid w:val="54B13782"/>
    <w:rsid w:val="54C17E31"/>
    <w:rsid w:val="54D75BC0"/>
    <w:rsid w:val="54E75E4E"/>
    <w:rsid w:val="54EC5F00"/>
    <w:rsid w:val="54F41075"/>
    <w:rsid w:val="554A0930"/>
    <w:rsid w:val="559D43FA"/>
    <w:rsid w:val="55B15523"/>
    <w:rsid w:val="55BB08CE"/>
    <w:rsid w:val="55F31810"/>
    <w:rsid w:val="56112EA9"/>
    <w:rsid w:val="563325F9"/>
    <w:rsid w:val="56634F6B"/>
    <w:rsid w:val="5665084A"/>
    <w:rsid w:val="567771EF"/>
    <w:rsid w:val="56794219"/>
    <w:rsid w:val="56FE5647"/>
    <w:rsid w:val="572004CE"/>
    <w:rsid w:val="5732471A"/>
    <w:rsid w:val="57545F54"/>
    <w:rsid w:val="576E3E36"/>
    <w:rsid w:val="57A005D2"/>
    <w:rsid w:val="57BC5768"/>
    <w:rsid w:val="57D62605"/>
    <w:rsid w:val="58017371"/>
    <w:rsid w:val="582B01B6"/>
    <w:rsid w:val="58456B61"/>
    <w:rsid w:val="584667E1"/>
    <w:rsid w:val="58880CE4"/>
    <w:rsid w:val="58A310F9"/>
    <w:rsid w:val="58C73406"/>
    <w:rsid w:val="58D21C48"/>
    <w:rsid w:val="58FD4AA4"/>
    <w:rsid w:val="591D2FC1"/>
    <w:rsid w:val="59440C82"/>
    <w:rsid w:val="594B060D"/>
    <w:rsid w:val="596404E6"/>
    <w:rsid w:val="597D752C"/>
    <w:rsid w:val="598E457A"/>
    <w:rsid w:val="59903300"/>
    <w:rsid w:val="59A71783"/>
    <w:rsid w:val="59BB1BC6"/>
    <w:rsid w:val="59BD7DED"/>
    <w:rsid w:val="5A024538"/>
    <w:rsid w:val="5A146C55"/>
    <w:rsid w:val="5A57632C"/>
    <w:rsid w:val="5A6432D8"/>
    <w:rsid w:val="5A6B64E6"/>
    <w:rsid w:val="5A715E71"/>
    <w:rsid w:val="5AAE2453"/>
    <w:rsid w:val="5AC445F6"/>
    <w:rsid w:val="5AE252E1"/>
    <w:rsid w:val="5B28431B"/>
    <w:rsid w:val="5B4361C9"/>
    <w:rsid w:val="5B4A22D1"/>
    <w:rsid w:val="5B987E52"/>
    <w:rsid w:val="5BEF0861"/>
    <w:rsid w:val="5BF1122A"/>
    <w:rsid w:val="5C5D76A8"/>
    <w:rsid w:val="5C9238ED"/>
    <w:rsid w:val="5CBC1717"/>
    <w:rsid w:val="5CC03FFF"/>
    <w:rsid w:val="5CD06C55"/>
    <w:rsid w:val="5CD42D46"/>
    <w:rsid w:val="5D196F37"/>
    <w:rsid w:val="5D477F26"/>
    <w:rsid w:val="5D4F4FA5"/>
    <w:rsid w:val="5D560B25"/>
    <w:rsid w:val="5D9C7622"/>
    <w:rsid w:val="5E0B23A4"/>
    <w:rsid w:val="5E0D2DD9"/>
    <w:rsid w:val="5E277206"/>
    <w:rsid w:val="5E311346"/>
    <w:rsid w:val="5E3D335A"/>
    <w:rsid w:val="5E5C63DC"/>
    <w:rsid w:val="5E6E1B79"/>
    <w:rsid w:val="5E751504"/>
    <w:rsid w:val="5E7E7C15"/>
    <w:rsid w:val="5E7F2B1D"/>
    <w:rsid w:val="5E803118"/>
    <w:rsid w:val="5E9479C8"/>
    <w:rsid w:val="5EA57AD5"/>
    <w:rsid w:val="5EC24ED2"/>
    <w:rsid w:val="5EEB49C6"/>
    <w:rsid w:val="5EFF55AD"/>
    <w:rsid w:val="5F3C6491"/>
    <w:rsid w:val="5F455138"/>
    <w:rsid w:val="5F701788"/>
    <w:rsid w:val="5F8261BE"/>
    <w:rsid w:val="5F9B12E6"/>
    <w:rsid w:val="5FB3698D"/>
    <w:rsid w:val="5FEE624D"/>
    <w:rsid w:val="5FFA163D"/>
    <w:rsid w:val="60210FF8"/>
    <w:rsid w:val="60446F8A"/>
    <w:rsid w:val="60605BAC"/>
    <w:rsid w:val="60A46301"/>
    <w:rsid w:val="60A8111F"/>
    <w:rsid w:val="60B802FB"/>
    <w:rsid w:val="6126686F"/>
    <w:rsid w:val="61472627"/>
    <w:rsid w:val="61633BDA"/>
    <w:rsid w:val="616C4DE5"/>
    <w:rsid w:val="618E4F99"/>
    <w:rsid w:val="61B23647"/>
    <w:rsid w:val="61D66A13"/>
    <w:rsid w:val="61E240B5"/>
    <w:rsid w:val="61E33B45"/>
    <w:rsid w:val="6239395F"/>
    <w:rsid w:val="626F590C"/>
    <w:rsid w:val="6278621C"/>
    <w:rsid w:val="627D26A4"/>
    <w:rsid w:val="62AE4D4A"/>
    <w:rsid w:val="62C45016"/>
    <w:rsid w:val="62F97A6F"/>
    <w:rsid w:val="634C5CEC"/>
    <w:rsid w:val="637349EC"/>
    <w:rsid w:val="638031CB"/>
    <w:rsid w:val="63FE5340"/>
    <w:rsid w:val="64132F2C"/>
    <w:rsid w:val="64F92069"/>
    <w:rsid w:val="65040DC9"/>
    <w:rsid w:val="650664D0"/>
    <w:rsid w:val="65262602"/>
    <w:rsid w:val="652A6814"/>
    <w:rsid w:val="65355760"/>
    <w:rsid w:val="65407929"/>
    <w:rsid w:val="656D4F75"/>
    <w:rsid w:val="65AE4AC5"/>
    <w:rsid w:val="65BE5104"/>
    <w:rsid w:val="660541EF"/>
    <w:rsid w:val="66325FB7"/>
    <w:rsid w:val="663372BC"/>
    <w:rsid w:val="66724822"/>
    <w:rsid w:val="6682709B"/>
    <w:rsid w:val="66F10A4A"/>
    <w:rsid w:val="673113AB"/>
    <w:rsid w:val="67390D68"/>
    <w:rsid w:val="67547394"/>
    <w:rsid w:val="6759381B"/>
    <w:rsid w:val="67593ED7"/>
    <w:rsid w:val="677243C5"/>
    <w:rsid w:val="678C7059"/>
    <w:rsid w:val="67A55E99"/>
    <w:rsid w:val="67C718D1"/>
    <w:rsid w:val="68014F2E"/>
    <w:rsid w:val="681770D1"/>
    <w:rsid w:val="689C6431"/>
    <w:rsid w:val="68AC152E"/>
    <w:rsid w:val="68E35521"/>
    <w:rsid w:val="69075AE0"/>
    <w:rsid w:val="69205385"/>
    <w:rsid w:val="694B1A4D"/>
    <w:rsid w:val="695323C7"/>
    <w:rsid w:val="69680529"/>
    <w:rsid w:val="69EA7D86"/>
    <w:rsid w:val="6A234BBF"/>
    <w:rsid w:val="6A491970"/>
    <w:rsid w:val="6A636C96"/>
    <w:rsid w:val="6AAA4E8C"/>
    <w:rsid w:val="6AFC4C97"/>
    <w:rsid w:val="6B023115"/>
    <w:rsid w:val="6B244B56"/>
    <w:rsid w:val="6B410883"/>
    <w:rsid w:val="6B663041"/>
    <w:rsid w:val="6B977093"/>
    <w:rsid w:val="6BD15F74"/>
    <w:rsid w:val="6BEA109C"/>
    <w:rsid w:val="6BEE421F"/>
    <w:rsid w:val="6BFA38B5"/>
    <w:rsid w:val="6C494D21"/>
    <w:rsid w:val="6C793376"/>
    <w:rsid w:val="6C7C1180"/>
    <w:rsid w:val="6C924D2D"/>
    <w:rsid w:val="6CA901D5"/>
    <w:rsid w:val="6D1E5C16"/>
    <w:rsid w:val="6D23209D"/>
    <w:rsid w:val="6D401C96"/>
    <w:rsid w:val="6D4F0278"/>
    <w:rsid w:val="6D736D4F"/>
    <w:rsid w:val="6D8E174D"/>
    <w:rsid w:val="6D9D06E2"/>
    <w:rsid w:val="6DAA75C3"/>
    <w:rsid w:val="6E06100F"/>
    <w:rsid w:val="6E200CBB"/>
    <w:rsid w:val="6E50180B"/>
    <w:rsid w:val="6E5B1FD7"/>
    <w:rsid w:val="6EE75201"/>
    <w:rsid w:val="6F2A49F1"/>
    <w:rsid w:val="6F5D06C3"/>
    <w:rsid w:val="6F92569A"/>
    <w:rsid w:val="6FB25BCF"/>
    <w:rsid w:val="70416737"/>
    <w:rsid w:val="704973C7"/>
    <w:rsid w:val="706459F2"/>
    <w:rsid w:val="708F1B04"/>
    <w:rsid w:val="70E237AF"/>
    <w:rsid w:val="710C1A65"/>
    <w:rsid w:val="711F0324"/>
    <w:rsid w:val="71365D4B"/>
    <w:rsid w:val="71891F52"/>
    <w:rsid w:val="71920663"/>
    <w:rsid w:val="71A053FA"/>
    <w:rsid w:val="71D77AD2"/>
    <w:rsid w:val="71FF19B7"/>
    <w:rsid w:val="720D7BCD"/>
    <w:rsid w:val="724636AF"/>
    <w:rsid w:val="72652BB9"/>
    <w:rsid w:val="726915C0"/>
    <w:rsid w:val="72B574C1"/>
    <w:rsid w:val="72BA5B47"/>
    <w:rsid w:val="72C806E0"/>
    <w:rsid w:val="731458B8"/>
    <w:rsid w:val="736C596A"/>
    <w:rsid w:val="73711DF2"/>
    <w:rsid w:val="73D51B16"/>
    <w:rsid w:val="73ED2C3A"/>
    <w:rsid w:val="73FA6E86"/>
    <w:rsid w:val="740F09F7"/>
    <w:rsid w:val="742C2525"/>
    <w:rsid w:val="74376338"/>
    <w:rsid w:val="74572EAA"/>
    <w:rsid w:val="7464244A"/>
    <w:rsid w:val="746626FF"/>
    <w:rsid w:val="748C3843"/>
    <w:rsid w:val="74D31A39"/>
    <w:rsid w:val="74E106B7"/>
    <w:rsid w:val="753D7067"/>
    <w:rsid w:val="75593736"/>
    <w:rsid w:val="756423FC"/>
    <w:rsid w:val="75700D85"/>
    <w:rsid w:val="75715F41"/>
    <w:rsid w:val="75845FDA"/>
    <w:rsid w:val="75967579"/>
    <w:rsid w:val="75D00657"/>
    <w:rsid w:val="75ED7F88"/>
    <w:rsid w:val="75FD0222"/>
    <w:rsid w:val="762C0D71"/>
    <w:rsid w:val="76497732"/>
    <w:rsid w:val="76595CC4"/>
    <w:rsid w:val="76637BC6"/>
    <w:rsid w:val="76691AD0"/>
    <w:rsid w:val="76890F73"/>
    <w:rsid w:val="768A7DF4"/>
    <w:rsid w:val="770F4753"/>
    <w:rsid w:val="77166770"/>
    <w:rsid w:val="774C5BDF"/>
    <w:rsid w:val="777B0693"/>
    <w:rsid w:val="779F1B4C"/>
    <w:rsid w:val="77ED76CD"/>
    <w:rsid w:val="77F11957"/>
    <w:rsid w:val="785E4509"/>
    <w:rsid w:val="787F24BF"/>
    <w:rsid w:val="79121A2E"/>
    <w:rsid w:val="795E2CE3"/>
    <w:rsid w:val="79722D4C"/>
    <w:rsid w:val="798C6C5F"/>
    <w:rsid w:val="79EB43CD"/>
    <w:rsid w:val="7A126AE1"/>
    <w:rsid w:val="7A461E2B"/>
    <w:rsid w:val="7A521A99"/>
    <w:rsid w:val="7A527E3C"/>
    <w:rsid w:val="7A6E3EE9"/>
    <w:rsid w:val="7AA541F8"/>
    <w:rsid w:val="7ABE2378"/>
    <w:rsid w:val="7AC21775"/>
    <w:rsid w:val="7AFB3926"/>
    <w:rsid w:val="7AFC60D6"/>
    <w:rsid w:val="7B0A57DF"/>
    <w:rsid w:val="7B4B5E55"/>
    <w:rsid w:val="7B8D2142"/>
    <w:rsid w:val="7BA41111"/>
    <w:rsid w:val="7BDB4440"/>
    <w:rsid w:val="7BF5086D"/>
    <w:rsid w:val="7BFC3589"/>
    <w:rsid w:val="7C185614"/>
    <w:rsid w:val="7C4F43FE"/>
    <w:rsid w:val="7C7001B6"/>
    <w:rsid w:val="7C9570F1"/>
    <w:rsid w:val="7CBC65BD"/>
    <w:rsid w:val="7CD02D3B"/>
    <w:rsid w:val="7D1A2FE3"/>
    <w:rsid w:val="7D2B397D"/>
    <w:rsid w:val="7D2F59D0"/>
    <w:rsid w:val="7D3A787F"/>
    <w:rsid w:val="7D9C40A0"/>
    <w:rsid w:val="7DD56578"/>
    <w:rsid w:val="7E086FD3"/>
    <w:rsid w:val="7E1B01F2"/>
    <w:rsid w:val="7E350D9C"/>
    <w:rsid w:val="7E352FE9"/>
    <w:rsid w:val="7E36681D"/>
    <w:rsid w:val="7E37429F"/>
    <w:rsid w:val="7E886628"/>
    <w:rsid w:val="7EB54B6D"/>
    <w:rsid w:val="7EB61EE5"/>
    <w:rsid w:val="7F330CBF"/>
    <w:rsid w:val="7F45445C"/>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qFormat/>
    <w:uiPriority w:val="0"/>
    <w:pPr>
      <w:keepNext/>
      <w:keepLines/>
      <w:spacing w:before="340" w:after="330" w:line="576" w:lineRule="auto"/>
      <w:outlineLvl w:val="0"/>
    </w:pPr>
    <w:rPr>
      <w:b/>
      <w:kern w:val="44"/>
      <w:sz w:val="44"/>
    </w:rPr>
  </w:style>
  <w:style w:type="paragraph" w:styleId="5">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paragraph" w:styleId="7">
    <w:name w:val="heading 4"/>
    <w:basedOn w:val="1"/>
    <w:next w:val="1"/>
    <w:unhideWhenUsed/>
    <w:qFormat/>
    <w:uiPriority w:val="9"/>
    <w:pPr>
      <w:keepNext/>
      <w:keepLines/>
      <w:outlineLvl w:val="3"/>
    </w:pPr>
    <w:rPr>
      <w:rFonts w:eastAsiaTheme="majorEastAsia" w:cstheme="majorBidi"/>
      <w:bCs/>
      <w:sz w:val="28"/>
      <w:szCs w:val="28"/>
    </w:rPr>
  </w:style>
  <w:style w:type="character" w:default="1" w:styleId="16">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rFonts w:ascii="Times New Roman" w:hAnsi="Times New Roman" w:eastAsia="宋体" w:cs="Times New Roman"/>
      <w:szCs w:val="24"/>
    </w:rPr>
  </w:style>
  <w:style w:type="paragraph" w:styleId="3">
    <w:name w:val="Title"/>
    <w:next w:val="1"/>
    <w:qFormat/>
    <w:uiPriority w:val="0"/>
    <w:pPr>
      <w:widowControl w:val="0"/>
      <w:spacing w:line="480" w:lineRule="atLeast"/>
      <w:jc w:val="center"/>
    </w:pPr>
    <w:rPr>
      <w:rFonts w:ascii="Times New Roman" w:hAnsi="Times New Roman" w:eastAsia="宋体" w:cs="Times New Roman"/>
      <w:kern w:val="2"/>
      <w:sz w:val="32"/>
      <w:szCs w:val="24"/>
      <w:lang w:val="en-US" w:eastAsia="zh-CN" w:bidi="ar-SA"/>
    </w:rPr>
  </w:style>
  <w:style w:type="paragraph" w:styleId="8">
    <w:name w:val="annotation text"/>
    <w:basedOn w:val="1"/>
    <w:qFormat/>
    <w:uiPriority w:val="0"/>
    <w:pPr>
      <w:jc w:val="left"/>
    </w:pPr>
  </w:style>
  <w:style w:type="paragraph" w:styleId="9">
    <w:name w:val="Plain Text"/>
    <w:basedOn w:val="1"/>
    <w:next w:val="7"/>
    <w:qFormat/>
    <w:uiPriority w:val="0"/>
    <w:rPr>
      <w:rFonts w:ascii="宋体" w:hAnsi="Courier New" w:cs="Courier New"/>
      <w:szCs w:val="21"/>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0"/>
  </w:style>
  <w:style w:type="paragraph" w:styleId="13">
    <w:name w:val="toc 2"/>
    <w:basedOn w:val="1"/>
    <w:next w:val="1"/>
    <w:qFormat/>
    <w:uiPriority w:val="0"/>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0"/>
  </w:style>
  <w:style w:type="paragraph" w:customStyle="1" w:styleId="18">
    <w:name w:val="目录 21"/>
    <w:basedOn w:val="1"/>
    <w:next w:val="1"/>
    <w:qFormat/>
    <w:uiPriority w:val="0"/>
    <w:pPr>
      <w:spacing w:before="100" w:beforeAutospacing="1" w:after="100" w:afterAutospacing="1"/>
      <w:ind w:left="420" w:leftChars="200"/>
    </w:pPr>
  </w:style>
  <w:style w:type="paragraph" w:customStyle="1" w:styleId="19">
    <w:name w:val="标题1"/>
    <w:basedOn w:val="5"/>
    <w:next w:val="1"/>
    <w:qFormat/>
    <w:uiPriority w:val="0"/>
    <w:pPr>
      <w:numPr>
        <w:ilvl w:val="0"/>
        <w:numId w:val="1"/>
      </w:numPr>
    </w:pPr>
    <w:rPr>
      <w:rFonts w:hAnsi="黑体"/>
    </w:rPr>
  </w:style>
  <w:style w:type="paragraph" w:customStyle="1" w:styleId="20">
    <w:name w:val="首页项目名称"/>
    <w:link w:val="22"/>
    <w:qFormat/>
    <w:uiPriority w:val="0"/>
    <w:pPr>
      <w:jc w:val="center"/>
    </w:pPr>
    <w:rPr>
      <w:rFonts w:ascii="Times New Roman" w:hAnsi="Times New Roman" w:eastAsia="隶书" w:cs="Times New Roman"/>
      <w:sz w:val="52"/>
      <w:lang w:val="en-US" w:eastAsia="zh-CN" w:bidi="ar-SA"/>
    </w:rPr>
  </w:style>
  <w:style w:type="paragraph" w:customStyle="1" w:styleId="21">
    <w:name w:val="首页日期"/>
    <w:basedOn w:val="1"/>
    <w:link w:val="23"/>
    <w:qFormat/>
    <w:uiPriority w:val="0"/>
    <w:pPr>
      <w:jc w:val="center"/>
    </w:pPr>
    <w:rPr>
      <w:rFonts w:eastAsia="楷体"/>
      <w:sz w:val="32"/>
    </w:rPr>
  </w:style>
  <w:style w:type="character" w:customStyle="1" w:styleId="22">
    <w:name w:val="首页项目名称 Char"/>
    <w:link w:val="20"/>
    <w:qFormat/>
    <w:uiPriority w:val="0"/>
    <w:rPr>
      <w:rFonts w:ascii="Times New Roman" w:hAnsi="Times New Roman" w:eastAsia="隶书"/>
      <w:sz w:val="52"/>
    </w:rPr>
  </w:style>
  <w:style w:type="character" w:customStyle="1" w:styleId="23">
    <w:name w:val="首页日期 Char"/>
    <w:link w:val="21"/>
    <w:qFormat/>
    <w:uiPriority w:val="0"/>
    <w:rPr>
      <w:rFonts w:ascii="Times New Roman" w:hAnsi="Times New Roman" w:eastAsia="楷体"/>
      <w:sz w:val="32"/>
    </w:rPr>
  </w:style>
  <w:style w:type="paragraph" w:customStyle="1" w:styleId="24">
    <w:name w:val="一标题"/>
    <w:link w:val="25"/>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5">
    <w:name w:val="一标题 Char"/>
    <w:link w:val="24"/>
    <w:qFormat/>
    <w:uiPriority w:val="0"/>
    <w:rPr>
      <w:rFonts w:ascii="宋体" w:hAnsi="宋体" w:eastAsia="宋体" w:cs="Times New Roman"/>
      <w:b/>
      <w:sz w:val="24"/>
    </w:rPr>
  </w:style>
  <w:style w:type="paragraph" w:customStyle="1" w:styleId="26">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7">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928</Words>
  <Characters>5291</Characters>
  <Lines>44</Lines>
  <Paragraphs>12</Paragraphs>
  <TotalTime>1</TotalTime>
  <ScaleCrop>false</ScaleCrop>
  <LinksUpToDate>false</LinksUpToDate>
  <CharactersWithSpaces>6207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hongchuanhai900820</cp:lastModifiedBy>
  <dcterms:modified xsi:type="dcterms:W3CDTF">2024-09-06T06:23:23Z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8AC681100E784BD88A8EF8D156BD9F65_13</vt:lpwstr>
  </property>
</Properties>
</file>