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jc w:val="center"/>
        <w:rPr>
          <w:rFonts w:ascii="隶书" w:eastAsia="隶书"/>
          <w:sz w:val="56"/>
          <w:szCs w:val="56"/>
        </w:rPr>
      </w:pPr>
      <w:bookmarkStart w:id="0" w:name="_Toc1572"/>
      <w:bookmarkStart w:id="1" w:name="_Toc6059"/>
    </w:p>
    <w:p>
      <w:pPr>
        <w:pStyle w:val="6"/>
        <w:jc w:val="center"/>
        <w:rPr>
          <w:rFonts w:ascii="隶书" w:eastAsia="隶书"/>
          <w:sz w:val="56"/>
          <w:szCs w:val="56"/>
        </w:rPr>
      </w:pPr>
    </w:p>
    <w:p>
      <w:pPr>
        <w:spacing w:line="360" w:lineRule="auto"/>
        <w:jc w:val="center"/>
        <w:rPr>
          <w:rFonts w:hint="eastAsia" w:ascii="黑体" w:hAnsi="黑体" w:eastAsia="黑体" w:cs="黑体"/>
          <w:kern w:val="2"/>
          <w:sz w:val="52"/>
          <w:szCs w:val="52"/>
          <w:lang w:val="en-US" w:eastAsia="zh-CN" w:bidi="ar-SA"/>
        </w:rPr>
      </w:pPr>
      <w:r>
        <w:rPr>
          <w:rFonts w:hint="eastAsia" w:ascii="黑体" w:hAnsi="黑体" w:eastAsia="黑体" w:cs="黑体"/>
          <w:kern w:val="2"/>
          <w:sz w:val="52"/>
          <w:szCs w:val="52"/>
          <w:lang w:val="en-US" w:eastAsia="zh-CN" w:bidi="ar-SA"/>
        </w:rPr>
        <w:t>220千伏天河棠下柔直背靠背工程</w:t>
      </w:r>
    </w:p>
    <w:p>
      <w:pPr>
        <w:pStyle w:val="6"/>
        <w:jc w:val="center"/>
        <w:rPr>
          <w:rFonts w:ascii="隶书" w:eastAsia="隶书"/>
          <w:sz w:val="48"/>
          <w:szCs w:val="48"/>
        </w:rPr>
      </w:pPr>
      <w:r>
        <w:rPr>
          <w:rFonts w:hint="eastAsia" w:ascii="黑体" w:hAnsi="黑体" w:eastAsia="黑体" w:cs="黑体"/>
          <w:kern w:val="2"/>
          <w:sz w:val="52"/>
          <w:szCs w:val="52"/>
          <w:lang w:val="en-US" w:eastAsia="zh-CN" w:bidi="ar-SA"/>
        </w:rPr>
        <w:t>结构抗震技术研究</w:t>
      </w:r>
    </w:p>
    <w:p>
      <w:pPr>
        <w:pStyle w:val="6"/>
        <w:jc w:val="center"/>
        <w:rPr>
          <w:rFonts w:ascii="隶书" w:eastAsia="隶书"/>
          <w:sz w:val="48"/>
          <w:szCs w:val="48"/>
        </w:rPr>
      </w:pPr>
    </w:p>
    <w:p>
      <w:pPr>
        <w:pStyle w:val="6"/>
        <w:jc w:val="center"/>
        <w:rPr>
          <w:rFonts w:ascii="隶书" w:eastAsia="隶书"/>
          <w:sz w:val="48"/>
          <w:szCs w:val="48"/>
        </w:rPr>
      </w:pPr>
    </w:p>
    <w:p>
      <w:pPr>
        <w:pStyle w:val="6"/>
        <w:jc w:val="center"/>
        <w:rPr>
          <w:rFonts w:ascii="黑体" w:hAnsi="黑体" w:eastAsia="黑体" w:cs="黑体"/>
          <w:sz w:val="52"/>
          <w:szCs w:val="52"/>
        </w:rPr>
      </w:pPr>
      <w:r>
        <w:rPr>
          <w:rFonts w:hint="eastAsia" w:ascii="黑体" w:hAnsi="黑体" w:eastAsia="黑体" w:cs="黑体"/>
          <w:sz w:val="52"/>
          <w:szCs w:val="52"/>
        </w:rPr>
        <w:t>技术规范书</w:t>
      </w:r>
    </w:p>
    <w:p>
      <w:pPr>
        <w:spacing w:before="156" w:beforeLines="50"/>
        <w:rPr>
          <w:rFonts w:ascii="楷体_GB2312" w:hAnsi="宋体" w:eastAsia="楷体_GB2312"/>
          <w:sz w:val="32"/>
          <w:szCs w:val="32"/>
        </w:rPr>
      </w:pPr>
    </w:p>
    <w:p>
      <w:pPr>
        <w:spacing w:before="156" w:beforeLines="50"/>
        <w:jc w:val="center"/>
        <w:rPr>
          <w:rFonts w:ascii="楷体_GB2312" w:hAnsi="宋体" w:eastAsia="楷体_GB2312"/>
          <w:sz w:val="32"/>
          <w:szCs w:val="32"/>
        </w:rPr>
      </w:pPr>
    </w:p>
    <w:p>
      <w:pPr>
        <w:spacing w:before="156" w:beforeLines="50"/>
        <w:rPr>
          <w:rFonts w:ascii="楷体_GB2312" w:hAnsi="宋体" w:eastAsia="楷体_GB2312"/>
          <w:sz w:val="32"/>
          <w:szCs w:val="32"/>
        </w:rPr>
      </w:pPr>
    </w:p>
    <w:p>
      <w:pPr>
        <w:pStyle w:val="19"/>
        <w:rPr>
          <w:rStyle w:val="21"/>
          <w:rFonts w:ascii="黑体" w:hAnsi="黑体" w:eastAsia="黑体" w:cs="黑体"/>
        </w:rPr>
      </w:pPr>
    </w:p>
    <w:p>
      <w:pPr>
        <w:pStyle w:val="19"/>
        <w:rPr>
          <w:rStyle w:val="21"/>
          <w:rFonts w:ascii="黑体" w:hAnsi="黑体" w:eastAsia="黑体" w:cs="黑体"/>
        </w:rPr>
      </w:pPr>
    </w:p>
    <w:p>
      <w:pPr>
        <w:pStyle w:val="19"/>
        <w:rPr>
          <w:rFonts w:ascii="黑体" w:hAnsi="黑体" w:eastAsia="黑体" w:cs="黑体"/>
        </w:rPr>
        <w:sectPr>
          <w:pgSz w:w="11906" w:h="16838"/>
          <w:pgMar w:top="1440" w:right="1800" w:bottom="1440" w:left="1800" w:header="851" w:footer="992" w:gutter="0"/>
          <w:cols w:space="425" w:num="1"/>
          <w:docGrid w:type="lines" w:linePitch="312" w:charSpace="0"/>
        </w:sectPr>
      </w:pPr>
      <w:r>
        <w:rPr>
          <w:rStyle w:val="21"/>
          <w:rFonts w:hint="eastAsia" w:ascii="黑体" w:hAnsi="黑体" w:eastAsia="黑体" w:cs="黑体"/>
        </w:rPr>
        <w:t>2024年7月</w:t>
      </w:r>
    </w:p>
    <w:p>
      <w:pPr>
        <w:snapToGrid w:val="0"/>
        <w:spacing w:line="360" w:lineRule="auto"/>
        <w:jc w:val="center"/>
        <w:rPr>
          <w:rFonts w:ascii="黑体" w:hAnsi="黑体" w:eastAsia="黑体" w:cs="黑体"/>
          <w:bCs/>
          <w:sz w:val="44"/>
          <w:szCs w:val="36"/>
        </w:rPr>
      </w:pPr>
      <w:bookmarkStart w:id="2" w:name="_Toc30850"/>
      <w:r>
        <w:rPr>
          <w:rFonts w:hint="eastAsia" w:ascii="黑体" w:hAnsi="黑体" w:eastAsia="黑体" w:cs="黑体"/>
          <w:bCs/>
          <w:sz w:val="44"/>
          <w:szCs w:val="36"/>
        </w:rPr>
        <w:t>目 录</w:t>
      </w:r>
      <w:bookmarkEnd w:id="0"/>
      <w:bookmarkEnd w:id="1"/>
      <w:bookmarkEnd w:id="2"/>
    </w:p>
    <w:p>
      <w:pPr>
        <w:pStyle w:val="9"/>
        <w:keepNext w:val="0"/>
        <w:keepLines w:val="0"/>
        <w:pageBreakBefore w:val="0"/>
        <w:widowControl w:val="0"/>
        <w:tabs>
          <w:tab w:val="right" w:leader="dot" w:pos="8306"/>
        </w:tabs>
        <w:kinsoku/>
        <w:wordWrap/>
        <w:overflowPunct/>
        <w:topLinePunct w:val="0"/>
        <w:autoSpaceDE/>
        <w:autoSpaceDN/>
        <w:bidi w:val="0"/>
        <w:adjustRightIn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TOC \o "1-2" \h \u </w:instrText>
      </w:r>
      <w:r>
        <w:rPr>
          <w:rFonts w:hint="eastAsia" w:ascii="宋体" w:hAnsi="宋体" w:eastAsia="宋体" w:cs="宋体"/>
          <w:sz w:val="24"/>
          <w:szCs w:val="24"/>
        </w:rPr>
        <w:fldChar w:fldCharType="separate"/>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_Toc9693 </w:instrText>
      </w:r>
      <w:r>
        <w:rPr>
          <w:rFonts w:hint="eastAsia" w:ascii="宋体" w:hAnsi="宋体" w:eastAsia="宋体" w:cs="宋体"/>
          <w:sz w:val="24"/>
          <w:szCs w:val="24"/>
        </w:rPr>
        <w:fldChar w:fldCharType="separate"/>
      </w:r>
      <w:r>
        <w:rPr>
          <w:rFonts w:hint="eastAsia" w:ascii="宋体" w:hAnsi="宋体" w:eastAsia="宋体" w:cs="宋体"/>
          <w:sz w:val="24"/>
          <w:szCs w:val="24"/>
        </w:rPr>
        <w:t>总 则</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_Toc9693 \h </w:instrText>
      </w:r>
      <w:r>
        <w:rPr>
          <w:rFonts w:hint="eastAsia" w:ascii="宋体" w:hAnsi="宋体" w:eastAsia="宋体" w:cs="宋体"/>
          <w:sz w:val="24"/>
          <w:szCs w:val="24"/>
        </w:rPr>
        <w:fldChar w:fldCharType="separate"/>
      </w:r>
      <w:r>
        <w:rPr>
          <w:rFonts w:hint="eastAsia" w:ascii="宋体" w:hAnsi="宋体" w:eastAsia="宋体" w:cs="宋体"/>
          <w:sz w:val="24"/>
          <w:szCs w:val="24"/>
        </w:rPr>
        <w:t>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_Toc762 </w:instrText>
      </w:r>
      <w:r>
        <w:rPr>
          <w:rFonts w:hint="eastAsia" w:ascii="宋体" w:hAnsi="宋体" w:eastAsia="宋体" w:cs="宋体"/>
          <w:sz w:val="24"/>
          <w:szCs w:val="24"/>
        </w:rPr>
        <w:fldChar w:fldCharType="separate"/>
      </w:r>
      <w:r>
        <w:rPr>
          <w:rFonts w:hint="eastAsia" w:ascii="宋体" w:hAnsi="宋体" w:eastAsia="宋体" w:cs="宋体"/>
          <w:sz w:val="24"/>
          <w:szCs w:val="24"/>
        </w:rPr>
        <w:t>1  标的概况</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_Toc762 \h </w:instrText>
      </w:r>
      <w:r>
        <w:rPr>
          <w:rFonts w:hint="eastAsia" w:ascii="宋体" w:hAnsi="宋体" w:eastAsia="宋体" w:cs="宋体"/>
          <w:sz w:val="24"/>
          <w:szCs w:val="24"/>
        </w:rPr>
        <w:fldChar w:fldCharType="separate"/>
      </w:r>
      <w:r>
        <w:rPr>
          <w:rFonts w:hint="eastAsia" w:ascii="宋体" w:hAnsi="宋体" w:eastAsia="宋体" w:cs="宋体"/>
          <w:sz w:val="24"/>
          <w:szCs w:val="24"/>
        </w:rPr>
        <w:t>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_Toc30728 </w:instrText>
      </w:r>
      <w:r>
        <w:rPr>
          <w:rFonts w:hint="eastAsia" w:ascii="宋体" w:hAnsi="宋体" w:eastAsia="宋体" w:cs="宋体"/>
          <w:sz w:val="24"/>
          <w:szCs w:val="24"/>
        </w:rPr>
        <w:fldChar w:fldCharType="separate"/>
      </w:r>
      <w:r>
        <w:rPr>
          <w:rFonts w:hint="eastAsia" w:ascii="宋体" w:hAnsi="宋体" w:eastAsia="宋体" w:cs="宋体"/>
          <w:sz w:val="24"/>
          <w:szCs w:val="24"/>
        </w:rPr>
        <w:t>2  研究内容及目的</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_Toc30728 \h </w:instrText>
      </w:r>
      <w:r>
        <w:rPr>
          <w:rFonts w:hint="eastAsia" w:ascii="宋体" w:hAnsi="宋体" w:eastAsia="宋体" w:cs="宋体"/>
          <w:sz w:val="24"/>
          <w:szCs w:val="24"/>
        </w:rPr>
        <w:fldChar w:fldCharType="separate"/>
      </w:r>
      <w:r>
        <w:rPr>
          <w:rFonts w:hint="eastAsia" w:ascii="宋体" w:hAnsi="宋体" w:eastAsia="宋体" w:cs="宋体"/>
          <w:sz w:val="24"/>
          <w:szCs w:val="24"/>
        </w:rPr>
        <w:t>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0"/>
        <w:keepNext w:val="0"/>
        <w:keepLines w:val="0"/>
        <w:pageBreakBefore w:val="0"/>
        <w:widowControl w:val="0"/>
        <w:tabs>
          <w:tab w:val="right" w:leader="dot" w:pos="8306"/>
          <w:tab w:val="clear" w:pos="8302"/>
        </w:tabs>
        <w:kinsoku/>
        <w:wordWrap/>
        <w:overflowPunct/>
        <w:topLinePunct w:val="0"/>
        <w:autoSpaceDE/>
        <w:autoSpaceDN/>
        <w:bidi w:val="0"/>
        <w:adjustRightIn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_Toc24409 </w:instrText>
      </w:r>
      <w:r>
        <w:rPr>
          <w:rFonts w:hint="eastAsia" w:ascii="宋体" w:hAnsi="宋体" w:eastAsia="宋体" w:cs="宋体"/>
          <w:sz w:val="24"/>
          <w:szCs w:val="24"/>
        </w:rPr>
        <w:fldChar w:fldCharType="separate"/>
      </w:r>
      <w:r>
        <w:rPr>
          <w:rFonts w:hint="eastAsia" w:ascii="宋体" w:hAnsi="宋体" w:eastAsia="宋体" w:cs="宋体"/>
          <w:bCs/>
          <w:sz w:val="24"/>
          <w:szCs w:val="24"/>
        </w:rPr>
        <w:t>2.1 研究内容</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_Toc24409 \h </w:instrText>
      </w:r>
      <w:r>
        <w:rPr>
          <w:rFonts w:hint="eastAsia" w:ascii="宋体" w:hAnsi="宋体" w:eastAsia="宋体" w:cs="宋体"/>
          <w:sz w:val="24"/>
          <w:szCs w:val="24"/>
        </w:rPr>
        <w:fldChar w:fldCharType="separate"/>
      </w:r>
      <w:r>
        <w:rPr>
          <w:rFonts w:hint="eastAsia" w:ascii="宋体" w:hAnsi="宋体" w:eastAsia="宋体" w:cs="宋体"/>
          <w:sz w:val="24"/>
          <w:szCs w:val="24"/>
        </w:rPr>
        <w:t>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0"/>
        <w:keepNext w:val="0"/>
        <w:keepLines w:val="0"/>
        <w:pageBreakBefore w:val="0"/>
        <w:widowControl w:val="0"/>
        <w:tabs>
          <w:tab w:val="right" w:leader="dot" w:pos="8306"/>
          <w:tab w:val="clear" w:pos="8302"/>
        </w:tabs>
        <w:kinsoku/>
        <w:wordWrap/>
        <w:overflowPunct/>
        <w:topLinePunct w:val="0"/>
        <w:autoSpaceDE/>
        <w:autoSpaceDN/>
        <w:bidi w:val="0"/>
        <w:adjustRightIn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_Toc21224 </w:instrText>
      </w:r>
      <w:r>
        <w:rPr>
          <w:rFonts w:hint="eastAsia" w:ascii="宋体" w:hAnsi="宋体" w:eastAsia="宋体" w:cs="宋体"/>
          <w:sz w:val="24"/>
          <w:szCs w:val="24"/>
        </w:rPr>
        <w:fldChar w:fldCharType="separate"/>
      </w:r>
      <w:r>
        <w:rPr>
          <w:rFonts w:hint="eastAsia" w:ascii="宋体" w:hAnsi="宋体" w:eastAsia="宋体" w:cs="宋体"/>
          <w:bCs/>
          <w:sz w:val="24"/>
          <w:szCs w:val="24"/>
        </w:rPr>
        <w:t>2.2 研究目的</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_Toc21224 \h </w:instrText>
      </w:r>
      <w:r>
        <w:rPr>
          <w:rFonts w:hint="eastAsia" w:ascii="宋体" w:hAnsi="宋体" w:eastAsia="宋体" w:cs="宋体"/>
          <w:sz w:val="24"/>
          <w:szCs w:val="24"/>
        </w:rPr>
        <w:fldChar w:fldCharType="separate"/>
      </w:r>
      <w:r>
        <w:rPr>
          <w:rFonts w:hint="eastAsia" w:ascii="宋体" w:hAnsi="宋体" w:eastAsia="宋体" w:cs="宋体"/>
          <w:sz w:val="24"/>
          <w:szCs w:val="24"/>
        </w:rPr>
        <w:t>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_Toc17641 </w:instrText>
      </w:r>
      <w:r>
        <w:rPr>
          <w:rFonts w:hint="eastAsia" w:ascii="宋体" w:hAnsi="宋体" w:eastAsia="宋体" w:cs="宋体"/>
          <w:sz w:val="24"/>
          <w:szCs w:val="24"/>
        </w:rPr>
        <w:fldChar w:fldCharType="separate"/>
      </w:r>
      <w:r>
        <w:rPr>
          <w:rFonts w:hint="eastAsia" w:ascii="宋体" w:hAnsi="宋体" w:eastAsia="宋体" w:cs="宋体"/>
          <w:sz w:val="24"/>
          <w:szCs w:val="24"/>
        </w:rPr>
        <w:t>3  主要技术指标要求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_Toc17641 \h </w:instrText>
      </w:r>
      <w:r>
        <w:rPr>
          <w:rFonts w:hint="eastAsia" w:ascii="宋体" w:hAnsi="宋体" w:eastAsia="宋体" w:cs="宋体"/>
          <w:sz w:val="24"/>
          <w:szCs w:val="24"/>
        </w:rPr>
        <w:fldChar w:fldCharType="separate"/>
      </w:r>
      <w:r>
        <w:rPr>
          <w:rFonts w:hint="eastAsia" w:ascii="宋体" w:hAnsi="宋体" w:eastAsia="宋体" w:cs="宋体"/>
          <w:sz w:val="24"/>
          <w:szCs w:val="24"/>
        </w:rPr>
        <w:t>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_Toc27980 </w:instrText>
      </w:r>
      <w:r>
        <w:rPr>
          <w:rFonts w:hint="eastAsia" w:ascii="宋体" w:hAnsi="宋体" w:eastAsia="宋体" w:cs="宋体"/>
          <w:sz w:val="24"/>
          <w:szCs w:val="24"/>
        </w:rPr>
        <w:fldChar w:fldCharType="separate"/>
      </w:r>
      <w:r>
        <w:rPr>
          <w:rFonts w:hint="eastAsia" w:ascii="宋体" w:hAnsi="宋体" w:eastAsia="宋体" w:cs="宋体"/>
          <w:sz w:val="24"/>
          <w:szCs w:val="24"/>
        </w:rPr>
        <w:t>4  时间进度要求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_Toc27980 \h </w:instrText>
      </w:r>
      <w:r>
        <w:rPr>
          <w:rFonts w:hint="eastAsia" w:ascii="宋体" w:hAnsi="宋体" w:eastAsia="宋体" w:cs="宋体"/>
          <w:sz w:val="24"/>
          <w:szCs w:val="24"/>
        </w:rPr>
        <w:fldChar w:fldCharType="separate"/>
      </w:r>
      <w:r>
        <w:rPr>
          <w:rFonts w:hint="eastAsia" w:ascii="宋体" w:hAnsi="宋体" w:eastAsia="宋体" w:cs="宋体"/>
          <w:sz w:val="24"/>
          <w:szCs w:val="24"/>
        </w:rPr>
        <w:t>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_Toc2980 </w:instrText>
      </w:r>
      <w:r>
        <w:rPr>
          <w:rFonts w:hint="eastAsia" w:ascii="宋体" w:hAnsi="宋体" w:eastAsia="宋体" w:cs="宋体"/>
          <w:sz w:val="24"/>
          <w:szCs w:val="24"/>
        </w:rPr>
        <w:fldChar w:fldCharType="separate"/>
      </w:r>
      <w:r>
        <w:rPr>
          <w:rFonts w:hint="eastAsia" w:ascii="宋体" w:hAnsi="宋体" w:eastAsia="宋体" w:cs="宋体"/>
          <w:sz w:val="24"/>
          <w:szCs w:val="24"/>
        </w:rPr>
        <w:t>5  成果交付与验收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_Toc2980 \h </w:instrText>
      </w:r>
      <w:r>
        <w:rPr>
          <w:rFonts w:hint="eastAsia" w:ascii="宋体" w:hAnsi="宋体" w:eastAsia="宋体" w:cs="宋体"/>
          <w:sz w:val="24"/>
          <w:szCs w:val="24"/>
        </w:rPr>
        <w:fldChar w:fldCharType="separate"/>
      </w:r>
      <w:r>
        <w:rPr>
          <w:rFonts w:hint="eastAsia" w:ascii="宋体" w:hAnsi="宋体" w:eastAsia="宋体" w:cs="宋体"/>
          <w:sz w:val="24"/>
          <w:szCs w:val="24"/>
        </w:rPr>
        <w:t>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0"/>
        <w:keepNext w:val="0"/>
        <w:keepLines w:val="0"/>
        <w:pageBreakBefore w:val="0"/>
        <w:widowControl w:val="0"/>
        <w:tabs>
          <w:tab w:val="right" w:leader="dot" w:pos="8306"/>
          <w:tab w:val="clear" w:pos="8302"/>
        </w:tabs>
        <w:kinsoku/>
        <w:wordWrap/>
        <w:overflowPunct/>
        <w:topLinePunct w:val="0"/>
        <w:autoSpaceDE/>
        <w:autoSpaceDN/>
        <w:bidi w:val="0"/>
        <w:adjustRightIn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_Toc29192 </w:instrText>
      </w:r>
      <w:r>
        <w:rPr>
          <w:rFonts w:hint="eastAsia" w:ascii="宋体" w:hAnsi="宋体" w:eastAsia="宋体" w:cs="宋体"/>
          <w:sz w:val="24"/>
          <w:szCs w:val="24"/>
        </w:rPr>
        <w:fldChar w:fldCharType="separate"/>
      </w:r>
      <w:r>
        <w:rPr>
          <w:rFonts w:hint="eastAsia" w:ascii="宋体" w:hAnsi="宋体" w:eastAsia="宋体" w:cs="宋体"/>
          <w:bCs/>
          <w:sz w:val="24"/>
          <w:szCs w:val="24"/>
        </w:rPr>
        <w:t>5.1 成果形式及数量要求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_Toc29192 \h </w:instrText>
      </w:r>
      <w:r>
        <w:rPr>
          <w:rFonts w:hint="eastAsia" w:ascii="宋体" w:hAnsi="宋体" w:eastAsia="宋体" w:cs="宋体"/>
          <w:sz w:val="24"/>
          <w:szCs w:val="24"/>
        </w:rPr>
        <w:fldChar w:fldCharType="separate"/>
      </w:r>
      <w:r>
        <w:rPr>
          <w:rFonts w:hint="eastAsia" w:ascii="宋体" w:hAnsi="宋体" w:eastAsia="宋体" w:cs="宋体"/>
          <w:sz w:val="24"/>
          <w:szCs w:val="24"/>
        </w:rPr>
        <w:t>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0"/>
        <w:keepNext w:val="0"/>
        <w:keepLines w:val="0"/>
        <w:pageBreakBefore w:val="0"/>
        <w:widowControl w:val="0"/>
        <w:tabs>
          <w:tab w:val="right" w:leader="dot" w:pos="8306"/>
          <w:tab w:val="clear" w:pos="8302"/>
        </w:tabs>
        <w:kinsoku/>
        <w:wordWrap/>
        <w:overflowPunct/>
        <w:topLinePunct w:val="0"/>
        <w:autoSpaceDE/>
        <w:autoSpaceDN/>
        <w:bidi w:val="0"/>
        <w:adjustRightIn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_Toc8902 </w:instrText>
      </w:r>
      <w:r>
        <w:rPr>
          <w:rFonts w:hint="eastAsia" w:ascii="宋体" w:hAnsi="宋体" w:eastAsia="宋体" w:cs="宋体"/>
          <w:sz w:val="24"/>
          <w:szCs w:val="24"/>
        </w:rPr>
        <w:fldChar w:fldCharType="separate"/>
      </w:r>
      <w:r>
        <w:rPr>
          <w:rFonts w:hint="eastAsia" w:ascii="宋体" w:hAnsi="宋体" w:eastAsia="宋体" w:cs="宋体"/>
          <w:bCs/>
          <w:sz w:val="24"/>
          <w:szCs w:val="24"/>
        </w:rPr>
        <w:t>★5.2 成果的权属要求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_Toc8902 \h </w:instrText>
      </w:r>
      <w:r>
        <w:rPr>
          <w:rFonts w:hint="eastAsia" w:ascii="宋体" w:hAnsi="宋体" w:eastAsia="宋体" w:cs="宋体"/>
          <w:sz w:val="24"/>
          <w:szCs w:val="24"/>
        </w:rPr>
        <w:fldChar w:fldCharType="separate"/>
      </w:r>
      <w:r>
        <w:rPr>
          <w:rFonts w:hint="eastAsia" w:ascii="宋体" w:hAnsi="宋体" w:eastAsia="宋体" w:cs="宋体"/>
          <w:sz w:val="24"/>
          <w:szCs w:val="24"/>
        </w:rPr>
        <w:t>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0"/>
        <w:keepNext w:val="0"/>
        <w:keepLines w:val="0"/>
        <w:pageBreakBefore w:val="0"/>
        <w:widowControl w:val="0"/>
        <w:tabs>
          <w:tab w:val="right" w:leader="dot" w:pos="8306"/>
          <w:tab w:val="clear" w:pos="8302"/>
        </w:tabs>
        <w:kinsoku/>
        <w:wordWrap/>
        <w:overflowPunct/>
        <w:topLinePunct w:val="0"/>
        <w:autoSpaceDE/>
        <w:autoSpaceDN/>
        <w:bidi w:val="0"/>
        <w:adjustRightIn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_Toc11323 </w:instrText>
      </w:r>
      <w:r>
        <w:rPr>
          <w:rFonts w:hint="eastAsia" w:ascii="宋体" w:hAnsi="宋体" w:eastAsia="宋体" w:cs="宋体"/>
          <w:sz w:val="24"/>
          <w:szCs w:val="24"/>
        </w:rPr>
        <w:fldChar w:fldCharType="separate"/>
      </w:r>
      <w:r>
        <w:rPr>
          <w:rFonts w:hint="eastAsia" w:ascii="宋体" w:hAnsi="宋体" w:eastAsia="宋体" w:cs="宋体"/>
          <w:bCs/>
          <w:sz w:val="24"/>
          <w:szCs w:val="24"/>
        </w:rPr>
        <w:t>5.3成果验收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_Toc11323 \h </w:instrText>
      </w:r>
      <w:r>
        <w:rPr>
          <w:rFonts w:hint="eastAsia" w:ascii="宋体" w:hAnsi="宋体" w:eastAsia="宋体" w:cs="宋体"/>
          <w:sz w:val="24"/>
          <w:szCs w:val="24"/>
        </w:rPr>
        <w:fldChar w:fldCharType="separate"/>
      </w:r>
      <w:r>
        <w:rPr>
          <w:rFonts w:hint="eastAsia" w:ascii="宋体" w:hAnsi="宋体" w:eastAsia="宋体" w:cs="宋体"/>
          <w:sz w:val="24"/>
          <w:szCs w:val="24"/>
        </w:rPr>
        <w:t>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_Toc9856 </w:instrText>
      </w:r>
      <w:r>
        <w:rPr>
          <w:rFonts w:hint="eastAsia" w:ascii="宋体" w:hAnsi="宋体" w:eastAsia="宋体" w:cs="宋体"/>
          <w:sz w:val="24"/>
          <w:szCs w:val="24"/>
        </w:rPr>
        <w:fldChar w:fldCharType="separate"/>
      </w:r>
      <w:r>
        <w:rPr>
          <w:rFonts w:hint="eastAsia" w:ascii="宋体" w:hAnsi="宋体" w:eastAsia="宋体" w:cs="宋体"/>
          <w:sz w:val="24"/>
          <w:szCs w:val="24"/>
        </w:rPr>
        <w:t>6  投标技术文件要求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_Toc9856 \h </w:instrText>
      </w:r>
      <w:r>
        <w:rPr>
          <w:rFonts w:hint="eastAsia" w:ascii="宋体" w:hAnsi="宋体" w:eastAsia="宋体" w:cs="宋体"/>
          <w:sz w:val="24"/>
          <w:szCs w:val="24"/>
        </w:rPr>
        <w:fldChar w:fldCharType="separate"/>
      </w:r>
      <w:r>
        <w:rPr>
          <w:rFonts w:hint="eastAsia" w:ascii="宋体" w:hAnsi="宋体" w:eastAsia="宋体" w:cs="宋体"/>
          <w:sz w:val="24"/>
          <w:szCs w:val="24"/>
        </w:rPr>
        <w:t>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0"/>
        <w:keepNext w:val="0"/>
        <w:keepLines w:val="0"/>
        <w:pageBreakBefore w:val="0"/>
        <w:widowControl w:val="0"/>
        <w:tabs>
          <w:tab w:val="right" w:leader="dot" w:pos="8306"/>
          <w:tab w:val="clear" w:pos="8302"/>
        </w:tabs>
        <w:kinsoku/>
        <w:wordWrap/>
        <w:overflowPunct/>
        <w:topLinePunct w:val="0"/>
        <w:autoSpaceDE/>
        <w:autoSpaceDN/>
        <w:bidi w:val="0"/>
        <w:adjustRightIn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_Toc30389 </w:instrText>
      </w:r>
      <w:r>
        <w:rPr>
          <w:rFonts w:hint="eastAsia" w:ascii="宋体" w:hAnsi="宋体" w:eastAsia="宋体" w:cs="宋体"/>
          <w:sz w:val="24"/>
          <w:szCs w:val="24"/>
        </w:rPr>
        <w:fldChar w:fldCharType="separate"/>
      </w:r>
      <w:r>
        <w:rPr>
          <w:rFonts w:hint="eastAsia" w:ascii="宋体" w:hAnsi="宋体" w:eastAsia="宋体" w:cs="宋体"/>
          <w:bCs/>
          <w:sz w:val="24"/>
          <w:szCs w:val="24"/>
        </w:rPr>
        <w:t>6.1 研究方案</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_Toc30389 \h </w:instrText>
      </w:r>
      <w:r>
        <w:rPr>
          <w:rFonts w:hint="eastAsia" w:ascii="宋体" w:hAnsi="宋体" w:eastAsia="宋体" w:cs="宋体"/>
          <w:sz w:val="24"/>
          <w:szCs w:val="24"/>
        </w:rPr>
        <w:fldChar w:fldCharType="separate"/>
      </w:r>
      <w:r>
        <w:rPr>
          <w:rFonts w:hint="eastAsia" w:ascii="宋体" w:hAnsi="宋体" w:eastAsia="宋体" w:cs="宋体"/>
          <w:sz w:val="24"/>
          <w:szCs w:val="24"/>
        </w:rPr>
        <w:t>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0"/>
        <w:keepNext w:val="0"/>
        <w:keepLines w:val="0"/>
        <w:pageBreakBefore w:val="0"/>
        <w:widowControl w:val="0"/>
        <w:tabs>
          <w:tab w:val="right" w:leader="dot" w:pos="8306"/>
          <w:tab w:val="clear" w:pos="8302"/>
        </w:tabs>
        <w:kinsoku/>
        <w:wordWrap/>
        <w:overflowPunct/>
        <w:topLinePunct w:val="0"/>
        <w:autoSpaceDE/>
        <w:autoSpaceDN/>
        <w:bidi w:val="0"/>
        <w:adjustRightIn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_Toc58 </w:instrText>
      </w:r>
      <w:r>
        <w:rPr>
          <w:rFonts w:hint="eastAsia" w:ascii="宋体" w:hAnsi="宋体" w:eastAsia="宋体" w:cs="宋体"/>
          <w:sz w:val="24"/>
          <w:szCs w:val="24"/>
        </w:rPr>
        <w:fldChar w:fldCharType="separate"/>
      </w:r>
      <w:r>
        <w:rPr>
          <w:rFonts w:hint="eastAsia" w:ascii="宋体" w:hAnsi="宋体" w:eastAsia="宋体" w:cs="宋体"/>
          <w:bCs/>
          <w:sz w:val="24"/>
          <w:szCs w:val="24"/>
        </w:rPr>
        <w:t>6.2 项目管理实施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_Toc58 \h </w:instrText>
      </w:r>
      <w:r>
        <w:rPr>
          <w:rFonts w:hint="eastAsia" w:ascii="宋体" w:hAnsi="宋体" w:eastAsia="宋体" w:cs="宋体"/>
          <w:sz w:val="24"/>
          <w:szCs w:val="24"/>
        </w:rPr>
        <w:fldChar w:fldCharType="separate"/>
      </w:r>
      <w:r>
        <w:rPr>
          <w:rFonts w:hint="eastAsia" w:ascii="宋体" w:hAnsi="宋体" w:eastAsia="宋体" w:cs="宋体"/>
          <w:sz w:val="24"/>
          <w:szCs w:val="24"/>
        </w:rPr>
        <w:t>8</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0"/>
        <w:keepNext w:val="0"/>
        <w:keepLines w:val="0"/>
        <w:pageBreakBefore w:val="0"/>
        <w:widowControl w:val="0"/>
        <w:tabs>
          <w:tab w:val="right" w:leader="dot" w:pos="8306"/>
          <w:tab w:val="clear" w:pos="8302"/>
        </w:tabs>
        <w:kinsoku/>
        <w:wordWrap/>
        <w:overflowPunct/>
        <w:topLinePunct w:val="0"/>
        <w:autoSpaceDE/>
        <w:autoSpaceDN/>
        <w:bidi w:val="0"/>
        <w:adjustRightIn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_Toc4016 </w:instrText>
      </w:r>
      <w:r>
        <w:rPr>
          <w:rFonts w:hint="eastAsia" w:ascii="宋体" w:hAnsi="宋体" w:eastAsia="宋体" w:cs="宋体"/>
          <w:sz w:val="24"/>
          <w:szCs w:val="24"/>
        </w:rPr>
        <w:fldChar w:fldCharType="separate"/>
      </w:r>
      <w:r>
        <w:rPr>
          <w:rFonts w:hint="eastAsia" w:ascii="宋体" w:hAnsi="宋体" w:eastAsia="宋体" w:cs="宋体"/>
          <w:bCs/>
          <w:sz w:val="24"/>
          <w:szCs w:val="24"/>
        </w:rPr>
        <w:t>6.3 项目技术支撑能力</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_Toc4016 \h </w:instrText>
      </w:r>
      <w:r>
        <w:rPr>
          <w:rFonts w:hint="eastAsia" w:ascii="宋体" w:hAnsi="宋体" w:eastAsia="宋体" w:cs="宋体"/>
          <w:sz w:val="24"/>
          <w:szCs w:val="24"/>
        </w:rPr>
        <w:fldChar w:fldCharType="separate"/>
      </w:r>
      <w:r>
        <w:rPr>
          <w:rFonts w:hint="eastAsia" w:ascii="宋体" w:hAnsi="宋体" w:eastAsia="宋体" w:cs="宋体"/>
          <w:sz w:val="24"/>
          <w:szCs w:val="24"/>
        </w:rPr>
        <w:t>8</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0"/>
        <w:keepNext w:val="0"/>
        <w:keepLines w:val="0"/>
        <w:pageBreakBefore w:val="0"/>
        <w:widowControl w:val="0"/>
        <w:tabs>
          <w:tab w:val="right" w:leader="dot" w:pos="8306"/>
          <w:tab w:val="clear" w:pos="8302"/>
        </w:tabs>
        <w:kinsoku/>
        <w:wordWrap/>
        <w:overflowPunct/>
        <w:topLinePunct w:val="0"/>
        <w:autoSpaceDE/>
        <w:autoSpaceDN/>
        <w:bidi w:val="0"/>
        <w:adjustRightIn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_Toc19950 </w:instrText>
      </w:r>
      <w:r>
        <w:rPr>
          <w:rFonts w:hint="eastAsia" w:ascii="宋体" w:hAnsi="宋体" w:eastAsia="宋体" w:cs="宋体"/>
          <w:sz w:val="24"/>
          <w:szCs w:val="24"/>
        </w:rPr>
        <w:fldChar w:fldCharType="separate"/>
      </w:r>
      <w:r>
        <w:rPr>
          <w:rFonts w:hint="eastAsia" w:ascii="宋体" w:hAnsi="宋体" w:eastAsia="宋体" w:cs="宋体"/>
          <w:bCs/>
          <w:sz w:val="24"/>
          <w:szCs w:val="24"/>
        </w:rPr>
        <w:t>6.4 服务承诺</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_Toc19950 \h </w:instrText>
      </w:r>
      <w:r>
        <w:rPr>
          <w:rFonts w:hint="eastAsia" w:ascii="宋体" w:hAnsi="宋体" w:eastAsia="宋体" w:cs="宋体"/>
          <w:sz w:val="24"/>
          <w:szCs w:val="24"/>
        </w:rPr>
        <w:fldChar w:fldCharType="separate"/>
      </w:r>
      <w:r>
        <w:rPr>
          <w:rFonts w:hint="eastAsia" w:ascii="宋体" w:hAnsi="宋体" w:eastAsia="宋体" w:cs="宋体"/>
          <w:sz w:val="24"/>
          <w:szCs w:val="24"/>
        </w:rPr>
        <w:t>8</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0"/>
        <w:keepNext w:val="0"/>
        <w:keepLines w:val="0"/>
        <w:pageBreakBefore w:val="0"/>
        <w:widowControl w:val="0"/>
        <w:tabs>
          <w:tab w:val="right" w:leader="dot" w:pos="8306"/>
          <w:tab w:val="clear" w:pos="8302"/>
        </w:tabs>
        <w:kinsoku/>
        <w:wordWrap/>
        <w:overflowPunct/>
        <w:topLinePunct w:val="0"/>
        <w:autoSpaceDE/>
        <w:autoSpaceDN/>
        <w:bidi w:val="0"/>
        <w:adjustRightIn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_Toc15164 </w:instrText>
      </w:r>
      <w:r>
        <w:rPr>
          <w:rFonts w:hint="eastAsia" w:ascii="宋体" w:hAnsi="宋体" w:eastAsia="宋体" w:cs="宋体"/>
          <w:sz w:val="24"/>
          <w:szCs w:val="24"/>
        </w:rPr>
        <w:fldChar w:fldCharType="separate"/>
      </w:r>
      <w:r>
        <w:rPr>
          <w:rFonts w:hint="eastAsia" w:ascii="宋体" w:hAnsi="宋体" w:eastAsia="宋体" w:cs="宋体"/>
          <w:bCs/>
          <w:sz w:val="24"/>
          <w:szCs w:val="24"/>
        </w:rPr>
        <w:t>6.5 技术差异表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_Toc15164 \h </w:instrText>
      </w:r>
      <w:r>
        <w:rPr>
          <w:rFonts w:hint="eastAsia" w:ascii="宋体" w:hAnsi="宋体" w:eastAsia="宋体" w:cs="宋体"/>
          <w:sz w:val="24"/>
          <w:szCs w:val="24"/>
        </w:rPr>
        <w:fldChar w:fldCharType="separate"/>
      </w:r>
      <w:r>
        <w:rPr>
          <w:rFonts w:hint="eastAsia" w:ascii="宋体" w:hAnsi="宋体" w:eastAsia="宋体" w:cs="宋体"/>
          <w:sz w:val="24"/>
          <w:szCs w:val="24"/>
        </w:rPr>
        <w:t>8</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10"/>
        <w:keepNext w:val="0"/>
        <w:keepLines w:val="0"/>
        <w:pageBreakBefore w:val="0"/>
        <w:widowControl w:val="0"/>
        <w:tabs>
          <w:tab w:val="right" w:leader="dot" w:pos="8306"/>
          <w:tab w:val="clear" w:pos="8302"/>
        </w:tabs>
        <w:kinsoku/>
        <w:wordWrap/>
        <w:overflowPunct/>
        <w:topLinePunct w:val="0"/>
        <w:autoSpaceDE/>
        <w:autoSpaceDN/>
        <w:bidi w:val="0"/>
        <w:adjustRightIn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_Toc29035 </w:instrText>
      </w:r>
      <w:r>
        <w:rPr>
          <w:rFonts w:hint="eastAsia" w:ascii="宋体" w:hAnsi="宋体" w:eastAsia="宋体" w:cs="宋体"/>
          <w:sz w:val="24"/>
          <w:szCs w:val="24"/>
        </w:rPr>
        <w:fldChar w:fldCharType="separate"/>
      </w:r>
      <w:r>
        <w:rPr>
          <w:rFonts w:hint="eastAsia" w:ascii="宋体" w:hAnsi="宋体" w:eastAsia="宋体" w:cs="宋体"/>
          <w:sz w:val="24"/>
          <w:szCs w:val="24"/>
        </w:rPr>
        <w:t>6.6 其它补充说明</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_Toc29035 \h </w:instrText>
      </w:r>
      <w:r>
        <w:rPr>
          <w:rFonts w:hint="eastAsia" w:ascii="宋体" w:hAnsi="宋体" w:eastAsia="宋体" w:cs="宋体"/>
          <w:sz w:val="24"/>
          <w:szCs w:val="24"/>
        </w:rPr>
        <w:fldChar w:fldCharType="separate"/>
      </w:r>
      <w:r>
        <w:rPr>
          <w:rFonts w:hint="eastAsia" w:ascii="宋体" w:hAnsi="宋体" w:eastAsia="宋体" w:cs="宋体"/>
          <w:sz w:val="24"/>
          <w:szCs w:val="24"/>
        </w:rPr>
        <w:t>9</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val="0"/>
        <w:spacing w:line="360" w:lineRule="auto"/>
        <w:textAlignment w:val="auto"/>
        <w:rPr>
          <w:rFonts w:ascii="黑体" w:hAnsi="黑体" w:eastAsia="黑体" w:cs="黑体"/>
          <w:b/>
          <w:sz w:val="24"/>
        </w:rPr>
      </w:pPr>
      <w:r>
        <w:rPr>
          <w:rFonts w:hint="eastAsia" w:ascii="宋体" w:hAnsi="宋体" w:eastAsia="宋体" w:cs="宋体"/>
          <w:sz w:val="24"/>
          <w:szCs w:val="24"/>
        </w:rPr>
        <w:fldChar w:fldCharType="end"/>
      </w:r>
    </w:p>
    <w:p>
      <w:pPr>
        <w:spacing w:line="480" w:lineRule="auto"/>
        <w:jc w:val="center"/>
        <w:outlineLvl w:val="0"/>
        <w:rPr>
          <w:rFonts w:hint="eastAsia" w:ascii="宋体" w:hAnsi="宋体"/>
          <w:b/>
          <w:sz w:val="32"/>
        </w:rPr>
        <w:sectPr>
          <w:pgSz w:w="11906" w:h="16838"/>
          <w:pgMar w:top="1440" w:right="1800" w:bottom="1440" w:left="1800" w:header="851" w:footer="992" w:gutter="0"/>
          <w:pgNumType w:start="1"/>
          <w:cols w:space="425" w:num="1"/>
          <w:docGrid w:type="lines" w:linePitch="312" w:charSpace="0"/>
        </w:sectPr>
      </w:pPr>
      <w:bookmarkStart w:id="3" w:name="_Toc266713645"/>
      <w:bookmarkStart w:id="4" w:name="_Toc32374"/>
      <w:bookmarkStart w:id="5" w:name="_Toc17586"/>
      <w:bookmarkStart w:id="6" w:name="_Toc19589"/>
    </w:p>
    <w:p>
      <w:pPr>
        <w:spacing w:line="480" w:lineRule="auto"/>
        <w:jc w:val="center"/>
        <w:outlineLvl w:val="0"/>
        <w:rPr>
          <w:rFonts w:ascii="宋体" w:hAnsi="宋体"/>
          <w:b/>
          <w:sz w:val="32"/>
        </w:rPr>
      </w:pPr>
      <w:bookmarkStart w:id="7" w:name="_Toc9693"/>
      <w:r>
        <w:rPr>
          <w:rFonts w:hint="eastAsia" w:ascii="宋体" w:hAnsi="宋体"/>
          <w:b/>
          <w:sz w:val="32"/>
        </w:rPr>
        <w:t>总 则</w:t>
      </w:r>
      <w:bookmarkEnd w:id="3"/>
      <w:bookmarkEnd w:id="4"/>
      <w:bookmarkEnd w:id="5"/>
      <w:bookmarkEnd w:id="6"/>
      <w:bookmarkEnd w:id="7"/>
    </w:p>
    <w:p>
      <w:pPr>
        <w:numPr>
          <w:ilvl w:val="0"/>
          <w:numId w:val="2"/>
        </w:numPr>
        <w:spacing w:line="360" w:lineRule="auto"/>
        <w:rPr>
          <w:rFonts w:ascii="宋体" w:hAnsi="宋体"/>
          <w:bCs/>
          <w:sz w:val="24"/>
        </w:rPr>
      </w:pPr>
      <w:r>
        <w:rPr>
          <w:rFonts w:hint="eastAsia" w:ascii="宋体" w:hAnsi="宋体"/>
          <w:bCs/>
          <w:sz w:val="24"/>
        </w:rPr>
        <w:t>本文件为该采购项目的技术招标文件。</w:t>
      </w:r>
    </w:p>
    <w:p>
      <w:pPr>
        <w:numPr>
          <w:ilvl w:val="0"/>
          <w:numId w:val="2"/>
        </w:numPr>
        <w:spacing w:line="360" w:lineRule="auto"/>
        <w:rPr>
          <w:rFonts w:ascii="宋体" w:hAnsi="宋体"/>
          <w:bCs/>
          <w:sz w:val="24"/>
        </w:rPr>
      </w:pPr>
      <w:r>
        <w:rPr>
          <w:rFonts w:hint="eastAsia" w:ascii="宋体" w:hAnsi="宋体"/>
          <w:bCs/>
          <w:sz w:val="24"/>
        </w:rPr>
        <w:t>本文件所描述的各</w:t>
      </w:r>
      <w:r>
        <w:rPr>
          <w:rFonts w:hint="eastAsia" w:hAnsi="宋体"/>
          <w:bCs/>
          <w:sz w:val="24"/>
        </w:rPr>
        <w:t>项技术要求</w:t>
      </w:r>
      <w:r>
        <w:rPr>
          <w:rFonts w:hint="eastAsia" w:ascii="宋体" w:hAnsi="宋体"/>
          <w:bCs/>
          <w:sz w:val="24"/>
        </w:rPr>
        <w:t>仅供投标方编制投标文件之用。</w:t>
      </w:r>
    </w:p>
    <w:p>
      <w:pPr>
        <w:numPr>
          <w:ilvl w:val="0"/>
          <w:numId w:val="2"/>
        </w:numPr>
        <w:spacing w:line="360" w:lineRule="auto"/>
        <w:rPr>
          <w:rFonts w:ascii="宋体" w:hAnsi="宋体"/>
          <w:bCs/>
          <w:sz w:val="24"/>
        </w:rPr>
      </w:pPr>
      <w:r>
        <w:rPr>
          <w:rFonts w:hint="eastAsia" w:ascii="宋体" w:hAnsi="宋体"/>
          <w:bCs/>
          <w:sz w:val="24"/>
        </w:rPr>
        <w:t>本标书仅描述基本的技术需求，并未对一切技术细节做出规定，也未充分引述有关标准和技术条文，投标方应根据需求目标提供进一步具体的可满足要求的</w:t>
      </w:r>
      <w:r>
        <w:rPr>
          <w:rFonts w:hint="eastAsia" w:hAnsi="宋体"/>
          <w:bCs/>
          <w:sz w:val="24"/>
        </w:rPr>
        <w:t>技术</w:t>
      </w:r>
      <w:r>
        <w:rPr>
          <w:rFonts w:hint="eastAsia" w:ascii="宋体" w:hAnsi="宋体"/>
          <w:bCs/>
          <w:sz w:val="24"/>
        </w:rPr>
        <w:t>指标。</w:t>
      </w:r>
    </w:p>
    <w:p>
      <w:pPr>
        <w:numPr>
          <w:ilvl w:val="0"/>
          <w:numId w:val="2"/>
        </w:numPr>
        <w:spacing w:line="360" w:lineRule="auto"/>
        <w:rPr>
          <w:rFonts w:ascii="宋体" w:hAnsi="宋体"/>
          <w:bCs/>
          <w:sz w:val="24"/>
        </w:rPr>
      </w:pPr>
      <w:r>
        <w:rPr>
          <w:rFonts w:hint="eastAsia" w:ascii="宋体" w:hAnsi="宋体"/>
          <w:bCs/>
          <w:sz w:val="24"/>
        </w:rPr>
        <w:t>投标技术文件要求文字精练、数据准确、表述及图示清晰明确，具有针对性。</w:t>
      </w:r>
    </w:p>
    <w:p>
      <w:pPr>
        <w:numPr>
          <w:ilvl w:val="0"/>
          <w:numId w:val="2"/>
        </w:numPr>
        <w:spacing w:line="360" w:lineRule="auto"/>
        <w:rPr>
          <w:rFonts w:ascii="宋体" w:hAnsi="宋体"/>
          <w:bCs/>
          <w:sz w:val="24"/>
        </w:rPr>
      </w:pPr>
      <w:r>
        <w:rPr>
          <w:rFonts w:hint="eastAsia" w:ascii="宋体" w:hAnsi="宋体"/>
          <w:bCs/>
          <w:sz w:val="24"/>
          <w:szCs w:val="22"/>
        </w:rPr>
        <w:t>投标方在投标技术文件中应对本标书逐项予以说明和答复,应如实反映投标</w:t>
      </w:r>
      <w:r>
        <w:rPr>
          <w:rFonts w:hint="eastAsia" w:hAnsi="宋体"/>
          <w:bCs/>
          <w:sz w:val="24"/>
          <w:szCs w:val="22"/>
        </w:rPr>
        <w:t>服务</w:t>
      </w:r>
      <w:r>
        <w:rPr>
          <w:rFonts w:hint="eastAsia" w:ascii="宋体" w:hAnsi="宋体"/>
          <w:bCs/>
          <w:sz w:val="24"/>
          <w:szCs w:val="22"/>
        </w:rPr>
        <w:t>与本技术规范书的技术差异。如果投标方没有提出技术差异，而在执行合同的过程中，招标方发现投标方提供的</w:t>
      </w:r>
      <w:r>
        <w:rPr>
          <w:rFonts w:hint="eastAsia" w:hAnsi="宋体"/>
          <w:bCs/>
          <w:sz w:val="24"/>
          <w:szCs w:val="22"/>
        </w:rPr>
        <w:t>服务</w:t>
      </w:r>
      <w:r>
        <w:rPr>
          <w:rFonts w:hint="eastAsia" w:ascii="宋体" w:hAnsi="宋体"/>
          <w:bCs/>
          <w:sz w:val="24"/>
          <w:szCs w:val="22"/>
        </w:rPr>
        <w:t>与其投标技术文件的条文存在差异，招标方</w:t>
      </w:r>
      <w:r>
        <w:rPr>
          <w:rFonts w:hint="eastAsia" w:hAnsi="宋体"/>
          <w:bCs/>
          <w:sz w:val="24"/>
          <w:szCs w:val="22"/>
        </w:rPr>
        <w:t>将</w:t>
      </w:r>
      <w:r>
        <w:rPr>
          <w:rFonts w:hint="eastAsia" w:ascii="宋体" w:hAnsi="宋体"/>
          <w:bCs/>
          <w:sz w:val="24"/>
          <w:szCs w:val="22"/>
        </w:rPr>
        <w:t>追究投标方违约责任</w:t>
      </w:r>
      <w:r>
        <w:rPr>
          <w:rFonts w:hint="eastAsia" w:ascii="宋体" w:hAnsi="宋体"/>
          <w:bCs/>
          <w:sz w:val="24"/>
        </w:rPr>
        <w:t>。</w:t>
      </w:r>
    </w:p>
    <w:p>
      <w:pPr>
        <w:numPr>
          <w:ilvl w:val="0"/>
          <w:numId w:val="2"/>
        </w:numPr>
        <w:spacing w:line="360" w:lineRule="auto"/>
        <w:rPr>
          <w:rFonts w:ascii="宋体" w:hAnsi="宋体"/>
          <w:bCs/>
          <w:sz w:val="24"/>
        </w:rPr>
      </w:pPr>
      <w:r>
        <w:rPr>
          <w:rFonts w:hint="eastAsia" w:ascii="宋体" w:hAnsi="宋体"/>
          <w:bCs/>
          <w:sz w:val="24"/>
          <w:szCs w:val="22"/>
        </w:rPr>
        <w:t>投标方应在投标技术部分按本技术规范书的要求</w:t>
      </w:r>
      <w:r>
        <w:rPr>
          <w:rFonts w:hint="eastAsia" w:hAnsi="宋体"/>
          <w:bCs/>
          <w:sz w:val="24"/>
          <w:szCs w:val="22"/>
        </w:rPr>
        <w:t>内容</w:t>
      </w:r>
      <w:r>
        <w:rPr>
          <w:rFonts w:hint="eastAsia" w:ascii="宋体" w:hAnsi="宋体"/>
          <w:bCs/>
          <w:sz w:val="24"/>
          <w:szCs w:val="22"/>
        </w:rPr>
        <w:t>如实详细填写投标</w:t>
      </w:r>
      <w:r>
        <w:rPr>
          <w:rFonts w:hint="eastAsia" w:hAnsi="宋体"/>
          <w:bCs/>
          <w:sz w:val="24"/>
          <w:szCs w:val="22"/>
        </w:rPr>
        <w:t>服务</w:t>
      </w:r>
      <w:r>
        <w:rPr>
          <w:rFonts w:hint="eastAsia" w:ascii="宋体" w:hAnsi="宋体"/>
          <w:bCs/>
          <w:sz w:val="24"/>
          <w:szCs w:val="22"/>
        </w:rPr>
        <w:t>的</w:t>
      </w:r>
      <w:r>
        <w:rPr>
          <w:rFonts w:hint="eastAsia" w:hAnsi="宋体"/>
          <w:bCs/>
          <w:sz w:val="24"/>
          <w:szCs w:val="22"/>
        </w:rPr>
        <w:t>范围及明细</w:t>
      </w:r>
      <w:r>
        <w:rPr>
          <w:rFonts w:hint="eastAsia" w:ascii="宋体" w:hAnsi="宋体"/>
          <w:bCs/>
          <w:sz w:val="24"/>
          <w:szCs w:val="22"/>
        </w:rPr>
        <w:t>，并在投标商务部分</w:t>
      </w:r>
      <w:r>
        <w:rPr>
          <w:rFonts w:hint="eastAsia" w:hAnsi="宋体"/>
          <w:bCs/>
          <w:sz w:val="24"/>
          <w:szCs w:val="22"/>
        </w:rPr>
        <w:t>（或报价部分）</w:t>
      </w:r>
      <w:r>
        <w:rPr>
          <w:rFonts w:hint="eastAsia" w:ascii="宋体" w:hAnsi="宋体"/>
          <w:bCs/>
          <w:sz w:val="24"/>
          <w:szCs w:val="22"/>
        </w:rPr>
        <w:t>按</w:t>
      </w:r>
      <w:r>
        <w:rPr>
          <w:rFonts w:hint="eastAsia" w:hAnsi="宋体"/>
          <w:bCs/>
          <w:sz w:val="24"/>
          <w:szCs w:val="22"/>
        </w:rPr>
        <w:t>此范围及明细</w:t>
      </w:r>
      <w:r>
        <w:rPr>
          <w:rFonts w:hint="eastAsia" w:ascii="宋体" w:hAnsi="宋体"/>
          <w:bCs/>
          <w:sz w:val="24"/>
          <w:szCs w:val="22"/>
        </w:rPr>
        <w:t>进行</w:t>
      </w:r>
      <w:r>
        <w:rPr>
          <w:rFonts w:hint="eastAsia" w:hAnsi="宋体"/>
          <w:bCs/>
          <w:sz w:val="24"/>
          <w:szCs w:val="22"/>
        </w:rPr>
        <w:t>分项</w:t>
      </w:r>
      <w:r>
        <w:rPr>
          <w:rFonts w:hint="eastAsia" w:ascii="宋体" w:hAnsi="宋体"/>
          <w:bCs/>
          <w:sz w:val="24"/>
          <w:szCs w:val="22"/>
        </w:rPr>
        <w:t>报价，如发现</w:t>
      </w:r>
      <w:r>
        <w:rPr>
          <w:rFonts w:hint="eastAsia" w:hAnsi="宋体"/>
          <w:bCs/>
          <w:sz w:val="24"/>
          <w:szCs w:val="22"/>
        </w:rPr>
        <w:t>总报价与分项报价</w:t>
      </w:r>
      <w:r>
        <w:rPr>
          <w:rFonts w:hint="eastAsia" w:ascii="宋体" w:hAnsi="宋体"/>
          <w:bCs/>
          <w:sz w:val="24"/>
          <w:szCs w:val="22"/>
        </w:rPr>
        <w:t>有矛盾之处，将按有利于招标方的条款执行</w:t>
      </w:r>
      <w:r>
        <w:rPr>
          <w:rFonts w:hint="eastAsia" w:hAnsi="宋体"/>
          <w:bCs/>
          <w:sz w:val="24"/>
          <w:szCs w:val="22"/>
        </w:rPr>
        <w:t>。</w:t>
      </w:r>
      <w:r>
        <w:rPr>
          <w:rFonts w:hint="eastAsia" w:ascii="宋体" w:hAnsi="宋体"/>
          <w:bCs/>
          <w:sz w:val="24"/>
          <w:szCs w:val="22"/>
        </w:rPr>
        <w:t xml:space="preserve"> </w:t>
      </w:r>
    </w:p>
    <w:p>
      <w:pPr>
        <w:numPr>
          <w:ilvl w:val="0"/>
          <w:numId w:val="2"/>
        </w:numPr>
        <w:spacing w:line="360" w:lineRule="auto"/>
        <w:rPr>
          <w:rFonts w:hint="eastAsia" w:ascii="宋体" w:hAnsi="宋体" w:eastAsia="宋体" w:cs="Times New Roman"/>
          <w:bCs/>
          <w:sz w:val="24"/>
          <w:szCs w:val="22"/>
        </w:rPr>
      </w:pPr>
      <w:r>
        <w:rPr>
          <w:rFonts w:hint="eastAsia" w:ascii="宋体" w:hAnsi="宋体" w:eastAsia="宋体" w:cs="Times New Roman"/>
          <w:bCs/>
          <w:sz w:val="24"/>
          <w:szCs w:val="22"/>
        </w:rPr>
        <w:t>投标方必须仔细阅读采购文件的全部条款，并作出明确响应。采购文件带“★”号的条款及要求，投标方必须满足，若有一项不满足将否决投标。</w:t>
      </w:r>
    </w:p>
    <w:p>
      <w:pPr>
        <w:numPr>
          <w:ilvl w:val="0"/>
          <w:numId w:val="2"/>
        </w:numPr>
        <w:spacing w:line="360" w:lineRule="auto"/>
        <w:rPr>
          <w:rFonts w:hint="eastAsia" w:ascii="宋体" w:hAnsi="宋体" w:eastAsia="宋体" w:cs="Times New Roman"/>
          <w:bCs/>
          <w:sz w:val="24"/>
          <w:szCs w:val="22"/>
        </w:rPr>
      </w:pPr>
      <w:r>
        <w:rPr>
          <w:rFonts w:hint="eastAsia" w:ascii="宋体" w:hAnsi="宋体" w:eastAsia="宋体" w:cs="Times New Roman"/>
          <w:bCs/>
          <w:sz w:val="24"/>
          <w:szCs w:val="22"/>
        </w:rPr>
        <w:t>本技术规范书未尽事宜，由双方协商确定。</w:t>
      </w:r>
    </w:p>
    <w:p>
      <w:pPr>
        <w:numPr>
          <w:ilvl w:val="0"/>
          <w:numId w:val="2"/>
        </w:numPr>
        <w:spacing w:line="360" w:lineRule="auto"/>
        <w:rPr>
          <w:szCs w:val="22"/>
        </w:rPr>
      </w:pPr>
      <w:r>
        <w:rPr>
          <w:rFonts w:hint="eastAsia" w:ascii="宋体" w:hAnsi="宋体" w:eastAsia="宋体" w:cs="Times New Roman"/>
          <w:bCs/>
          <w:sz w:val="24"/>
          <w:szCs w:val="22"/>
          <w:lang w:val="en-US" w:eastAsia="zh-CN"/>
        </w:rPr>
        <w:t>本标书的最终解释权归招标方。</w:t>
      </w:r>
      <w:r>
        <w:rPr>
          <w:rFonts w:hint="eastAsia"/>
          <w:szCs w:val="22"/>
        </w:rPr>
        <w:br w:type="page"/>
      </w:r>
    </w:p>
    <w:p>
      <w:pPr>
        <w:pStyle w:val="22"/>
        <w:spacing w:before="312"/>
        <w:outlineLvl w:val="0"/>
        <w:rPr>
          <w:rFonts w:ascii="黑体" w:hAnsi="黑体" w:eastAsia="黑体" w:cs="黑体"/>
          <w:sz w:val="28"/>
          <w:szCs w:val="28"/>
        </w:rPr>
      </w:pPr>
      <w:bookmarkStart w:id="8" w:name="_Toc762"/>
      <w:r>
        <w:rPr>
          <w:rFonts w:hint="eastAsia" w:ascii="黑体" w:hAnsi="黑体" w:eastAsia="黑体" w:cs="黑体"/>
          <w:sz w:val="28"/>
          <w:szCs w:val="28"/>
        </w:rPr>
        <w:t>1  标的概况</w:t>
      </w:r>
      <w:bookmarkEnd w:id="8"/>
    </w:p>
    <w:p>
      <w:pPr>
        <w:spacing w:line="360" w:lineRule="auto"/>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rPr>
        <w:t>标的名称：220千伏天河棠下柔直背靠背工程结构关键技术研究</w:t>
      </w:r>
    </w:p>
    <w:p>
      <w:pPr>
        <w:spacing w:line="360" w:lineRule="auto"/>
        <w:rPr>
          <w:rFonts w:hint="eastAsia" w:ascii="Times New Roman" w:hAnsi="Times New Roman" w:eastAsia="宋体" w:cs="Times New Roman"/>
          <w:color w:val="auto"/>
          <w:sz w:val="24"/>
        </w:rPr>
      </w:pPr>
      <w:bookmarkStart w:id="9" w:name="_Toc22746"/>
      <w:bookmarkStart w:id="10" w:name="_Toc30787"/>
      <w:r>
        <w:rPr>
          <w:rFonts w:hint="eastAsia" w:ascii="Times New Roman" w:hAnsi="Times New Roman" w:eastAsia="宋体" w:cs="Times New Roman"/>
          <w:color w:val="auto"/>
          <w:sz w:val="24"/>
        </w:rPr>
        <w:t>标包名称：</w:t>
      </w:r>
      <w:bookmarkEnd w:id="9"/>
      <w:bookmarkEnd w:id="10"/>
      <w:r>
        <w:rPr>
          <w:rFonts w:hint="eastAsia" w:ascii="Times New Roman" w:hAnsi="Times New Roman" w:eastAsia="宋体" w:cs="Times New Roman"/>
          <w:color w:val="auto"/>
          <w:sz w:val="24"/>
        </w:rPr>
        <w:t>220千伏天河棠下柔直背靠背工程结构抗震技术研究</w:t>
      </w:r>
    </w:p>
    <w:p>
      <w:pPr>
        <w:spacing w:line="360" w:lineRule="auto"/>
        <w:rPr>
          <w:rFonts w:hint="eastAsia" w:ascii="Times New Roman" w:hAnsi="Times New Roman" w:eastAsia="宋体" w:cs="Times New Roman"/>
          <w:color w:val="auto"/>
          <w:sz w:val="24"/>
          <w:lang w:eastAsia="zh-CN"/>
        </w:rPr>
      </w:pPr>
      <w:r>
        <w:rPr>
          <w:rFonts w:hint="eastAsia" w:ascii="Times New Roman" w:hAnsi="Times New Roman" w:eastAsia="宋体" w:cs="Times New Roman"/>
          <w:color w:val="auto"/>
          <w:sz w:val="24"/>
        </w:rPr>
        <w:t>概况：</w:t>
      </w:r>
      <w:r>
        <w:rPr>
          <w:rFonts w:hint="eastAsia" w:ascii="Times New Roman" w:hAnsi="Times New Roman" w:eastAsia="宋体" w:cs="Times New Roman"/>
          <w:color w:val="auto"/>
          <w:sz w:val="24"/>
          <w:lang w:val="en-US" w:eastAsia="zh-CN"/>
        </w:rPr>
        <w:t>项目</w:t>
      </w:r>
      <w:r>
        <w:rPr>
          <w:rFonts w:hint="eastAsia" w:ascii="Times New Roman" w:hAnsi="Times New Roman" w:eastAsia="宋体" w:cs="Times New Roman"/>
          <w:color w:val="auto"/>
          <w:sz w:val="24"/>
        </w:rPr>
        <w:t>研究依托广州220千伏天河棠下柔直背靠背工程。棠下柔直换流站为全户内布置，所有电气设备布置在配电装置楼内，电气设备间上方楼层布置值班办公用房，建筑高度近50m</w:t>
      </w:r>
      <w:r>
        <w:rPr>
          <w:rFonts w:hint="eastAsia" w:ascii="Times New Roman" w:hAnsi="Times New Roman" w:eastAsia="宋体" w:cs="Times New Roman"/>
          <w:color w:val="auto"/>
          <w:sz w:val="24"/>
          <w:lang w:eastAsia="zh-CN"/>
        </w:rPr>
        <w:t>，具有高层、大跨度和设备重载等特点。</w:t>
      </w:r>
    </w:p>
    <w:p>
      <w:pPr>
        <w:pStyle w:val="22"/>
        <w:spacing w:before="312"/>
        <w:outlineLvl w:val="0"/>
        <w:rPr>
          <w:rFonts w:ascii="黑体" w:hAnsi="黑体" w:eastAsia="黑体" w:cs="黑体"/>
          <w:sz w:val="28"/>
          <w:szCs w:val="28"/>
        </w:rPr>
      </w:pPr>
      <w:bookmarkStart w:id="11" w:name="_Toc30728"/>
      <w:r>
        <w:rPr>
          <w:rFonts w:hint="eastAsia" w:ascii="黑体" w:hAnsi="黑体" w:eastAsia="黑体" w:cs="黑体"/>
          <w:sz w:val="28"/>
          <w:szCs w:val="28"/>
        </w:rPr>
        <w:t>2  研究内容及目的</w:t>
      </w:r>
      <w:bookmarkEnd w:id="11"/>
    </w:p>
    <w:p>
      <w:pPr>
        <w:spacing w:line="360" w:lineRule="auto"/>
        <w:outlineLvl w:val="1"/>
        <w:rPr>
          <w:rFonts w:ascii="黑体" w:hAnsi="黑体" w:eastAsia="黑体" w:cs="黑体"/>
          <w:bCs/>
          <w:sz w:val="24"/>
        </w:rPr>
      </w:pPr>
      <w:bookmarkStart w:id="12" w:name="_Toc24409"/>
      <w:r>
        <w:rPr>
          <w:rFonts w:hint="eastAsia" w:ascii="黑体" w:hAnsi="黑体" w:eastAsia="黑体" w:cs="黑体"/>
          <w:bCs/>
          <w:sz w:val="24"/>
        </w:rPr>
        <w:t>2.1 研究内容</w:t>
      </w:r>
      <w:bookmarkEnd w:id="12"/>
    </w:p>
    <w:p>
      <w:pPr>
        <w:spacing w:line="360" w:lineRule="auto"/>
        <w:ind w:firstLine="480" w:firstLineChars="200"/>
        <w:rPr>
          <w:color w:val="auto"/>
          <w:sz w:val="24"/>
          <w:highlight w:val="none"/>
        </w:rPr>
      </w:pPr>
      <w:r>
        <w:rPr>
          <w:rFonts w:hint="eastAsia"/>
          <w:color w:val="auto"/>
          <w:sz w:val="24"/>
          <w:highlight w:val="none"/>
        </w:rPr>
        <w:t>本项目针对大型关键电气设备布置于二层及以上楼面时的多层布置城市紧凑型户内大跨度柔直换流站建筑，考虑结构与电气设备间的相互影响，建立结构整体动力响应模型，进行大跨度楼盖布置大型电气设备时的结构关键抗震技术研究，具体任务如下：</w:t>
      </w:r>
    </w:p>
    <w:p>
      <w:pPr>
        <w:spacing w:line="360" w:lineRule="auto"/>
        <w:ind w:firstLine="480" w:firstLineChars="200"/>
        <w:rPr>
          <w:color w:val="auto"/>
          <w:sz w:val="24"/>
          <w:highlight w:val="none"/>
        </w:rPr>
      </w:pPr>
      <w:r>
        <w:rPr>
          <w:rFonts w:hint="eastAsia"/>
          <w:color w:val="auto"/>
          <w:sz w:val="24"/>
          <w:highlight w:val="none"/>
        </w:rPr>
        <w:t>（1）高层大跨度重载换流站结构的结构设计方案研究</w:t>
      </w:r>
    </w:p>
    <w:p>
      <w:pPr>
        <w:spacing w:line="360" w:lineRule="auto"/>
        <w:ind w:firstLine="480" w:firstLineChars="200"/>
        <w:rPr>
          <w:color w:val="auto"/>
          <w:sz w:val="24"/>
          <w:highlight w:val="none"/>
        </w:rPr>
      </w:pPr>
      <w:r>
        <w:rPr>
          <w:rFonts w:hint="eastAsia"/>
          <w:color w:val="auto"/>
          <w:sz w:val="24"/>
          <w:highlight w:val="none"/>
        </w:rPr>
        <w:t>对适用于大跨重载楼盖的结构布置方案进行调研，并进行初步比选。针对不同结构方案分别建模分析，研究经济性好、抗震性能优的结构布置方案。</w:t>
      </w:r>
      <w:r>
        <w:rPr>
          <w:rFonts w:hint="eastAsia"/>
          <w:color w:val="auto"/>
          <w:sz w:val="24"/>
          <w:highlight w:val="none"/>
        </w:rPr>
        <w:t>结合抗震设防、减振隔振及工艺要求，对所选结构布置方案进行优化设计，并完成复杂节点及构造的深化设计</w:t>
      </w:r>
      <w:r>
        <w:rPr>
          <w:rFonts w:hint="eastAsia"/>
          <w:color w:val="auto"/>
          <w:sz w:val="24"/>
          <w:highlight w:val="none"/>
        </w:rPr>
        <w:t>。</w:t>
      </w:r>
    </w:p>
    <w:p>
      <w:pPr>
        <w:spacing w:line="360" w:lineRule="auto"/>
        <w:ind w:firstLine="480" w:firstLineChars="200"/>
        <w:rPr>
          <w:color w:val="auto"/>
          <w:sz w:val="24"/>
          <w:highlight w:val="none"/>
        </w:rPr>
      </w:pPr>
      <w:r>
        <w:rPr>
          <w:rFonts w:hint="eastAsia"/>
          <w:color w:val="auto"/>
          <w:sz w:val="24"/>
          <w:highlight w:val="none"/>
        </w:rPr>
        <w:t>（2）高层大跨度楼盖布置大型电气设备时的结构地震动力响应研究</w:t>
      </w:r>
    </w:p>
    <w:p>
      <w:pPr>
        <w:spacing w:line="360" w:lineRule="auto"/>
        <w:ind w:firstLine="480" w:firstLineChars="200"/>
        <w:rPr>
          <w:color w:val="auto"/>
          <w:sz w:val="24"/>
          <w:highlight w:val="none"/>
        </w:rPr>
      </w:pPr>
      <w:r>
        <w:rPr>
          <w:rFonts w:hint="eastAsia"/>
          <w:color w:val="auto"/>
          <w:sz w:val="24"/>
          <w:highlight w:val="none"/>
        </w:rPr>
        <w:t>1）结构地震动力时程响应分析</w:t>
      </w:r>
    </w:p>
    <w:p>
      <w:pPr>
        <w:spacing w:line="360" w:lineRule="auto"/>
        <w:ind w:firstLine="480" w:firstLineChars="200"/>
        <w:rPr>
          <w:color w:val="auto"/>
          <w:sz w:val="24"/>
          <w:highlight w:val="none"/>
        </w:rPr>
      </w:pPr>
      <w:r>
        <w:rPr>
          <w:rFonts w:hint="eastAsia"/>
          <w:color w:val="auto"/>
          <w:sz w:val="24"/>
          <w:highlight w:val="none"/>
        </w:rPr>
        <w:t>研究符合场地条件的地震动关键参数，包括加速度时程曲线的选择与分析，建立地震作用下考虑大型电气设备的大跨度柔直换流站结构动力响应分析模型。对结构进行弹性及弹塑性时程分析，研究结构在地震作用下的动力响应。</w:t>
      </w:r>
    </w:p>
    <w:p>
      <w:pPr>
        <w:spacing w:line="360" w:lineRule="auto"/>
        <w:ind w:firstLine="480" w:firstLineChars="200"/>
        <w:rPr>
          <w:color w:val="auto"/>
          <w:sz w:val="24"/>
          <w:highlight w:val="none"/>
        </w:rPr>
      </w:pPr>
      <w:r>
        <w:rPr>
          <w:rFonts w:hint="eastAsia"/>
          <w:color w:val="auto"/>
          <w:sz w:val="24"/>
          <w:highlight w:val="none"/>
        </w:rPr>
        <w:t>2）结构整体模型地震模拟振动台试验研究</w:t>
      </w:r>
    </w:p>
    <w:p>
      <w:pPr>
        <w:spacing w:line="360" w:lineRule="auto"/>
        <w:ind w:firstLine="480" w:firstLineChars="200"/>
        <w:rPr>
          <w:color w:val="auto"/>
          <w:sz w:val="24"/>
          <w:highlight w:val="none"/>
        </w:rPr>
      </w:pPr>
      <w:r>
        <w:rPr>
          <w:rFonts w:hint="eastAsia"/>
          <w:color w:val="auto"/>
          <w:sz w:val="24"/>
          <w:highlight w:val="none"/>
        </w:rPr>
        <w:t>制作结构整体缩尺模型，进行地震模拟振动台试验，研究考虑楼面重型电气设备时结构的地震响应与破坏机制，验证结构动力时程分析结果的准确性，验证抗震技术的有效性。</w:t>
      </w:r>
    </w:p>
    <w:p>
      <w:pPr>
        <w:spacing w:line="360" w:lineRule="auto"/>
        <w:ind w:firstLine="480" w:firstLineChars="200"/>
        <w:rPr>
          <w:color w:val="auto"/>
          <w:sz w:val="24"/>
          <w:highlight w:val="none"/>
        </w:rPr>
      </w:pPr>
      <w:r>
        <w:rPr>
          <w:rFonts w:hint="eastAsia"/>
          <w:color w:val="auto"/>
          <w:sz w:val="24"/>
          <w:highlight w:val="none"/>
        </w:rPr>
        <w:t>3）结构塑性铰分布机理研究</w:t>
      </w:r>
    </w:p>
    <w:p>
      <w:pPr>
        <w:spacing w:line="360" w:lineRule="auto"/>
        <w:ind w:firstLine="480" w:firstLineChars="200"/>
        <w:rPr>
          <w:color w:val="auto"/>
          <w:sz w:val="24"/>
          <w:highlight w:val="none"/>
        </w:rPr>
      </w:pPr>
      <w:r>
        <w:rPr>
          <w:rFonts w:hint="eastAsia"/>
          <w:color w:val="auto"/>
          <w:sz w:val="24"/>
          <w:highlight w:val="none"/>
        </w:rPr>
        <w:t>针对不规则且具有明显薄弱部位可能导致重大地震破坏的生命线工程，研究罕遇地震作用下结构塑性铰的分布状况与发展过程。</w:t>
      </w:r>
    </w:p>
    <w:p>
      <w:pPr>
        <w:spacing w:line="360" w:lineRule="auto"/>
        <w:ind w:firstLine="480" w:firstLineChars="200"/>
        <w:rPr>
          <w:color w:val="auto"/>
          <w:sz w:val="24"/>
          <w:highlight w:val="none"/>
        </w:rPr>
      </w:pPr>
      <w:r>
        <w:rPr>
          <w:rFonts w:hint="eastAsia"/>
          <w:color w:val="auto"/>
          <w:sz w:val="24"/>
          <w:highlight w:val="none"/>
        </w:rPr>
        <w:t>4）设备荷载简化计算方法研究</w:t>
      </w:r>
    </w:p>
    <w:p>
      <w:pPr>
        <w:spacing w:line="360" w:lineRule="auto"/>
        <w:ind w:firstLine="480" w:firstLineChars="200"/>
        <w:rPr>
          <w:color w:val="auto"/>
          <w:sz w:val="24"/>
          <w:highlight w:val="none"/>
        </w:rPr>
      </w:pPr>
      <w:r>
        <w:rPr>
          <w:rFonts w:hint="eastAsia"/>
          <w:color w:val="auto"/>
          <w:sz w:val="24"/>
          <w:highlight w:val="none"/>
        </w:rPr>
        <w:t>基于结构地震动力时程响应分析结果及地震模拟振动台试验结果，研究换流站阀厅结构本体在考虑楼面重型电气设备共同作用时的设备荷载简化计算方法，并与《换流站建筑结构设计规范》推荐值进行对比分析，评估把</w:t>
      </w:r>
      <w:r>
        <w:rPr>
          <w:rFonts w:hint="eastAsia"/>
          <w:color w:val="auto"/>
          <w:sz w:val="24"/>
          <w:highlight w:val="none"/>
        </w:rPr>
        <w:t>《换流站建筑结构设计规范》电气设备活载建议值</w:t>
      </w:r>
      <w:r>
        <w:rPr>
          <w:rFonts w:hint="eastAsia"/>
          <w:color w:val="auto"/>
          <w:sz w:val="24"/>
          <w:highlight w:val="none"/>
        </w:rPr>
        <w:t>应用于本类型换流站结构</w:t>
      </w:r>
      <w:r>
        <w:rPr>
          <w:rFonts w:hint="eastAsia"/>
          <w:color w:val="auto"/>
          <w:sz w:val="24"/>
          <w:highlight w:val="none"/>
        </w:rPr>
        <w:t>的</w:t>
      </w:r>
      <w:r>
        <w:rPr>
          <w:rFonts w:hint="eastAsia"/>
          <w:color w:val="auto"/>
          <w:sz w:val="24"/>
          <w:highlight w:val="none"/>
        </w:rPr>
        <w:t>适用</w:t>
      </w:r>
      <w:r>
        <w:rPr>
          <w:rFonts w:hint="eastAsia"/>
          <w:color w:val="auto"/>
          <w:sz w:val="24"/>
          <w:highlight w:val="none"/>
        </w:rPr>
        <w:t>性</w:t>
      </w:r>
      <w:r>
        <w:rPr>
          <w:rFonts w:hint="eastAsia"/>
          <w:color w:val="auto"/>
          <w:sz w:val="24"/>
          <w:highlight w:val="none"/>
        </w:rPr>
        <w:t>。</w:t>
      </w:r>
    </w:p>
    <w:p>
      <w:pPr>
        <w:spacing w:line="360" w:lineRule="auto"/>
        <w:ind w:firstLine="480" w:firstLineChars="200"/>
        <w:rPr>
          <w:color w:val="auto"/>
          <w:sz w:val="24"/>
          <w:highlight w:val="none"/>
        </w:rPr>
      </w:pPr>
      <w:r>
        <w:rPr>
          <w:rFonts w:hint="eastAsia"/>
          <w:color w:val="auto"/>
          <w:sz w:val="24"/>
          <w:highlight w:val="none"/>
        </w:rPr>
        <w:t>（3）高层大跨度重载换流站关键电气设备地震动力响应研究</w:t>
      </w:r>
    </w:p>
    <w:p>
      <w:pPr>
        <w:spacing w:line="360" w:lineRule="auto"/>
        <w:ind w:firstLine="480" w:firstLineChars="200"/>
        <w:rPr>
          <w:color w:val="auto"/>
          <w:sz w:val="24"/>
          <w:highlight w:val="none"/>
        </w:rPr>
      </w:pPr>
      <w:r>
        <w:rPr>
          <w:rFonts w:hint="eastAsia"/>
          <w:color w:val="auto"/>
          <w:sz w:val="24"/>
          <w:highlight w:val="none"/>
        </w:rPr>
        <w:t>1）关键电气设备地震动力响应分析</w:t>
      </w:r>
    </w:p>
    <w:p>
      <w:pPr>
        <w:spacing w:line="360" w:lineRule="auto"/>
        <w:ind w:firstLine="480" w:firstLineChars="200"/>
        <w:rPr>
          <w:color w:val="auto"/>
          <w:sz w:val="24"/>
          <w:highlight w:val="none"/>
        </w:rPr>
      </w:pPr>
      <w:r>
        <w:rPr>
          <w:rFonts w:hint="eastAsia"/>
          <w:color w:val="auto"/>
          <w:sz w:val="24"/>
          <w:highlight w:val="none"/>
        </w:rPr>
        <w:t>基于地震发生概率模型，得到换流站系统所在区域的地震危险性曲线，确定地震动关键参数选取。建立阀塔、电抗器等关键电气设备与换流站结构的联合有限元模型，得到设备的失效模式及抗震薄弱点。研究电气设备最大位移角、支架瓷套应强比、支架法兰应强比等抗震性能指标临界值。评估电气设备抗震安全性等级，研究电气设备抗震安全性等级提升措施。</w:t>
      </w:r>
    </w:p>
    <w:p>
      <w:pPr>
        <w:spacing w:line="360" w:lineRule="auto"/>
        <w:ind w:firstLine="480" w:firstLineChars="200"/>
        <w:rPr>
          <w:color w:val="auto"/>
          <w:sz w:val="24"/>
          <w:highlight w:val="none"/>
        </w:rPr>
      </w:pPr>
      <w:r>
        <w:rPr>
          <w:rFonts w:hint="eastAsia"/>
          <w:color w:val="auto"/>
          <w:sz w:val="24"/>
          <w:highlight w:val="none"/>
        </w:rPr>
        <w:t>2）关键电气设备联合局部结构地震模拟振动台试验</w:t>
      </w:r>
    </w:p>
    <w:p>
      <w:pPr>
        <w:spacing w:line="360" w:lineRule="auto"/>
        <w:ind w:firstLine="480" w:firstLineChars="200"/>
        <w:rPr>
          <w:color w:val="auto"/>
          <w:sz w:val="24"/>
          <w:highlight w:val="none"/>
        </w:rPr>
      </w:pPr>
      <w:r>
        <w:rPr>
          <w:rFonts w:hint="eastAsia"/>
          <w:color w:val="auto"/>
          <w:sz w:val="24"/>
          <w:highlight w:val="none"/>
        </w:rPr>
        <w:t>制作包含局部大跨度楼盖与关键电气设备的联合结构缩尺模型，进行地震模拟振动台试验，研究布置在大跨度楼面的重型电气设备的地震响应与破坏机制，验证有限元模型的准确性。</w:t>
      </w:r>
    </w:p>
    <w:p>
      <w:pPr>
        <w:spacing w:line="360" w:lineRule="auto"/>
        <w:ind w:firstLine="480" w:firstLineChars="200"/>
        <w:rPr>
          <w:color w:val="auto"/>
          <w:sz w:val="24"/>
          <w:highlight w:val="none"/>
        </w:rPr>
      </w:pPr>
      <w:r>
        <w:rPr>
          <w:rFonts w:hint="eastAsia"/>
          <w:color w:val="auto"/>
          <w:sz w:val="24"/>
          <w:highlight w:val="none"/>
        </w:rPr>
        <w:t>3）关键电气设备易损性研究</w:t>
      </w:r>
    </w:p>
    <w:p>
      <w:pPr>
        <w:spacing w:line="360" w:lineRule="auto"/>
        <w:ind w:firstLine="480" w:firstLineChars="200"/>
        <w:outlineLvl w:val="9"/>
        <w:rPr>
          <w:rFonts w:ascii="黑体" w:hAnsi="黑体" w:eastAsia="黑体" w:cs="黑体"/>
          <w:bCs/>
          <w:sz w:val="24"/>
        </w:rPr>
      </w:pPr>
      <w:r>
        <w:rPr>
          <w:rFonts w:hint="eastAsia"/>
          <w:color w:val="auto"/>
          <w:sz w:val="24"/>
          <w:highlight w:val="none"/>
        </w:rPr>
        <w:t>考虑材料强度的随机性，进行关键电气设备与换流站结构的联合有限元模型的易损性分析，得到关键电气设备的地震易损性曲线，提出关键电气设备的减震和隔震设计优化措施。</w:t>
      </w:r>
    </w:p>
    <w:p>
      <w:pPr>
        <w:spacing w:line="360" w:lineRule="auto"/>
        <w:outlineLvl w:val="1"/>
        <w:rPr>
          <w:rFonts w:ascii="黑体" w:hAnsi="黑体" w:eastAsia="黑体" w:cs="黑体"/>
          <w:bCs/>
          <w:sz w:val="24"/>
        </w:rPr>
      </w:pPr>
      <w:bookmarkStart w:id="13" w:name="_Toc21224"/>
      <w:r>
        <w:rPr>
          <w:rFonts w:hint="eastAsia" w:ascii="黑体" w:hAnsi="黑体" w:eastAsia="黑体" w:cs="黑体"/>
          <w:bCs/>
          <w:sz w:val="24"/>
        </w:rPr>
        <w:t>2.2 研究目的</w:t>
      </w:r>
      <w:bookmarkEnd w:id="13"/>
    </w:p>
    <w:p>
      <w:pPr>
        <w:spacing w:line="360" w:lineRule="auto"/>
        <w:ind w:firstLine="480" w:firstLineChars="200"/>
        <w:rPr>
          <w:color w:val="auto"/>
          <w:sz w:val="24"/>
        </w:rPr>
      </w:pPr>
      <w:r>
        <w:rPr>
          <w:rFonts w:hint="eastAsia"/>
          <w:color w:val="auto"/>
          <w:sz w:val="24"/>
        </w:rPr>
        <w:t>本项目针对大型关键电气设备布置于二层及以上楼面时的多层布置城市紧凑型户内大跨度柔直换流站建筑，通过优化结构设计方案并进行高层大跨度楼盖布置大型电气设备时的结构地震动力时程响应分析及地震模拟振动台试验，进行高层大跨度重载换流站关键电气设备的地震动力响应分析及地震模拟振动台试验，探明多层布置紧凑型大跨度柔直换流站结构本体及楼面重型电气设备的抗震性能及其合理的结构设计方案，为考虑非结构构件地震作用的大跨度柔直换流站结构抗震设计提供依据。预期目标如下：</w:t>
      </w:r>
    </w:p>
    <w:p>
      <w:pPr>
        <w:spacing w:line="360" w:lineRule="auto"/>
        <w:ind w:firstLine="480" w:firstLineChars="200"/>
        <w:rPr>
          <w:color w:val="auto"/>
          <w:sz w:val="24"/>
        </w:rPr>
      </w:pPr>
      <w:r>
        <w:rPr>
          <w:rFonts w:hint="eastAsia"/>
          <w:color w:val="auto"/>
          <w:sz w:val="24"/>
        </w:rPr>
        <w:t>（1）完成高层大跨度重载换流站结构的结构设计方案研究；</w:t>
      </w:r>
    </w:p>
    <w:p>
      <w:pPr>
        <w:spacing w:line="360" w:lineRule="auto"/>
        <w:ind w:firstLine="480" w:firstLineChars="200"/>
        <w:rPr>
          <w:color w:val="auto"/>
          <w:sz w:val="24"/>
        </w:rPr>
      </w:pPr>
      <w:r>
        <w:rPr>
          <w:rFonts w:hint="eastAsia"/>
          <w:color w:val="auto"/>
          <w:sz w:val="24"/>
        </w:rPr>
        <w:t>（2）完成结构地震动力时程响应分析；</w:t>
      </w:r>
    </w:p>
    <w:p>
      <w:pPr>
        <w:spacing w:line="360" w:lineRule="auto"/>
        <w:ind w:firstLine="480" w:firstLineChars="200"/>
        <w:rPr>
          <w:color w:val="auto"/>
          <w:sz w:val="24"/>
        </w:rPr>
      </w:pPr>
      <w:r>
        <w:rPr>
          <w:rFonts w:hint="eastAsia"/>
          <w:color w:val="auto"/>
          <w:sz w:val="24"/>
        </w:rPr>
        <w:t>（3）完成结构整体模型地震模拟振动台试验；</w:t>
      </w:r>
    </w:p>
    <w:p>
      <w:pPr>
        <w:spacing w:line="360" w:lineRule="auto"/>
        <w:ind w:firstLine="480" w:firstLineChars="200"/>
        <w:rPr>
          <w:color w:val="auto"/>
          <w:sz w:val="24"/>
        </w:rPr>
      </w:pPr>
      <w:r>
        <w:rPr>
          <w:rFonts w:hint="eastAsia"/>
          <w:color w:val="auto"/>
          <w:sz w:val="24"/>
        </w:rPr>
        <w:t>（4）完成结构塑性铰分布机理研究；</w:t>
      </w:r>
    </w:p>
    <w:p>
      <w:pPr>
        <w:spacing w:line="360" w:lineRule="auto"/>
        <w:ind w:firstLine="480" w:firstLineChars="200"/>
        <w:rPr>
          <w:color w:val="auto"/>
          <w:sz w:val="24"/>
        </w:rPr>
      </w:pPr>
      <w:r>
        <w:rPr>
          <w:rFonts w:hint="eastAsia"/>
          <w:color w:val="auto"/>
          <w:sz w:val="24"/>
        </w:rPr>
        <w:t>（5）完成设备荷载简化计算方法研究；</w:t>
      </w:r>
    </w:p>
    <w:p>
      <w:pPr>
        <w:spacing w:line="360" w:lineRule="auto"/>
        <w:ind w:firstLine="480" w:firstLineChars="200"/>
        <w:rPr>
          <w:color w:val="auto"/>
          <w:sz w:val="24"/>
        </w:rPr>
      </w:pPr>
      <w:r>
        <w:rPr>
          <w:rFonts w:hint="eastAsia"/>
          <w:color w:val="auto"/>
          <w:sz w:val="24"/>
        </w:rPr>
        <w:t>（6）完成关键电气设备地震动力响应分析；</w:t>
      </w:r>
    </w:p>
    <w:p>
      <w:pPr>
        <w:spacing w:line="360" w:lineRule="auto"/>
        <w:ind w:firstLine="480" w:firstLineChars="200"/>
        <w:rPr>
          <w:color w:val="auto"/>
          <w:sz w:val="24"/>
        </w:rPr>
      </w:pPr>
      <w:r>
        <w:rPr>
          <w:rFonts w:hint="eastAsia"/>
          <w:color w:val="auto"/>
          <w:sz w:val="24"/>
        </w:rPr>
        <w:t>（7）完成关键电气设备联合局部结构地震模拟振动台试验；</w:t>
      </w:r>
    </w:p>
    <w:p>
      <w:pPr>
        <w:spacing w:line="360" w:lineRule="auto"/>
        <w:ind w:firstLine="480" w:firstLineChars="200"/>
        <w:rPr>
          <w:color w:val="auto"/>
          <w:sz w:val="24"/>
        </w:rPr>
      </w:pPr>
      <w:r>
        <w:rPr>
          <w:rFonts w:hint="eastAsia"/>
          <w:color w:val="auto"/>
          <w:sz w:val="24"/>
        </w:rPr>
        <w:t>（8）完成关键电气设备易损性研究。</w:t>
      </w:r>
    </w:p>
    <w:p>
      <w:pPr>
        <w:pStyle w:val="22"/>
        <w:spacing w:before="312"/>
        <w:outlineLvl w:val="0"/>
        <w:rPr>
          <w:rFonts w:ascii="黑体" w:hAnsi="黑体" w:eastAsia="黑体" w:cs="黑体"/>
          <w:sz w:val="28"/>
          <w:szCs w:val="28"/>
        </w:rPr>
      </w:pPr>
      <w:bookmarkStart w:id="14" w:name="_Toc17641"/>
      <w:r>
        <w:rPr>
          <w:rFonts w:hint="eastAsia" w:ascii="黑体" w:hAnsi="黑体" w:eastAsia="黑体" w:cs="黑体"/>
          <w:sz w:val="28"/>
          <w:szCs w:val="28"/>
        </w:rPr>
        <w:t>3  主要技术指标要求</w:t>
      </w:r>
      <w:bookmarkEnd w:id="14"/>
    </w:p>
    <w:p>
      <w:pPr>
        <w:spacing w:line="360" w:lineRule="auto"/>
        <w:ind w:left="0" w:leftChars="0" w:firstLine="420" w:firstLineChars="175"/>
        <w:rPr>
          <w:color w:val="auto"/>
          <w:sz w:val="24"/>
        </w:rPr>
      </w:pPr>
      <w:r>
        <w:rPr>
          <w:rFonts w:hint="eastAsia"/>
          <w:color w:val="auto"/>
          <w:sz w:val="24"/>
        </w:rPr>
        <w:t>（1）结构设计方案研究中进行的结构布置方案比选数量不少于3种。</w:t>
      </w:r>
    </w:p>
    <w:p>
      <w:pPr>
        <w:numPr>
          <w:ilvl w:val="0"/>
          <w:numId w:val="3"/>
        </w:numPr>
        <w:spacing w:line="360" w:lineRule="auto"/>
        <w:ind w:left="0" w:leftChars="0" w:firstLine="420" w:firstLineChars="175"/>
        <w:rPr>
          <w:color w:val="auto"/>
          <w:sz w:val="24"/>
        </w:rPr>
      </w:pPr>
      <w:r>
        <w:rPr>
          <w:rFonts w:hint="eastAsia"/>
          <w:color w:val="auto"/>
          <w:sz w:val="24"/>
        </w:rPr>
        <w:t>地震模拟振动台试验所采用的振动台台面尺寸不小于4m×4m，最大承重能力不小于25t。</w:t>
      </w:r>
    </w:p>
    <w:p>
      <w:pPr>
        <w:numPr>
          <w:ilvl w:val="0"/>
          <w:numId w:val="3"/>
        </w:numPr>
        <w:spacing w:line="360" w:lineRule="auto"/>
        <w:ind w:left="0" w:leftChars="0" w:firstLine="420" w:firstLineChars="175"/>
        <w:rPr>
          <w:color w:val="auto"/>
          <w:sz w:val="24"/>
        </w:rPr>
      </w:pPr>
      <w:r>
        <w:rPr>
          <w:rFonts w:hint="eastAsia"/>
          <w:color w:val="auto"/>
          <w:sz w:val="24"/>
        </w:rPr>
        <w:t>振动台试验应能提供在地震作用下结构或设备模型关键部位的加速度、位移和应变数据，包括最大加速度、加速度放大系数、最大位移、最大层间位移角、最大扭转位移比及楼层扭转角、构件或设备关键部位的应变响应、设备模型支架瓷套应强比和支架法兰应强比等。</w:t>
      </w:r>
    </w:p>
    <w:p>
      <w:pPr>
        <w:pStyle w:val="22"/>
        <w:spacing w:before="312"/>
        <w:outlineLvl w:val="0"/>
        <w:rPr>
          <w:rFonts w:ascii="黑体" w:hAnsi="黑体" w:eastAsia="黑体" w:cs="黑体"/>
          <w:sz w:val="28"/>
          <w:szCs w:val="28"/>
        </w:rPr>
      </w:pPr>
      <w:bookmarkStart w:id="15" w:name="_Toc266713650"/>
      <w:bookmarkStart w:id="16" w:name="_Toc27980"/>
      <w:r>
        <w:rPr>
          <w:rFonts w:hint="eastAsia" w:ascii="黑体" w:hAnsi="黑体" w:eastAsia="黑体" w:cs="黑体"/>
          <w:sz w:val="28"/>
          <w:szCs w:val="28"/>
        </w:rPr>
        <w:t>4  时间进度要求</w:t>
      </w:r>
      <w:bookmarkEnd w:id="15"/>
      <w:bookmarkEnd w:id="16"/>
    </w:p>
    <w:p>
      <w:pPr>
        <w:pStyle w:val="22"/>
        <w:snapToGrid w:val="0"/>
        <w:spacing w:before="0" w:beforeLines="0" w:line="240" w:lineRule="auto"/>
        <w:outlineLvl w:val="0"/>
        <w:rPr>
          <w:rFonts w:asciiTheme="minorEastAsia" w:hAnsiTheme="minorEastAsia" w:eastAsiaTheme="minorEastAsia" w:cstheme="minorEastAsia"/>
          <w:b w:val="0"/>
          <w:bCs/>
          <w:color w:val="C00000"/>
        </w:rPr>
      </w:pPr>
    </w:p>
    <w:tbl>
      <w:tblPr>
        <w:tblStyle w:val="12"/>
        <w:tblW w:w="8391"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62"/>
        <w:gridCol w:w="7629"/>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510" w:hRule="atLeast"/>
        </w:trPr>
        <w:tc>
          <w:tcPr>
            <w:tcW w:w="8391" w:type="dxa"/>
            <w:gridSpan w:val="2"/>
            <w:tcBorders>
              <w:tl2br w:val="nil"/>
              <w:tr2bl w:val="nil"/>
            </w:tcBorders>
            <w:vAlign w:val="center"/>
          </w:tcPr>
          <w:p>
            <w:pPr>
              <w:adjustRightInd w:val="0"/>
              <w:snapToGrid w:val="0"/>
              <w:jc w:val="center"/>
              <w:textAlignment w:val="center"/>
              <w:rPr>
                <w:rFonts w:ascii="宋体" w:hAnsi="宋体"/>
                <w:b/>
                <w:color w:val="000000"/>
                <w:szCs w:val="21"/>
              </w:rPr>
            </w:pPr>
            <w:r>
              <w:rPr>
                <w:rFonts w:hint="eastAsia" w:ascii="宋体" w:hAnsi="宋体"/>
                <w:b/>
                <w:color w:val="000000"/>
                <w:szCs w:val="21"/>
              </w:rPr>
              <w:t>进度计划</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152" w:hRule="atLeast"/>
        </w:trPr>
        <w:tc>
          <w:tcPr>
            <w:tcW w:w="762" w:type="dxa"/>
            <w:tcBorders>
              <w:tl2br w:val="nil"/>
              <w:tr2bl w:val="nil"/>
            </w:tcBorders>
            <w:vAlign w:val="center"/>
          </w:tcPr>
          <w:p>
            <w:pPr>
              <w:adjustRightInd w:val="0"/>
              <w:snapToGrid w:val="0"/>
              <w:jc w:val="center"/>
              <w:textAlignment w:val="center"/>
              <w:rPr>
                <w:rFonts w:ascii="宋体" w:hAnsi="宋体"/>
                <w:b/>
                <w:color w:val="000000"/>
                <w:szCs w:val="21"/>
              </w:rPr>
            </w:pPr>
            <w:r>
              <w:rPr>
                <w:rFonts w:hint="eastAsia" w:ascii="宋体" w:hAnsi="宋体"/>
                <w:b/>
                <w:color w:val="000000"/>
                <w:szCs w:val="21"/>
              </w:rPr>
              <w:t>4</w:t>
            </w:r>
            <w:r>
              <w:rPr>
                <w:rFonts w:ascii="宋体" w:hAnsi="宋体"/>
                <w:b/>
                <w:color w:val="000000"/>
                <w:szCs w:val="21"/>
              </w:rPr>
              <w:t>.1</w:t>
            </w:r>
          </w:p>
        </w:tc>
        <w:tc>
          <w:tcPr>
            <w:tcW w:w="7629" w:type="dxa"/>
            <w:tcBorders>
              <w:tl2br w:val="nil"/>
              <w:tr2bl w:val="nil"/>
            </w:tcBorders>
            <w:vAlign w:val="center"/>
          </w:tcPr>
          <w:p>
            <w:pPr>
              <w:adjustRightInd w:val="0"/>
              <w:snapToGrid w:val="0"/>
              <w:textAlignment w:val="center"/>
              <w:rPr>
                <w:rFonts w:ascii="宋体" w:hAnsi="宋体"/>
                <w:b/>
                <w:color w:val="auto"/>
                <w:szCs w:val="21"/>
              </w:rPr>
            </w:pPr>
            <w:r>
              <w:rPr>
                <w:rFonts w:hint="eastAsia" w:ascii="宋体" w:hAnsi="宋体"/>
                <w:b/>
                <w:color w:val="auto"/>
                <w:szCs w:val="21"/>
              </w:rPr>
              <w:t>[自合同签订之日起-</w:t>
            </w:r>
            <w:r>
              <w:rPr>
                <w:rFonts w:ascii="宋体" w:hAnsi="宋体"/>
                <w:b/>
                <w:color w:val="auto"/>
                <w:szCs w:val="21"/>
              </w:rPr>
              <w:t xml:space="preserve"> </w:t>
            </w:r>
            <w:r>
              <w:rPr>
                <w:rFonts w:hint="eastAsia" w:ascii="宋体" w:hAnsi="宋体"/>
                <w:b/>
                <w:color w:val="auto"/>
                <w:szCs w:val="21"/>
              </w:rPr>
              <w:t>2024年11月31日]</w:t>
            </w:r>
          </w:p>
          <w:p>
            <w:pPr>
              <w:adjustRightInd w:val="0"/>
              <w:snapToGrid w:val="0"/>
              <w:jc w:val="left"/>
              <w:textAlignment w:val="center"/>
              <w:rPr>
                <w:rFonts w:ascii="宋体" w:hAnsi="宋体"/>
                <w:b/>
                <w:color w:val="auto"/>
                <w:szCs w:val="21"/>
              </w:rPr>
            </w:pPr>
            <w:r>
              <w:rPr>
                <w:rFonts w:hint="eastAsia" w:ascii="宋体" w:hAnsi="宋体"/>
                <w:b/>
                <w:color w:val="auto"/>
                <w:szCs w:val="21"/>
              </w:rPr>
              <w:t>主要内容：</w:t>
            </w:r>
          </w:p>
          <w:p>
            <w:pPr>
              <w:numPr>
                <w:ilvl w:val="0"/>
                <w:numId w:val="4"/>
              </w:numPr>
              <w:tabs>
                <w:tab w:val="left" w:pos="537"/>
              </w:tabs>
              <w:adjustRightInd w:val="0"/>
              <w:snapToGrid w:val="0"/>
              <w:ind w:left="0" w:firstLine="0"/>
              <w:jc w:val="left"/>
              <w:textAlignment w:val="center"/>
              <w:rPr>
                <w:rFonts w:ascii="宋体" w:hAnsi="宋体"/>
                <w:color w:val="auto"/>
                <w:szCs w:val="21"/>
              </w:rPr>
            </w:pPr>
            <w:r>
              <w:rPr>
                <w:rFonts w:hint="eastAsia" w:ascii="宋体" w:hAnsi="宋体"/>
                <w:color w:val="auto"/>
                <w:szCs w:val="21"/>
              </w:rPr>
              <w:t>对适用于大跨重载楼盖的结构布置方案进行调研，并进行初步比选；</w:t>
            </w:r>
          </w:p>
          <w:p>
            <w:pPr>
              <w:numPr>
                <w:ilvl w:val="0"/>
                <w:numId w:val="4"/>
              </w:numPr>
              <w:tabs>
                <w:tab w:val="left" w:pos="537"/>
              </w:tabs>
              <w:adjustRightInd w:val="0"/>
              <w:snapToGrid w:val="0"/>
              <w:ind w:left="0" w:firstLine="0"/>
              <w:jc w:val="left"/>
              <w:textAlignment w:val="center"/>
              <w:rPr>
                <w:rFonts w:ascii="宋体" w:hAnsi="宋体"/>
                <w:color w:val="auto"/>
                <w:szCs w:val="21"/>
              </w:rPr>
            </w:pPr>
            <w:r>
              <w:rPr>
                <w:rFonts w:hint="eastAsia" w:ascii="宋体" w:hAnsi="宋体"/>
                <w:color w:val="auto"/>
                <w:szCs w:val="21"/>
              </w:rPr>
              <w:t>针对不同结构方案分别建模分析，研究经济性好、抗震性能优的结构布置方案；</w:t>
            </w:r>
          </w:p>
          <w:p>
            <w:pPr>
              <w:numPr>
                <w:ilvl w:val="0"/>
                <w:numId w:val="4"/>
              </w:numPr>
              <w:tabs>
                <w:tab w:val="left" w:pos="537"/>
              </w:tabs>
              <w:adjustRightInd w:val="0"/>
              <w:snapToGrid w:val="0"/>
              <w:ind w:left="0" w:firstLine="0"/>
              <w:jc w:val="left"/>
              <w:textAlignment w:val="center"/>
              <w:rPr>
                <w:rFonts w:ascii="宋体" w:hAnsi="宋体"/>
                <w:color w:val="auto"/>
                <w:szCs w:val="21"/>
              </w:rPr>
            </w:pPr>
            <w:r>
              <w:rPr>
                <w:rFonts w:hint="eastAsia" w:ascii="宋体" w:hAnsi="宋体"/>
                <w:color w:val="auto"/>
                <w:szCs w:val="21"/>
              </w:rPr>
              <w:t>完成高层大跨度换流站结构的结构设计方案终选。</w:t>
            </w:r>
          </w:p>
          <w:p>
            <w:pPr>
              <w:tabs>
                <w:tab w:val="left" w:pos="537"/>
                <w:tab w:val="left" w:pos="763"/>
              </w:tabs>
              <w:adjustRightInd w:val="0"/>
              <w:snapToGrid w:val="0"/>
              <w:jc w:val="left"/>
              <w:textAlignment w:val="center"/>
              <w:rPr>
                <w:rFonts w:ascii="宋体" w:hAnsi="宋体"/>
                <w:color w:val="auto"/>
                <w:szCs w:val="21"/>
              </w:rPr>
            </w:pPr>
            <w:r>
              <w:rPr>
                <w:rFonts w:hint="eastAsia" w:ascii="宋体" w:hAnsi="宋体"/>
                <w:b/>
                <w:color w:val="auto"/>
                <w:szCs w:val="21"/>
              </w:rPr>
              <w:t>交付物：</w:t>
            </w:r>
          </w:p>
          <w:p>
            <w:pPr>
              <w:tabs>
                <w:tab w:val="left" w:pos="537"/>
              </w:tabs>
              <w:adjustRightInd w:val="0"/>
              <w:snapToGrid w:val="0"/>
              <w:jc w:val="left"/>
              <w:textAlignment w:val="center"/>
              <w:rPr>
                <w:rFonts w:ascii="宋体" w:hAnsi="宋体"/>
                <w:color w:val="auto"/>
                <w:szCs w:val="21"/>
              </w:rPr>
            </w:pPr>
            <w:r>
              <w:rPr>
                <w:rFonts w:hint="eastAsia" w:ascii="宋体" w:hAnsi="宋体"/>
                <w:color w:val="auto"/>
                <w:szCs w:val="21"/>
              </w:rPr>
              <w:t>（1）高层大跨度换流站结构的结构设计方案。</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89" w:hRule="atLeast"/>
        </w:trPr>
        <w:tc>
          <w:tcPr>
            <w:tcW w:w="762" w:type="dxa"/>
            <w:tcBorders>
              <w:tl2br w:val="nil"/>
              <w:tr2bl w:val="nil"/>
            </w:tcBorders>
            <w:vAlign w:val="center"/>
          </w:tcPr>
          <w:p>
            <w:pPr>
              <w:widowControl/>
              <w:jc w:val="center"/>
              <w:rPr>
                <w:rFonts w:ascii="宋体" w:hAnsi="宋体"/>
                <w:b/>
                <w:color w:val="000000"/>
                <w:szCs w:val="21"/>
              </w:rPr>
            </w:pPr>
            <w:r>
              <w:rPr>
                <w:rFonts w:hint="eastAsia" w:ascii="宋体" w:hAnsi="宋体"/>
                <w:b/>
                <w:color w:val="000000"/>
                <w:szCs w:val="21"/>
              </w:rPr>
              <w:t>4</w:t>
            </w:r>
            <w:r>
              <w:rPr>
                <w:rFonts w:ascii="宋体" w:hAnsi="宋体"/>
                <w:b/>
                <w:color w:val="000000"/>
                <w:szCs w:val="21"/>
              </w:rPr>
              <w:t>.2</w:t>
            </w:r>
          </w:p>
        </w:tc>
        <w:tc>
          <w:tcPr>
            <w:tcW w:w="7629" w:type="dxa"/>
            <w:tcBorders>
              <w:tl2br w:val="nil"/>
              <w:tr2bl w:val="nil"/>
            </w:tcBorders>
            <w:vAlign w:val="center"/>
          </w:tcPr>
          <w:p>
            <w:pPr>
              <w:adjustRightInd w:val="0"/>
              <w:snapToGrid w:val="0"/>
              <w:textAlignment w:val="center"/>
              <w:rPr>
                <w:rFonts w:ascii="宋体" w:hAnsi="宋体"/>
                <w:b/>
                <w:color w:val="auto"/>
                <w:szCs w:val="21"/>
              </w:rPr>
            </w:pPr>
            <w:r>
              <w:rPr>
                <w:rFonts w:hint="eastAsia" w:ascii="宋体" w:hAnsi="宋体"/>
                <w:b/>
                <w:color w:val="auto"/>
                <w:szCs w:val="21"/>
              </w:rPr>
              <w:t>[2024年12月1日 - 2025年12月31日]</w:t>
            </w:r>
          </w:p>
          <w:p>
            <w:pPr>
              <w:adjustRightInd w:val="0"/>
              <w:snapToGrid w:val="0"/>
              <w:jc w:val="left"/>
              <w:textAlignment w:val="center"/>
              <w:rPr>
                <w:rFonts w:ascii="宋体" w:hAnsi="宋体"/>
                <w:b/>
                <w:color w:val="auto"/>
                <w:szCs w:val="21"/>
              </w:rPr>
            </w:pPr>
            <w:r>
              <w:rPr>
                <w:rFonts w:hint="eastAsia" w:ascii="宋体" w:hAnsi="宋体"/>
                <w:b/>
                <w:color w:val="auto"/>
                <w:szCs w:val="21"/>
              </w:rPr>
              <w:t>主要内容：</w:t>
            </w:r>
          </w:p>
          <w:p>
            <w:pPr>
              <w:numPr>
                <w:ilvl w:val="0"/>
                <w:numId w:val="5"/>
              </w:numPr>
              <w:tabs>
                <w:tab w:val="left" w:pos="537"/>
              </w:tabs>
              <w:adjustRightInd w:val="0"/>
              <w:snapToGrid w:val="0"/>
              <w:ind w:left="0" w:firstLine="0"/>
              <w:jc w:val="left"/>
              <w:textAlignment w:val="center"/>
              <w:rPr>
                <w:rFonts w:ascii="宋体" w:hAnsi="宋体"/>
                <w:bCs/>
                <w:color w:val="auto"/>
                <w:szCs w:val="21"/>
              </w:rPr>
            </w:pPr>
            <w:r>
              <w:rPr>
                <w:rFonts w:hint="eastAsia" w:ascii="宋体" w:hAnsi="宋体"/>
                <w:color w:val="auto"/>
                <w:szCs w:val="21"/>
              </w:rPr>
              <w:t>完成结构地震动力时程响应分析；</w:t>
            </w:r>
          </w:p>
          <w:p>
            <w:pPr>
              <w:numPr>
                <w:ilvl w:val="255"/>
                <w:numId w:val="0"/>
              </w:numPr>
              <w:tabs>
                <w:tab w:val="left" w:pos="537"/>
              </w:tabs>
              <w:adjustRightInd w:val="0"/>
              <w:snapToGrid w:val="0"/>
              <w:ind w:left="0" w:firstLine="0"/>
              <w:jc w:val="left"/>
              <w:textAlignment w:val="center"/>
              <w:rPr>
                <w:rFonts w:ascii="宋体" w:hAnsi="宋体"/>
                <w:bCs/>
                <w:color w:val="auto"/>
                <w:szCs w:val="21"/>
              </w:rPr>
            </w:pPr>
            <w:r>
              <w:rPr>
                <w:rFonts w:hint="eastAsia" w:ascii="宋体" w:hAnsi="宋体"/>
                <w:color w:val="auto"/>
                <w:szCs w:val="21"/>
              </w:rPr>
              <w:t>（2）完成关键电气设备地震动力响应分析。</w:t>
            </w:r>
          </w:p>
          <w:p>
            <w:pPr>
              <w:tabs>
                <w:tab w:val="left" w:pos="537"/>
                <w:tab w:val="left" w:pos="763"/>
              </w:tabs>
              <w:adjustRightInd w:val="0"/>
              <w:snapToGrid w:val="0"/>
              <w:jc w:val="left"/>
              <w:textAlignment w:val="center"/>
              <w:rPr>
                <w:rFonts w:ascii="宋体" w:hAnsi="宋体"/>
                <w:b/>
                <w:color w:val="auto"/>
                <w:szCs w:val="21"/>
              </w:rPr>
            </w:pPr>
            <w:r>
              <w:rPr>
                <w:rFonts w:hint="eastAsia" w:ascii="宋体" w:hAnsi="宋体"/>
                <w:b/>
                <w:color w:val="auto"/>
                <w:szCs w:val="21"/>
              </w:rPr>
              <w:t>交付物：</w:t>
            </w:r>
          </w:p>
          <w:p>
            <w:pPr>
              <w:tabs>
                <w:tab w:val="left" w:pos="537"/>
              </w:tabs>
              <w:adjustRightInd w:val="0"/>
              <w:snapToGrid w:val="0"/>
              <w:jc w:val="left"/>
              <w:textAlignment w:val="center"/>
              <w:rPr>
                <w:rFonts w:ascii="宋体" w:hAnsi="宋体"/>
                <w:bCs/>
                <w:color w:val="auto"/>
                <w:szCs w:val="21"/>
              </w:rPr>
            </w:pPr>
            <w:r>
              <w:rPr>
                <w:rFonts w:hint="eastAsia" w:ascii="宋体" w:hAnsi="宋体"/>
                <w:color w:val="auto"/>
                <w:szCs w:val="21"/>
              </w:rPr>
              <w:t>（1）</w:t>
            </w:r>
            <w:r>
              <w:rPr>
                <w:rFonts w:hint="eastAsia" w:asciiTheme="minorEastAsia" w:hAnsiTheme="minorEastAsia" w:eastAsiaTheme="minorEastAsia" w:cstheme="minorEastAsia"/>
                <w:color w:val="auto"/>
                <w:szCs w:val="21"/>
              </w:rPr>
              <w:t>高层大跨度换流站结构及</w:t>
            </w:r>
            <w:r>
              <w:rPr>
                <w:rFonts w:hint="eastAsia" w:ascii="宋体" w:hAnsi="宋体"/>
                <w:color w:val="auto"/>
                <w:szCs w:val="21"/>
              </w:rPr>
              <w:t>关键电气设备地震动力时程</w:t>
            </w:r>
            <w:r>
              <w:rPr>
                <w:rFonts w:hint="eastAsia" w:asciiTheme="minorEastAsia" w:hAnsiTheme="minorEastAsia" w:eastAsiaTheme="minorEastAsia" w:cstheme="minorEastAsia"/>
                <w:color w:val="auto"/>
                <w:szCs w:val="21"/>
              </w:rPr>
              <w:t>分析。</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91" w:hRule="atLeast"/>
        </w:trPr>
        <w:tc>
          <w:tcPr>
            <w:tcW w:w="762" w:type="dxa"/>
            <w:tcBorders>
              <w:tl2br w:val="nil"/>
              <w:tr2bl w:val="nil"/>
            </w:tcBorders>
            <w:vAlign w:val="center"/>
          </w:tcPr>
          <w:p>
            <w:pPr>
              <w:widowControl/>
              <w:jc w:val="center"/>
              <w:rPr>
                <w:rFonts w:ascii="宋体" w:hAnsi="宋体"/>
                <w:b/>
                <w:color w:val="000000"/>
                <w:szCs w:val="21"/>
              </w:rPr>
            </w:pPr>
            <w:r>
              <w:rPr>
                <w:rFonts w:hint="eastAsia" w:ascii="宋体" w:hAnsi="宋体"/>
                <w:b/>
                <w:color w:val="000000"/>
                <w:szCs w:val="21"/>
              </w:rPr>
              <w:t>4</w:t>
            </w:r>
            <w:r>
              <w:rPr>
                <w:rFonts w:ascii="宋体" w:hAnsi="宋体"/>
                <w:b/>
                <w:color w:val="000000"/>
                <w:szCs w:val="21"/>
              </w:rPr>
              <w:t>.3</w:t>
            </w:r>
          </w:p>
        </w:tc>
        <w:tc>
          <w:tcPr>
            <w:tcW w:w="7629" w:type="dxa"/>
            <w:tcBorders>
              <w:tl2br w:val="nil"/>
              <w:tr2bl w:val="nil"/>
            </w:tcBorders>
            <w:vAlign w:val="center"/>
          </w:tcPr>
          <w:p>
            <w:pPr>
              <w:adjustRightInd w:val="0"/>
              <w:snapToGrid w:val="0"/>
              <w:textAlignment w:val="center"/>
              <w:rPr>
                <w:rFonts w:ascii="宋体" w:hAnsi="宋体"/>
                <w:b/>
                <w:color w:val="auto"/>
                <w:szCs w:val="21"/>
                <w:highlight w:val="none"/>
              </w:rPr>
            </w:pPr>
            <w:r>
              <w:rPr>
                <w:rFonts w:hint="eastAsia" w:ascii="宋体" w:hAnsi="宋体"/>
                <w:b/>
                <w:color w:val="auto"/>
                <w:szCs w:val="21"/>
                <w:highlight w:val="none"/>
              </w:rPr>
              <w:t>[2025年1月1日 - 2025年3月31日]</w:t>
            </w:r>
          </w:p>
          <w:p>
            <w:pPr>
              <w:adjustRightInd w:val="0"/>
              <w:snapToGrid w:val="0"/>
              <w:jc w:val="left"/>
              <w:textAlignment w:val="center"/>
              <w:rPr>
                <w:rFonts w:ascii="宋体" w:hAnsi="宋体"/>
                <w:b/>
                <w:color w:val="auto"/>
                <w:szCs w:val="21"/>
                <w:highlight w:val="none"/>
              </w:rPr>
            </w:pPr>
            <w:r>
              <w:rPr>
                <w:rFonts w:hint="eastAsia" w:ascii="宋体" w:hAnsi="宋体"/>
                <w:b/>
                <w:color w:val="auto"/>
                <w:szCs w:val="21"/>
                <w:highlight w:val="none"/>
              </w:rPr>
              <w:t>主要内容：</w:t>
            </w:r>
          </w:p>
          <w:p>
            <w:pPr>
              <w:numPr>
                <w:ilvl w:val="0"/>
                <w:numId w:val="6"/>
              </w:numPr>
              <w:tabs>
                <w:tab w:val="left" w:pos="537"/>
              </w:tabs>
              <w:adjustRightInd w:val="0"/>
              <w:snapToGrid w:val="0"/>
              <w:ind w:left="0" w:firstLine="0"/>
              <w:jc w:val="left"/>
              <w:textAlignment w:val="center"/>
              <w:rPr>
                <w:rFonts w:ascii="宋体" w:hAnsi="宋体"/>
                <w:color w:val="auto"/>
                <w:szCs w:val="21"/>
                <w:highlight w:val="none"/>
              </w:rPr>
            </w:pPr>
            <w:r>
              <w:rPr>
                <w:rFonts w:hint="eastAsia" w:ascii="宋体" w:hAnsi="宋体"/>
                <w:color w:val="auto"/>
                <w:szCs w:val="21"/>
                <w:highlight w:val="none"/>
              </w:rPr>
              <w:t>完成结构整体模型地震模拟振动台试验；</w:t>
            </w:r>
          </w:p>
          <w:p>
            <w:pPr>
              <w:numPr>
                <w:ilvl w:val="0"/>
                <w:numId w:val="6"/>
              </w:numPr>
              <w:tabs>
                <w:tab w:val="left" w:pos="537"/>
              </w:tabs>
              <w:adjustRightInd w:val="0"/>
              <w:snapToGrid w:val="0"/>
              <w:ind w:left="0" w:firstLine="0"/>
              <w:jc w:val="left"/>
              <w:textAlignment w:val="center"/>
              <w:rPr>
                <w:rFonts w:ascii="宋体" w:hAnsi="宋体"/>
                <w:color w:val="auto"/>
                <w:szCs w:val="21"/>
                <w:highlight w:val="none"/>
              </w:rPr>
            </w:pPr>
            <w:r>
              <w:rPr>
                <w:rFonts w:hint="eastAsia" w:ascii="宋体" w:hAnsi="宋体"/>
                <w:color w:val="auto"/>
                <w:szCs w:val="21"/>
                <w:highlight w:val="none"/>
              </w:rPr>
              <w:t>完成结构塑性铰分布机理研究；</w:t>
            </w:r>
          </w:p>
          <w:p>
            <w:pPr>
              <w:numPr>
                <w:ilvl w:val="0"/>
                <w:numId w:val="6"/>
              </w:numPr>
              <w:tabs>
                <w:tab w:val="left" w:pos="537"/>
              </w:tabs>
              <w:adjustRightInd w:val="0"/>
              <w:snapToGrid w:val="0"/>
              <w:ind w:left="0" w:firstLine="0"/>
              <w:jc w:val="left"/>
              <w:textAlignment w:val="center"/>
              <w:rPr>
                <w:rFonts w:ascii="宋体" w:hAnsi="宋体"/>
                <w:color w:val="auto"/>
                <w:szCs w:val="21"/>
                <w:highlight w:val="none"/>
              </w:rPr>
            </w:pPr>
            <w:r>
              <w:rPr>
                <w:rFonts w:hint="eastAsia" w:ascii="宋体" w:hAnsi="宋体"/>
                <w:color w:val="auto"/>
                <w:szCs w:val="21"/>
                <w:highlight w:val="none"/>
              </w:rPr>
              <w:t>完成设备荷载简化计算方法研究。</w:t>
            </w:r>
          </w:p>
          <w:p>
            <w:pPr>
              <w:tabs>
                <w:tab w:val="left" w:pos="537"/>
                <w:tab w:val="left" w:pos="763"/>
              </w:tabs>
              <w:adjustRightInd w:val="0"/>
              <w:snapToGrid w:val="0"/>
              <w:jc w:val="left"/>
              <w:textAlignment w:val="center"/>
              <w:rPr>
                <w:rFonts w:ascii="宋体" w:hAnsi="宋体"/>
                <w:color w:val="auto"/>
                <w:szCs w:val="21"/>
                <w:highlight w:val="none"/>
              </w:rPr>
            </w:pPr>
            <w:r>
              <w:rPr>
                <w:rFonts w:hint="eastAsia" w:ascii="宋体" w:hAnsi="宋体"/>
                <w:b/>
                <w:color w:val="auto"/>
                <w:szCs w:val="21"/>
                <w:highlight w:val="none"/>
              </w:rPr>
              <w:t>交付物：</w:t>
            </w:r>
          </w:p>
          <w:p>
            <w:pPr>
              <w:numPr>
                <w:ilvl w:val="0"/>
                <w:numId w:val="7"/>
              </w:numPr>
              <w:tabs>
                <w:tab w:val="left" w:pos="537"/>
              </w:tabs>
              <w:adjustRightInd w:val="0"/>
              <w:snapToGrid w:val="0"/>
              <w:jc w:val="left"/>
              <w:textAlignment w:val="center"/>
              <w:rPr>
                <w:rFonts w:ascii="宋体" w:hAnsi="宋体"/>
                <w:color w:val="auto"/>
                <w:szCs w:val="21"/>
                <w:highlight w:val="none"/>
              </w:rPr>
            </w:pPr>
            <w:r>
              <w:rPr>
                <w:rFonts w:hint="eastAsia" w:ascii="宋体" w:hAnsi="宋体"/>
                <w:color w:val="auto"/>
                <w:szCs w:val="21"/>
                <w:highlight w:val="none"/>
              </w:rPr>
              <w:t>多层布置紧凑型大跨度柔性直流换流站阀厅结构地震模拟振动台试验及地震动力响应研究报告；</w:t>
            </w:r>
          </w:p>
          <w:p>
            <w:pPr>
              <w:numPr>
                <w:ilvl w:val="255"/>
                <w:numId w:val="0"/>
              </w:numPr>
              <w:tabs>
                <w:tab w:val="left" w:pos="537"/>
              </w:tabs>
              <w:adjustRightInd w:val="0"/>
              <w:snapToGrid w:val="0"/>
              <w:jc w:val="left"/>
              <w:textAlignment w:val="center"/>
              <w:rPr>
                <w:rFonts w:ascii="宋体" w:hAnsi="宋体"/>
                <w:color w:val="auto"/>
                <w:szCs w:val="21"/>
                <w:highlight w:val="none"/>
              </w:rPr>
            </w:pPr>
            <w:r>
              <w:rPr>
                <w:rFonts w:hint="eastAsia" w:ascii="宋体" w:hAnsi="宋体"/>
                <w:color w:val="auto"/>
                <w:szCs w:val="21"/>
                <w:highlight w:val="none"/>
              </w:rPr>
              <w:t>（2）高层大跨度换流站楼面设备荷载简化计算方法报告。</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762" w:type="dxa"/>
            <w:tcBorders>
              <w:tl2br w:val="nil"/>
              <w:tr2bl w:val="nil"/>
            </w:tcBorders>
            <w:vAlign w:val="center"/>
          </w:tcPr>
          <w:p>
            <w:pPr>
              <w:widowControl/>
              <w:jc w:val="center"/>
              <w:rPr>
                <w:rFonts w:ascii="宋体" w:hAnsi="宋体"/>
                <w:b/>
                <w:color w:val="000000"/>
                <w:szCs w:val="21"/>
              </w:rPr>
            </w:pPr>
            <w:r>
              <w:rPr>
                <w:rFonts w:hint="eastAsia" w:ascii="宋体" w:hAnsi="宋体"/>
                <w:b/>
                <w:color w:val="000000"/>
                <w:szCs w:val="21"/>
              </w:rPr>
              <w:t>4.4</w:t>
            </w:r>
          </w:p>
        </w:tc>
        <w:tc>
          <w:tcPr>
            <w:tcW w:w="7629" w:type="dxa"/>
            <w:tcBorders>
              <w:tl2br w:val="nil"/>
              <w:tr2bl w:val="nil"/>
            </w:tcBorders>
            <w:vAlign w:val="center"/>
          </w:tcPr>
          <w:p>
            <w:pPr>
              <w:adjustRightInd w:val="0"/>
              <w:snapToGrid w:val="0"/>
              <w:textAlignment w:val="center"/>
              <w:rPr>
                <w:rFonts w:ascii="宋体" w:hAnsi="宋体"/>
                <w:b/>
                <w:color w:val="auto"/>
                <w:szCs w:val="21"/>
              </w:rPr>
            </w:pPr>
            <w:r>
              <w:rPr>
                <w:rFonts w:hint="eastAsia" w:ascii="宋体" w:hAnsi="宋体"/>
                <w:b/>
                <w:color w:val="auto"/>
                <w:szCs w:val="21"/>
              </w:rPr>
              <w:t>[2025年4月1日 - 2025年6月31日]</w:t>
            </w:r>
          </w:p>
          <w:p>
            <w:pPr>
              <w:adjustRightInd w:val="0"/>
              <w:snapToGrid w:val="0"/>
              <w:jc w:val="left"/>
              <w:textAlignment w:val="center"/>
              <w:rPr>
                <w:rFonts w:ascii="宋体" w:hAnsi="宋体"/>
                <w:b/>
                <w:color w:val="auto"/>
                <w:szCs w:val="21"/>
              </w:rPr>
            </w:pPr>
            <w:r>
              <w:rPr>
                <w:rFonts w:hint="eastAsia" w:ascii="宋体" w:hAnsi="宋体"/>
                <w:b/>
                <w:color w:val="auto"/>
                <w:szCs w:val="21"/>
              </w:rPr>
              <w:t>主要内容：</w:t>
            </w:r>
          </w:p>
          <w:p>
            <w:pPr>
              <w:numPr>
                <w:ilvl w:val="0"/>
                <w:numId w:val="8"/>
              </w:numPr>
              <w:tabs>
                <w:tab w:val="left" w:pos="537"/>
              </w:tabs>
              <w:adjustRightInd w:val="0"/>
              <w:snapToGrid w:val="0"/>
              <w:ind w:left="0" w:firstLine="0"/>
              <w:jc w:val="left"/>
              <w:textAlignment w:val="center"/>
              <w:rPr>
                <w:rFonts w:ascii="宋体" w:hAnsi="宋体"/>
                <w:color w:val="auto"/>
                <w:szCs w:val="21"/>
              </w:rPr>
            </w:pPr>
            <w:r>
              <w:rPr>
                <w:rFonts w:hint="eastAsia" w:ascii="宋体" w:hAnsi="宋体"/>
                <w:color w:val="auto"/>
                <w:szCs w:val="21"/>
              </w:rPr>
              <w:t>完成关键电气设备联合局部结构地震模拟振动台试验；</w:t>
            </w:r>
          </w:p>
          <w:p>
            <w:pPr>
              <w:numPr>
                <w:ilvl w:val="0"/>
                <w:numId w:val="8"/>
              </w:numPr>
              <w:tabs>
                <w:tab w:val="left" w:pos="537"/>
              </w:tabs>
              <w:adjustRightInd w:val="0"/>
              <w:snapToGrid w:val="0"/>
              <w:ind w:left="0" w:firstLine="0"/>
              <w:jc w:val="left"/>
              <w:textAlignment w:val="center"/>
              <w:rPr>
                <w:rFonts w:ascii="宋体" w:hAnsi="宋体"/>
                <w:color w:val="auto"/>
                <w:szCs w:val="21"/>
              </w:rPr>
            </w:pPr>
            <w:r>
              <w:rPr>
                <w:rFonts w:hint="eastAsia" w:ascii="宋体" w:hAnsi="宋体"/>
                <w:color w:val="auto"/>
                <w:szCs w:val="21"/>
              </w:rPr>
              <w:t>完成关键电气设备易损性研究。</w:t>
            </w:r>
          </w:p>
          <w:p>
            <w:pPr>
              <w:tabs>
                <w:tab w:val="left" w:pos="537"/>
                <w:tab w:val="left" w:pos="763"/>
              </w:tabs>
              <w:adjustRightInd w:val="0"/>
              <w:snapToGrid w:val="0"/>
              <w:jc w:val="left"/>
              <w:textAlignment w:val="center"/>
              <w:rPr>
                <w:rFonts w:ascii="宋体" w:hAnsi="宋体"/>
                <w:b/>
                <w:color w:val="auto"/>
                <w:szCs w:val="21"/>
              </w:rPr>
            </w:pPr>
            <w:r>
              <w:rPr>
                <w:rFonts w:hint="eastAsia" w:ascii="宋体" w:hAnsi="宋体"/>
                <w:b/>
                <w:color w:val="auto"/>
                <w:szCs w:val="21"/>
              </w:rPr>
              <w:t>交付物：</w:t>
            </w:r>
          </w:p>
          <w:p>
            <w:pPr>
              <w:tabs>
                <w:tab w:val="left" w:pos="537"/>
              </w:tabs>
              <w:adjustRightInd w:val="0"/>
              <w:snapToGrid w:val="0"/>
              <w:ind w:left="525" w:hanging="525" w:hangingChars="250"/>
              <w:jc w:val="left"/>
              <w:textAlignment w:val="center"/>
              <w:rPr>
                <w:rFonts w:ascii="宋体" w:hAnsi="宋体"/>
                <w:color w:val="auto"/>
                <w:szCs w:val="21"/>
              </w:rPr>
            </w:pPr>
            <w:r>
              <w:rPr>
                <w:rFonts w:hint="eastAsia" w:ascii="宋体" w:hAnsi="宋体"/>
                <w:color w:val="auto"/>
                <w:szCs w:val="21"/>
              </w:rPr>
              <w:t>（1）</w:t>
            </w:r>
            <w:r>
              <w:rPr>
                <w:rFonts w:hint="eastAsia" w:asciiTheme="minorEastAsia" w:hAnsiTheme="minorEastAsia" w:eastAsiaTheme="minorEastAsia" w:cstheme="minorEastAsia"/>
                <w:color w:val="auto"/>
                <w:szCs w:val="21"/>
              </w:rPr>
              <w:t>高层大跨度重载换流站关键电气设备联合局部结构地震模拟振动台试验及地震动力响应研究报告。</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72" w:hRule="atLeast"/>
        </w:trPr>
        <w:tc>
          <w:tcPr>
            <w:tcW w:w="762" w:type="dxa"/>
            <w:tcBorders>
              <w:tl2br w:val="nil"/>
              <w:tr2bl w:val="nil"/>
            </w:tcBorders>
            <w:vAlign w:val="center"/>
          </w:tcPr>
          <w:p>
            <w:pPr>
              <w:adjustRightInd w:val="0"/>
              <w:snapToGrid w:val="0"/>
              <w:jc w:val="center"/>
              <w:textAlignment w:val="center"/>
              <w:rPr>
                <w:rFonts w:ascii="宋体" w:hAnsi="宋体"/>
                <w:b/>
                <w:color w:val="000000"/>
                <w:szCs w:val="21"/>
              </w:rPr>
            </w:pPr>
            <w:r>
              <w:rPr>
                <w:rFonts w:hint="eastAsia" w:ascii="宋体" w:hAnsi="宋体"/>
                <w:b/>
                <w:color w:val="000000"/>
                <w:szCs w:val="21"/>
              </w:rPr>
              <w:t>4</w:t>
            </w:r>
            <w:r>
              <w:rPr>
                <w:rFonts w:ascii="宋体" w:hAnsi="宋体"/>
                <w:b/>
                <w:color w:val="000000"/>
                <w:szCs w:val="21"/>
              </w:rPr>
              <w:t>.</w:t>
            </w:r>
            <w:r>
              <w:rPr>
                <w:rFonts w:hint="eastAsia" w:ascii="宋体" w:hAnsi="宋体"/>
                <w:b/>
                <w:color w:val="000000"/>
                <w:szCs w:val="21"/>
              </w:rPr>
              <w:t>5</w:t>
            </w:r>
          </w:p>
        </w:tc>
        <w:tc>
          <w:tcPr>
            <w:tcW w:w="7629" w:type="dxa"/>
            <w:tcBorders>
              <w:tl2br w:val="nil"/>
              <w:tr2bl w:val="nil"/>
            </w:tcBorders>
            <w:vAlign w:val="center"/>
          </w:tcPr>
          <w:p>
            <w:pPr>
              <w:adjustRightInd w:val="0"/>
              <w:snapToGrid w:val="0"/>
              <w:textAlignment w:val="center"/>
              <w:rPr>
                <w:rFonts w:ascii="宋体" w:hAnsi="宋体"/>
                <w:b/>
                <w:color w:val="auto"/>
                <w:szCs w:val="21"/>
                <w:highlight w:val="none"/>
              </w:rPr>
            </w:pPr>
            <w:r>
              <w:rPr>
                <w:rFonts w:hint="eastAsia" w:ascii="宋体" w:hAnsi="宋体"/>
                <w:b/>
                <w:color w:val="auto"/>
                <w:szCs w:val="21"/>
                <w:highlight w:val="none"/>
              </w:rPr>
              <w:t>[2025年7月1日 - 2025年9月31日]</w:t>
            </w:r>
          </w:p>
          <w:p>
            <w:pPr>
              <w:adjustRightInd w:val="0"/>
              <w:snapToGrid w:val="0"/>
              <w:jc w:val="left"/>
              <w:textAlignment w:val="center"/>
              <w:rPr>
                <w:rFonts w:ascii="宋体" w:hAnsi="宋体"/>
                <w:b/>
                <w:color w:val="auto"/>
                <w:szCs w:val="21"/>
                <w:highlight w:val="none"/>
              </w:rPr>
            </w:pPr>
            <w:r>
              <w:rPr>
                <w:rFonts w:hint="eastAsia" w:ascii="宋体" w:hAnsi="宋体"/>
                <w:b/>
                <w:color w:val="auto"/>
                <w:szCs w:val="21"/>
                <w:highlight w:val="none"/>
              </w:rPr>
              <w:t>主要内容：</w:t>
            </w:r>
          </w:p>
          <w:p>
            <w:pPr>
              <w:numPr>
                <w:ilvl w:val="0"/>
                <w:numId w:val="9"/>
              </w:numPr>
              <w:tabs>
                <w:tab w:val="left" w:pos="537"/>
              </w:tabs>
              <w:adjustRightInd w:val="0"/>
              <w:snapToGrid w:val="0"/>
              <w:ind w:left="0" w:firstLine="0"/>
              <w:jc w:val="left"/>
              <w:textAlignment w:val="center"/>
              <w:rPr>
                <w:rFonts w:ascii="宋体" w:hAnsi="宋体"/>
                <w:b/>
                <w:color w:val="auto"/>
                <w:szCs w:val="21"/>
                <w:highlight w:val="none"/>
              </w:rPr>
            </w:pPr>
            <w:r>
              <w:rPr>
                <w:rFonts w:hint="eastAsia" w:ascii="宋体" w:hAnsi="宋体"/>
                <w:color w:val="auto"/>
                <w:szCs w:val="21"/>
                <w:highlight w:val="none"/>
              </w:rPr>
              <w:t>结合抗震设防、减振隔振及工艺要求，对所选结构布置方案进行优化设计，并完成复杂节点及构造的深化设计。</w:t>
            </w:r>
          </w:p>
          <w:p>
            <w:pPr>
              <w:tabs>
                <w:tab w:val="left" w:pos="537"/>
                <w:tab w:val="left" w:pos="763"/>
              </w:tabs>
              <w:adjustRightInd w:val="0"/>
              <w:snapToGrid w:val="0"/>
              <w:jc w:val="left"/>
              <w:textAlignment w:val="center"/>
              <w:rPr>
                <w:rFonts w:ascii="宋体" w:hAnsi="宋体"/>
                <w:b/>
                <w:color w:val="auto"/>
                <w:szCs w:val="21"/>
                <w:highlight w:val="none"/>
              </w:rPr>
            </w:pPr>
            <w:r>
              <w:rPr>
                <w:rFonts w:hint="eastAsia" w:ascii="宋体" w:hAnsi="宋体"/>
                <w:b/>
                <w:color w:val="auto"/>
                <w:szCs w:val="21"/>
                <w:highlight w:val="none"/>
              </w:rPr>
              <w:t>交付物：</w:t>
            </w:r>
          </w:p>
          <w:p>
            <w:pPr>
              <w:tabs>
                <w:tab w:val="left" w:pos="537"/>
              </w:tabs>
              <w:adjustRightInd w:val="0"/>
              <w:snapToGrid w:val="0"/>
              <w:jc w:val="left"/>
              <w:textAlignment w:val="center"/>
              <w:rPr>
                <w:rFonts w:ascii="宋体" w:hAnsi="宋体"/>
                <w:b/>
                <w:color w:val="auto"/>
                <w:szCs w:val="21"/>
                <w:highlight w:val="none"/>
              </w:rPr>
            </w:pPr>
            <w:r>
              <w:rPr>
                <w:rFonts w:hint="eastAsia" w:ascii="宋体" w:hAnsi="宋体"/>
                <w:color w:val="auto"/>
                <w:szCs w:val="21"/>
                <w:highlight w:val="none"/>
              </w:rPr>
              <w:t>（1）城市紧凑型换流站结构体系研究报告。</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762" w:type="dxa"/>
            <w:tcBorders>
              <w:tl2br w:val="nil"/>
              <w:tr2bl w:val="nil"/>
            </w:tcBorders>
            <w:vAlign w:val="center"/>
          </w:tcPr>
          <w:p>
            <w:pPr>
              <w:adjustRightInd w:val="0"/>
              <w:snapToGrid w:val="0"/>
              <w:jc w:val="center"/>
              <w:textAlignment w:val="center"/>
              <w:rPr>
                <w:rFonts w:ascii="宋体" w:hAnsi="宋体"/>
                <w:b/>
                <w:color w:val="000000"/>
                <w:szCs w:val="21"/>
              </w:rPr>
            </w:pPr>
            <w:r>
              <w:rPr>
                <w:rFonts w:hint="eastAsia" w:ascii="宋体" w:hAnsi="宋体"/>
                <w:b/>
                <w:color w:val="000000"/>
                <w:szCs w:val="21"/>
              </w:rPr>
              <w:t>4</w:t>
            </w:r>
            <w:r>
              <w:rPr>
                <w:rFonts w:ascii="宋体" w:hAnsi="宋体"/>
                <w:b/>
                <w:color w:val="000000"/>
                <w:szCs w:val="21"/>
              </w:rPr>
              <w:t>.</w:t>
            </w:r>
            <w:r>
              <w:rPr>
                <w:rFonts w:hint="eastAsia" w:ascii="宋体" w:hAnsi="宋体"/>
                <w:b/>
                <w:color w:val="000000"/>
                <w:szCs w:val="21"/>
              </w:rPr>
              <w:t>6</w:t>
            </w:r>
          </w:p>
        </w:tc>
        <w:tc>
          <w:tcPr>
            <w:tcW w:w="7629" w:type="dxa"/>
            <w:tcBorders>
              <w:tl2br w:val="nil"/>
              <w:tr2bl w:val="nil"/>
            </w:tcBorders>
            <w:vAlign w:val="center"/>
          </w:tcPr>
          <w:p>
            <w:pPr>
              <w:adjustRightInd w:val="0"/>
              <w:snapToGrid w:val="0"/>
              <w:textAlignment w:val="center"/>
              <w:rPr>
                <w:rFonts w:ascii="宋体" w:hAnsi="宋体"/>
                <w:b/>
                <w:color w:val="auto"/>
                <w:szCs w:val="21"/>
              </w:rPr>
            </w:pPr>
            <w:r>
              <w:rPr>
                <w:rFonts w:hint="eastAsia" w:ascii="宋体" w:hAnsi="宋体"/>
                <w:b/>
                <w:color w:val="auto"/>
                <w:szCs w:val="21"/>
              </w:rPr>
              <w:t>[2025年10月1日 - 2026年</w:t>
            </w:r>
            <w:r>
              <w:rPr>
                <w:rFonts w:hint="eastAsia" w:ascii="宋体" w:hAnsi="宋体"/>
                <w:b/>
                <w:color w:val="auto"/>
                <w:szCs w:val="21"/>
                <w:lang w:val="en-US" w:eastAsia="zh-CN"/>
              </w:rPr>
              <w:t>3</w:t>
            </w:r>
            <w:r>
              <w:rPr>
                <w:rFonts w:hint="eastAsia" w:ascii="宋体" w:hAnsi="宋体"/>
                <w:b/>
                <w:color w:val="auto"/>
                <w:szCs w:val="21"/>
              </w:rPr>
              <w:t>月</w:t>
            </w:r>
            <w:r>
              <w:rPr>
                <w:rFonts w:hint="eastAsia" w:ascii="宋体" w:hAnsi="宋体"/>
                <w:b/>
                <w:color w:val="auto"/>
                <w:szCs w:val="21"/>
                <w:lang w:val="en-US" w:eastAsia="zh-CN"/>
              </w:rPr>
              <w:t>31</w:t>
            </w:r>
            <w:r>
              <w:rPr>
                <w:rFonts w:hint="eastAsia" w:ascii="宋体" w:hAnsi="宋体"/>
                <w:b/>
                <w:color w:val="auto"/>
                <w:szCs w:val="21"/>
              </w:rPr>
              <w:t>日]</w:t>
            </w:r>
          </w:p>
          <w:p>
            <w:pPr>
              <w:adjustRightInd w:val="0"/>
              <w:snapToGrid w:val="0"/>
              <w:jc w:val="left"/>
              <w:textAlignment w:val="center"/>
              <w:rPr>
                <w:rFonts w:ascii="宋体" w:hAnsi="宋体"/>
                <w:b/>
                <w:color w:val="auto"/>
                <w:szCs w:val="21"/>
              </w:rPr>
            </w:pPr>
            <w:r>
              <w:rPr>
                <w:rFonts w:hint="eastAsia" w:ascii="宋体" w:hAnsi="宋体"/>
                <w:b/>
                <w:color w:val="auto"/>
                <w:szCs w:val="21"/>
              </w:rPr>
              <w:t>主要内容：</w:t>
            </w:r>
          </w:p>
          <w:p>
            <w:pPr>
              <w:numPr>
                <w:ilvl w:val="0"/>
                <w:numId w:val="10"/>
              </w:numPr>
              <w:tabs>
                <w:tab w:val="left" w:pos="537"/>
              </w:tabs>
              <w:adjustRightInd w:val="0"/>
              <w:snapToGrid w:val="0"/>
              <w:ind w:left="0" w:firstLine="0"/>
              <w:jc w:val="left"/>
              <w:textAlignment w:val="center"/>
              <w:rPr>
                <w:rFonts w:ascii="宋体" w:hAnsi="宋体"/>
                <w:color w:val="auto"/>
                <w:szCs w:val="21"/>
              </w:rPr>
            </w:pPr>
            <w:r>
              <w:rPr>
                <w:rFonts w:hint="eastAsia" w:ascii="宋体" w:hAnsi="宋体"/>
                <w:color w:val="auto"/>
                <w:szCs w:val="21"/>
              </w:rPr>
              <w:t>结合理论与工程实际运用研究，完成技术运用与研究成果总结；</w:t>
            </w:r>
          </w:p>
          <w:p>
            <w:pPr>
              <w:numPr>
                <w:ilvl w:val="0"/>
                <w:numId w:val="10"/>
              </w:numPr>
              <w:tabs>
                <w:tab w:val="left" w:pos="537"/>
              </w:tabs>
              <w:adjustRightInd w:val="0"/>
              <w:snapToGrid w:val="0"/>
              <w:ind w:left="0" w:firstLine="0"/>
              <w:jc w:val="left"/>
              <w:textAlignment w:val="center"/>
              <w:rPr>
                <w:rFonts w:ascii="宋体" w:hAnsi="宋体"/>
                <w:color w:val="auto"/>
                <w:szCs w:val="21"/>
              </w:rPr>
            </w:pPr>
            <w:r>
              <w:rPr>
                <w:rFonts w:hint="eastAsia" w:ascii="宋体" w:hAnsi="宋体"/>
                <w:color w:val="auto"/>
                <w:szCs w:val="21"/>
              </w:rPr>
              <w:t>编制验收相关材料，整理研究成果，组织开展验收评审与成果归档工作；</w:t>
            </w:r>
          </w:p>
          <w:p>
            <w:pPr>
              <w:numPr>
                <w:ilvl w:val="0"/>
                <w:numId w:val="10"/>
              </w:numPr>
              <w:tabs>
                <w:tab w:val="left" w:pos="537"/>
              </w:tabs>
              <w:adjustRightInd w:val="0"/>
              <w:snapToGrid w:val="0"/>
              <w:ind w:left="0" w:firstLine="0"/>
              <w:jc w:val="left"/>
              <w:textAlignment w:val="center"/>
              <w:rPr>
                <w:rFonts w:ascii="宋体" w:hAnsi="宋体"/>
                <w:color w:val="auto"/>
                <w:szCs w:val="21"/>
              </w:rPr>
            </w:pPr>
            <w:r>
              <w:rPr>
                <w:rFonts w:hint="eastAsia" w:ascii="宋体" w:hAnsi="宋体"/>
                <w:color w:val="auto"/>
                <w:szCs w:val="21"/>
              </w:rPr>
              <w:t>配合验收。</w:t>
            </w:r>
          </w:p>
          <w:p>
            <w:pPr>
              <w:tabs>
                <w:tab w:val="left" w:pos="537"/>
                <w:tab w:val="left" w:pos="763"/>
              </w:tabs>
              <w:adjustRightInd w:val="0"/>
              <w:snapToGrid w:val="0"/>
              <w:jc w:val="left"/>
              <w:textAlignment w:val="center"/>
              <w:rPr>
                <w:rFonts w:ascii="宋体" w:hAnsi="宋体"/>
                <w:b/>
                <w:color w:val="auto"/>
                <w:szCs w:val="21"/>
              </w:rPr>
            </w:pPr>
            <w:r>
              <w:rPr>
                <w:rFonts w:hint="eastAsia" w:ascii="宋体" w:hAnsi="宋体"/>
                <w:b/>
                <w:color w:val="auto"/>
                <w:szCs w:val="21"/>
              </w:rPr>
              <w:t>交付物：</w:t>
            </w:r>
          </w:p>
          <w:p>
            <w:pPr>
              <w:tabs>
                <w:tab w:val="left" w:pos="537"/>
              </w:tabs>
              <w:adjustRightInd w:val="0"/>
              <w:snapToGrid w:val="0"/>
              <w:ind w:left="525" w:hanging="525" w:hangingChars="250"/>
              <w:jc w:val="left"/>
              <w:textAlignment w:val="center"/>
              <w:rPr>
                <w:rFonts w:ascii="宋体" w:hAnsi="宋体"/>
                <w:color w:val="auto"/>
                <w:szCs w:val="21"/>
              </w:rPr>
            </w:pPr>
            <w:r>
              <w:rPr>
                <w:rFonts w:hint="eastAsia" w:ascii="宋体" w:hAnsi="宋体"/>
                <w:color w:val="auto"/>
                <w:szCs w:val="21"/>
              </w:rPr>
              <w:t>（1）著作《多层布置紧凑型大跨度柔直换流站结构抗震关键技术运用与研究》送审稿；</w:t>
            </w:r>
          </w:p>
          <w:p>
            <w:pPr>
              <w:tabs>
                <w:tab w:val="left" w:pos="537"/>
              </w:tabs>
              <w:adjustRightInd w:val="0"/>
              <w:snapToGrid w:val="0"/>
              <w:ind w:left="525" w:hanging="525" w:hangingChars="250"/>
              <w:jc w:val="left"/>
              <w:textAlignment w:val="center"/>
              <w:rPr>
                <w:rFonts w:ascii="宋体" w:hAnsi="宋体"/>
                <w:color w:val="auto"/>
                <w:szCs w:val="21"/>
              </w:rPr>
            </w:pPr>
            <w:r>
              <w:rPr>
                <w:rFonts w:hint="eastAsia" w:ascii="宋体" w:hAnsi="宋体"/>
                <w:color w:val="auto"/>
                <w:szCs w:val="21"/>
              </w:rPr>
              <w:t>（2）</w:t>
            </w:r>
            <w:r>
              <w:rPr>
                <w:rFonts w:hint="eastAsia" w:ascii="宋体" w:hAnsi="宋体" w:eastAsia="宋体" w:cs="Times New Roman"/>
                <w:color w:val="auto"/>
                <w:szCs w:val="21"/>
                <w:lang w:val="en-US" w:eastAsia="zh-CN"/>
              </w:rPr>
              <w:t>团体或行业标准</w:t>
            </w:r>
            <w:r>
              <w:rPr>
                <w:rFonts w:hint="eastAsia" w:ascii="宋体" w:hAnsi="宋体" w:eastAsia="宋体" w:cs="Times New Roman"/>
                <w:color w:val="auto"/>
                <w:szCs w:val="21"/>
              </w:rPr>
              <w:t>送审</w:t>
            </w:r>
            <w:r>
              <w:rPr>
                <w:rFonts w:hint="eastAsia" w:ascii="宋体" w:hAnsi="宋体"/>
                <w:color w:val="auto"/>
                <w:szCs w:val="21"/>
              </w:rPr>
              <w:t>稿；</w:t>
            </w:r>
          </w:p>
          <w:p>
            <w:pPr>
              <w:tabs>
                <w:tab w:val="left" w:pos="537"/>
              </w:tabs>
              <w:adjustRightInd w:val="0"/>
              <w:snapToGrid w:val="0"/>
              <w:ind w:left="525" w:hanging="525" w:hangingChars="250"/>
              <w:jc w:val="left"/>
              <w:textAlignment w:val="center"/>
              <w:rPr>
                <w:rFonts w:ascii="宋体" w:hAnsi="宋体"/>
                <w:color w:val="auto"/>
                <w:szCs w:val="21"/>
              </w:rPr>
            </w:pPr>
            <w:r>
              <w:rPr>
                <w:rFonts w:hint="eastAsia" w:ascii="宋体" w:hAnsi="宋体"/>
                <w:color w:val="auto"/>
                <w:szCs w:val="21"/>
              </w:rPr>
              <w:t>（3）论文录用2篇；</w:t>
            </w:r>
          </w:p>
          <w:p>
            <w:pPr>
              <w:tabs>
                <w:tab w:val="left" w:pos="537"/>
              </w:tabs>
              <w:adjustRightInd w:val="0"/>
              <w:snapToGrid w:val="0"/>
              <w:ind w:left="525" w:hanging="525" w:hangingChars="250"/>
              <w:jc w:val="left"/>
              <w:textAlignment w:val="center"/>
              <w:rPr>
                <w:rFonts w:ascii="宋体" w:hAnsi="宋体"/>
                <w:color w:val="auto"/>
                <w:szCs w:val="21"/>
              </w:rPr>
            </w:pPr>
            <w:r>
              <w:rPr>
                <w:rFonts w:hint="eastAsia" w:ascii="宋体" w:hAnsi="宋体"/>
                <w:color w:val="auto"/>
                <w:szCs w:val="21"/>
              </w:rPr>
              <w:t>（4）发明专利受理4个。</w:t>
            </w:r>
          </w:p>
        </w:tc>
      </w:tr>
    </w:tbl>
    <w:p>
      <w:pPr>
        <w:pStyle w:val="22"/>
        <w:spacing w:before="312"/>
        <w:outlineLvl w:val="0"/>
        <w:rPr>
          <w:rFonts w:ascii="黑体" w:hAnsi="黑体" w:eastAsia="黑体" w:cs="黑体"/>
          <w:sz w:val="28"/>
          <w:szCs w:val="28"/>
        </w:rPr>
      </w:pPr>
      <w:bookmarkStart w:id="17" w:name="_Toc2980"/>
      <w:r>
        <w:rPr>
          <w:rFonts w:hint="eastAsia" w:ascii="黑体" w:hAnsi="黑体" w:eastAsia="黑体" w:cs="黑体"/>
          <w:sz w:val="28"/>
          <w:szCs w:val="28"/>
        </w:rPr>
        <w:t>5  成果交付与验收</w:t>
      </w:r>
      <w:bookmarkEnd w:id="17"/>
    </w:p>
    <w:p>
      <w:pPr>
        <w:spacing w:line="360" w:lineRule="auto"/>
        <w:outlineLvl w:val="1"/>
        <w:rPr>
          <w:rFonts w:ascii="黑体" w:hAnsi="黑体" w:eastAsia="黑体" w:cs="黑体"/>
          <w:bCs/>
          <w:sz w:val="24"/>
        </w:rPr>
      </w:pPr>
      <w:bookmarkStart w:id="18" w:name="_Toc29192"/>
      <w:r>
        <w:rPr>
          <w:rFonts w:hint="eastAsia" w:ascii="黑体" w:hAnsi="黑体" w:eastAsia="黑体" w:cs="黑体"/>
          <w:bCs/>
          <w:sz w:val="24"/>
        </w:rPr>
        <w:t>5.1 成果形式及数量要求</w:t>
      </w:r>
      <w:bookmarkEnd w:id="18"/>
      <w:bookmarkStart w:id="19" w:name="_Hlk25764254"/>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（1）《高层大跨度换流站楼面设备荷载简化计算方法》1份，验收标准：专家验收评审；</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w:t>
      </w:r>
      <w:r>
        <w:rPr>
          <w:rFonts w:asciiTheme="minorEastAsia" w:hAnsiTheme="minorEastAsia" w:eastAsiaTheme="minorEastAsia" w:cstheme="minorEastAsia"/>
          <w:color w:val="auto"/>
          <w:sz w:val="24"/>
          <w:highlight w:val="none"/>
        </w:rPr>
        <w:t>2）</w:t>
      </w:r>
      <w:r>
        <w:rPr>
          <w:rFonts w:hint="eastAsia" w:asciiTheme="minorEastAsia" w:hAnsiTheme="minorEastAsia" w:eastAsiaTheme="minorEastAsia" w:cstheme="minorEastAsia"/>
          <w:color w:val="auto"/>
          <w:sz w:val="24"/>
          <w:highlight w:val="none"/>
        </w:rPr>
        <w:t>《多层布置紧凑型大跨度柔性直流换流站阀厅结构地震模拟振动台试验及地震动力响应研究报告》1份，验收标准：专家验收评审；</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lang w:val="en-US" w:eastAsia="zh-CN"/>
        </w:rPr>
        <w:t>3</w:t>
      </w:r>
      <w:r>
        <w:rPr>
          <w:rFonts w:hint="eastAsia" w:asciiTheme="minorEastAsia" w:hAnsiTheme="minorEastAsia" w:eastAsiaTheme="minorEastAsia" w:cstheme="minorEastAsia"/>
          <w:color w:val="auto"/>
          <w:sz w:val="24"/>
          <w:highlight w:val="none"/>
        </w:rPr>
        <w:t>）《城市紧凑型换流站结构体系研究报告》1份，验收标准：专家验收评审；</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lang w:val="en-US" w:eastAsia="zh-CN"/>
        </w:rPr>
        <w:t>4</w:t>
      </w:r>
      <w:r>
        <w:rPr>
          <w:rFonts w:hint="eastAsia" w:asciiTheme="minorEastAsia" w:hAnsiTheme="minorEastAsia" w:eastAsiaTheme="minorEastAsia" w:cstheme="minorEastAsia"/>
          <w:color w:val="auto"/>
          <w:sz w:val="24"/>
          <w:highlight w:val="none"/>
        </w:rPr>
        <w:t>）著作《多层布置紧凑型大跨度柔直换流站结构抗震关键技术运用与研究》1份，验收标准：</w:t>
      </w:r>
      <w:r>
        <w:rPr>
          <w:rFonts w:hint="eastAsia"/>
          <w:color w:val="auto"/>
          <w:sz w:val="24"/>
          <w:highlight w:val="none"/>
        </w:rPr>
        <w:t>送审稿</w:t>
      </w:r>
      <w:r>
        <w:rPr>
          <w:rFonts w:hint="eastAsia" w:asciiTheme="minorEastAsia" w:hAnsiTheme="minorEastAsia" w:eastAsiaTheme="minorEastAsia" w:cstheme="minorEastAsia"/>
          <w:color w:val="auto"/>
          <w:sz w:val="24"/>
          <w:highlight w:val="none"/>
        </w:rPr>
        <w:t>；</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lang w:val="en-US" w:eastAsia="zh-CN"/>
        </w:rPr>
        <w:t>5</w:t>
      </w: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lang w:val="en-US" w:eastAsia="zh-CN"/>
        </w:rPr>
        <w:t>团体或行业标准</w:t>
      </w:r>
      <w:r>
        <w:rPr>
          <w:rFonts w:hint="eastAsia" w:asciiTheme="minorEastAsia" w:hAnsiTheme="minorEastAsia" w:eastAsiaTheme="minorEastAsia" w:cstheme="minorEastAsia"/>
          <w:color w:val="auto"/>
          <w:sz w:val="24"/>
          <w:highlight w:val="none"/>
        </w:rPr>
        <w:t>1份，验收标准：送审稿；</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lang w:val="en-US" w:eastAsia="zh-CN"/>
        </w:rPr>
        <w:t>6</w:t>
      </w:r>
      <w:r>
        <w:rPr>
          <w:rFonts w:hint="eastAsia" w:asciiTheme="minorEastAsia" w:hAnsiTheme="minorEastAsia" w:eastAsiaTheme="minorEastAsia" w:cstheme="minorEastAsia"/>
          <w:color w:val="auto"/>
          <w:sz w:val="24"/>
          <w:highlight w:val="none"/>
        </w:rPr>
        <w:t>）论文2篇，北大核心/EI/SCI，验收标准：发表或录用证明；</w:t>
      </w:r>
    </w:p>
    <w:p>
      <w:pPr>
        <w:spacing w:line="360" w:lineRule="auto"/>
        <w:ind w:firstLine="480" w:firstLineChars="200"/>
        <w:rPr>
          <w:rFonts w:ascii="黑体" w:hAnsi="黑体" w:eastAsia="黑体" w:cs="黑体"/>
          <w:bCs/>
          <w:color w:val="auto"/>
          <w:sz w:val="24"/>
          <w:highlight w:val="none"/>
        </w:rPr>
      </w:pP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lang w:val="en-US" w:eastAsia="zh-CN"/>
        </w:rPr>
        <w:t>7</w:t>
      </w:r>
      <w:r>
        <w:rPr>
          <w:rFonts w:hint="eastAsia" w:asciiTheme="minorEastAsia" w:hAnsiTheme="minorEastAsia" w:eastAsiaTheme="minorEastAsia" w:cstheme="minorEastAsia"/>
          <w:color w:val="auto"/>
          <w:sz w:val="24"/>
          <w:highlight w:val="none"/>
        </w:rPr>
        <w:t>）发明专利4个，验收标准：受理证明。</w:t>
      </w:r>
    </w:p>
    <w:bookmarkEnd w:id="19"/>
    <w:p>
      <w:pPr>
        <w:spacing w:line="360" w:lineRule="auto"/>
        <w:outlineLvl w:val="1"/>
        <w:rPr>
          <w:rFonts w:ascii="黑体" w:hAnsi="黑体" w:eastAsia="黑体" w:cs="黑体"/>
          <w:bCs/>
          <w:sz w:val="24"/>
        </w:rPr>
      </w:pPr>
      <w:bookmarkStart w:id="20" w:name="_Toc19717"/>
      <w:bookmarkStart w:id="21" w:name="_Toc25229"/>
      <w:bookmarkStart w:id="22" w:name="_Toc8902"/>
      <w:r>
        <w:rPr>
          <w:rFonts w:hint="eastAsia" w:ascii="黑体" w:hAnsi="黑体" w:eastAsia="黑体" w:cs="黑体"/>
          <w:bCs/>
          <w:sz w:val="24"/>
        </w:rPr>
        <w:t>★5.2 成果的权属要求</w:t>
      </w:r>
      <w:bookmarkEnd w:id="20"/>
      <w:bookmarkEnd w:id="21"/>
      <w:bookmarkEnd w:id="22"/>
    </w:p>
    <w:p>
      <w:pPr>
        <w:spacing w:line="360" w:lineRule="auto"/>
        <w:ind w:firstLine="480" w:firstLineChars="2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本项目形成的论文、专利等知识产权划分方法如下：</w:t>
      </w:r>
    </w:p>
    <w:p>
      <w:pPr>
        <w:spacing w:line="360" w:lineRule="auto"/>
        <w:ind w:firstLine="480" w:firstLineChars="2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本合同项下研究成果形成的专利、软件著作权等知识产权的申请权利归甲方享有，未经甲方许可，乙方不得单独申请专利或向第三方转让专利申请权。</w:t>
      </w:r>
    </w:p>
    <w:p>
      <w:pPr>
        <w:spacing w:line="360" w:lineRule="auto"/>
        <w:ind w:firstLine="480" w:firstLineChars="2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（1）本合同项下的研究成果申请专利的权利归甲方享有，未经甲方许可，乙方不得单独申请专利或向第三方转让专利申请权。乙方取得专利权的，未经甲方许可，不得转让专利权或许可第三方实施该专利。</w:t>
      </w:r>
    </w:p>
    <w:p>
      <w:pPr>
        <w:spacing w:line="360" w:lineRule="auto"/>
        <w:ind w:firstLine="480" w:firstLineChars="2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（2）甲乙双方均享有本合同项下研究成果的使用权，但乙方仅能在甲方许可的范围内使用该研究成果。因使用该研究成果所产生的效益，由甲乙双方共同协商确定分配方式。</w:t>
      </w:r>
    </w:p>
    <w:p>
      <w:pPr>
        <w:spacing w:line="360" w:lineRule="auto"/>
        <w:ind w:firstLine="480" w:firstLineChars="2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（3）本合同项下的研究成果的转让权属于甲方，乙方不得向第三方转让，亦不得许可第三方实施使用，乙方擅自转让所产生的利益归甲方所有。</w:t>
      </w:r>
    </w:p>
    <w:p>
      <w:pPr>
        <w:spacing w:line="360" w:lineRule="auto"/>
        <w:ind w:firstLine="480" w:firstLineChars="2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（4）本合同项下的研究成果申请奖励的权利归甲方享有。未经甲方许可，乙方不得单方申请奖励。</w:t>
      </w:r>
    </w:p>
    <w:p>
      <w:pPr>
        <w:spacing w:line="360" w:lineRule="auto"/>
        <w:ind w:firstLine="480" w:firstLineChars="2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（5）本合同项下的研究成果的发表权由甲乙双方共同享有。未经一方许可，另一方不得单方发表。项目参加人员个人发表有关项目研究内容的论文须征得甲乙双方的同意。</w:t>
      </w:r>
    </w:p>
    <w:p>
      <w:pPr>
        <w:spacing w:line="360" w:lineRule="auto"/>
        <w:ind w:firstLine="480" w:firstLineChars="2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（6）使用履行本合同产生的研究成果参与国际标准、国家标准或行业标准等的制定或修订工作的权利属于甲方所有，未经甲方许可，乙方不得单独参与此类工作。</w:t>
      </w:r>
    </w:p>
    <w:p>
      <w:pPr>
        <w:spacing w:line="360" w:lineRule="auto"/>
        <w:outlineLvl w:val="1"/>
        <w:rPr>
          <w:rFonts w:hint="eastAsia" w:ascii="黑体" w:hAnsi="黑体" w:eastAsia="黑体" w:cs="黑体"/>
          <w:bCs/>
          <w:sz w:val="24"/>
        </w:rPr>
      </w:pPr>
      <w:bookmarkStart w:id="23" w:name="_Toc11323"/>
      <w:bookmarkStart w:id="24" w:name="_Toc31368"/>
      <w:bookmarkStart w:id="25" w:name="_Toc19320"/>
      <w:r>
        <w:rPr>
          <w:rFonts w:hint="eastAsia" w:ascii="黑体" w:hAnsi="黑体" w:eastAsia="黑体" w:cs="黑体"/>
          <w:bCs/>
          <w:sz w:val="24"/>
        </w:rPr>
        <w:t>5.3成果验收</w:t>
      </w:r>
      <w:bookmarkEnd w:id="23"/>
      <w:bookmarkEnd w:id="24"/>
      <w:bookmarkEnd w:id="25"/>
    </w:p>
    <w:p>
      <w:pPr>
        <w:spacing w:line="360" w:lineRule="auto"/>
        <w:ind w:firstLine="480" w:firstLineChars="200"/>
        <w:rPr>
          <w:rFonts w:ascii="黑体" w:hAnsi="黑体" w:eastAsia="黑体" w:cs="黑体"/>
          <w:bCs/>
          <w:sz w:val="24"/>
        </w:rPr>
      </w:pPr>
      <w:r>
        <w:rPr>
          <w:rFonts w:hint="eastAsia" w:asciiTheme="minorEastAsia" w:hAnsiTheme="minorEastAsia" w:eastAsiaTheme="minorEastAsia" w:cstheme="minorEastAsia"/>
          <w:color w:val="000000"/>
          <w:sz w:val="24"/>
        </w:rPr>
        <w:t>项目完成后，由甲方组织专家组对项目的主要技术指标、成果等进行验收。</w:t>
      </w:r>
    </w:p>
    <w:p>
      <w:pPr>
        <w:pStyle w:val="22"/>
        <w:spacing w:before="312"/>
        <w:outlineLvl w:val="0"/>
        <w:rPr>
          <w:rFonts w:ascii="黑体" w:hAnsi="黑体" w:eastAsia="黑体" w:cs="黑体"/>
          <w:sz w:val="28"/>
          <w:szCs w:val="28"/>
        </w:rPr>
      </w:pPr>
      <w:bookmarkStart w:id="26" w:name="_Toc8202"/>
      <w:bookmarkStart w:id="27" w:name="_Toc846"/>
      <w:bookmarkStart w:id="28" w:name="_Toc9856"/>
      <w:r>
        <w:rPr>
          <w:rFonts w:hint="eastAsia" w:ascii="黑体" w:hAnsi="黑体" w:eastAsia="黑体" w:cs="黑体"/>
          <w:sz w:val="28"/>
          <w:szCs w:val="28"/>
        </w:rPr>
        <w:t>6  投标技术文件要求</w:t>
      </w:r>
      <w:bookmarkEnd w:id="26"/>
      <w:bookmarkEnd w:id="27"/>
      <w:bookmarkEnd w:id="28"/>
    </w:p>
    <w:p>
      <w:pPr>
        <w:spacing w:line="360" w:lineRule="auto"/>
        <w:outlineLvl w:val="1"/>
        <w:rPr>
          <w:rFonts w:hint="eastAsia" w:ascii="黑体" w:hAnsi="黑体" w:eastAsia="黑体" w:cs="黑体"/>
          <w:bCs/>
          <w:sz w:val="24"/>
        </w:rPr>
      </w:pPr>
      <w:bookmarkStart w:id="29" w:name="_Toc14157"/>
      <w:bookmarkStart w:id="30" w:name="_Toc12486"/>
      <w:bookmarkStart w:id="31" w:name="_Toc30389"/>
      <w:r>
        <w:rPr>
          <w:rFonts w:hint="eastAsia" w:ascii="黑体" w:hAnsi="黑体" w:eastAsia="黑体" w:cs="黑体"/>
          <w:bCs/>
          <w:sz w:val="24"/>
        </w:rPr>
        <w:t>6.1 研究方案</w:t>
      </w:r>
      <w:bookmarkEnd w:id="29"/>
      <w:bookmarkEnd w:id="30"/>
      <w:bookmarkEnd w:id="31"/>
    </w:p>
    <w:p>
      <w:pPr>
        <w:spacing w:line="360" w:lineRule="auto"/>
        <w:outlineLvl w:val="2"/>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1</w:t>
      </w:r>
      <w:r>
        <w:rPr>
          <w:rFonts w:hint="eastAsia" w:asciiTheme="minorEastAsia" w:hAnsiTheme="minorEastAsia" w:eastAsiaTheme="minorEastAsia" w:cstheme="minorEastAsia"/>
          <w:sz w:val="24"/>
          <w:lang w:eastAsia="zh-CN"/>
        </w:rPr>
        <w:t>）项目概况</w:t>
      </w:r>
    </w:p>
    <w:p>
      <w:pPr>
        <w:spacing w:line="360" w:lineRule="auto"/>
        <w:ind w:firstLine="480" w:firstLineChars="200"/>
        <w:rPr>
          <w:rFonts w:hint="eastAsia" w:asciiTheme="minorEastAsia" w:hAnsiTheme="minorEastAsia" w:eastAsiaTheme="minorEastAsia" w:cstheme="minorEastAsia"/>
          <w:color w:val="000000"/>
          <w:sz w:val="24"/>
          <w:lang w:eastAsia="zh-CN"/>
        </w:rPr>
      </w:pPr>
      <w:r>
        <w:rPr>
          <w:rFonts w:hint="eastAsia" w:asciiTheme="minorEastAsia" w:hAnsiTheme="minorEastAsia" w:eastAsiaTheme="minorEastAsia" w:cstheme="minorEastAsia"/>
          <w:color w:val="000000"/>
          <w:sz w:val="24"/>
          <w:lang w:eastAsia="zh-CN"/>
        </w:rPr>
        <w:t>项目服务范围及内容。</w:t>
      </w:r>
    </w:p>
    <w:p>
      <w:pPr>
        <w:spacing w:line="360" w:lineRule="auto"/>
        <w:outlineLvl w:val="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lang w:val="en-US" w:eastAsia="zh-CN"/>
        </w:rPr>
        <w:t>2</w:t>
      </w:r>
      <w:r>
        <w:rPr>
          <w:rFonts w:hint="eastAsia" w:asciiTheme="minorEastAsia" w:hAnsiTheme="minorEastAsia" w:eastAsiaTheme="minorEastAsia" w:cstheme="minorEastAsia"/>
          <w:sz w:val="24"/>
        </w:rPr>
        <w:t>）技术方案</w:t>
      </w:r>
    </w:p>
    <w:p>
      <w:pPr>
        <w:spacing w:line="360" w:lineRule="auto"/>
        <w:ind w:firstLine="480" w:firstLineChars="200"/>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color w:val="000000"/>
          <w:sz w:val="24"/>
        </w:rPr>
        <w:t>投标方应针对每项研究内容提供详尽的技术解决方案。</w:t>
      </w:r>
    </w:p>
    <w:p>
      <w:pPr>
        <w:spacing w:line="360" w:lineRule="auto"/>
        <w:outlineLvl w:val="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lang w:val="en-US" w:eastAsia="zh-CN"/>
        </w:rPr>
        <w:t>3</w:t>
      </w:r>
      <w:r>
        <w:rPr>
          <w:rFonts w:hint="eastAsia" w:asciiTheme="minorEastAsia" w:hAnsiTheme="minorEastAsia" w:eastAsiaTheme="minorEastAsia" w:cstheme="minorEastAsia"/>
          <w:sz w:val="24"/>
        </w:rPr>
        <w:t>）技术路线</w:t>
      </w:r>
    </w:p>
    <w:p>
      <w:pPr>
        <w:spacing w:line="360" w:lineRule="auto"/>
        <w:ind w:firstLine="480" w:firstLineChars="2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项目实施的总体研究思路和总体框架。</w:t>
      </w:r>
    </w:p>
    <w:p>
      <w:pPr>
        <w:spacing w:line="360" w:lineRule="auto"/>
        <w:outlineLvl w:val="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lang w:val="en-US" w:eastAsia="zh-CN"/>
        </w:rPr>
        <w:t>4</w:t>
      </w:r>
      <w:r>
        <w:rPr>
          <w:rFonts w:hint="eastAsia" w:asciiTheme="minorEastAsia" w:hAnsiTheme="minorEastAsia" w:eastAsiaTheme="minorEastAsia" w:cstheme="minorEastAsia"/>
          <w:sz w:val="24"/>
        </w:rPr>
        <w:t>）重点解决的技术难题</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1）结构设计方案的优选</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陆上多高层柔直换流站相关实施案例及相关研究较少，陆上多高层多端柔直背靠背换流站暂无相关实施案例，层叠型换流站具有层高大、荷载大、跨度大等典型特点，投标方需在满足工艺布置需求的前提下，</w:t>
      </w:r>
      <w:r>
        <w:rPr>
          <w:rFonts w:hint="eastAsia" w:asciiTheme="minorEastAsia" w:hAnsiTheme="minorEastAsia" w:eastAsiaTheme="minorEastAsia" w:cstheme="minorEastAsia"/>
          <w:color w:val="auto"/>
          <w:sz w:val="24"/>
          <w:highlight w:val="none"/>
        </w:rPr>
        <w:t>同时解决抗震设防</w:t>
      </w:r>
      <w:r>
        <w:rPr>
          <w:rFonts w:hint="eastAsia" w:asciiTheme="minorEastAsia" w:hAnsiTheme="minorEastAsia" w:eastAsiaTheme="minorEastAsia" w:cstheme="minorEastAsia"/>
          <w:color w:val="auto"/>
          <w:sz w:val="24"/>
          <w:highlight w:val="none"/>
        </w:rPr>
        <w:t>的</w:t>
      </w:r>
      <w:r>
        <w:rPr>
          <w:rFonts w:hint="eastAsia" w:asciiTheme="minorEastAsia" w:hAnsiTheme="minorEastAsia" w:eastAsiaTheme="minorEastAsia" w:cstheme="minorEastAsia"/>
          <w:color w:val="auto"/>
          <w:sz w:val="24"/>
          <w:highlight w:val="none"/>
        </w:rPr>
        <w:t>关键技术难题</w:t>
      </w:r>
      <w:bookmarkStart w:id="49" w:name="_GoBack"/>
      <w:bookmarkEnd w:id="49"/>
      <w:r>
        <w:rPr>
          <w:rFonts w:hint="eastAsia" w:asciiTheme="minorEastAsia" w:hAnsiTheme="minorEastAsia" w:eastAsiaTheme="minorEastAsia" w:cstheme="minorEastAsia"/>
          <w:color w:val="auto"/>
          <w:sz w:val="24"/>
          <w:highlight w:val="none"/>
        </w:rPr>
        <w:t>。</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2）考虑楼面布置重型电气设备的结构抗震研究</w:t>
      </w:r>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电气设备重力超过所在楼层重力的10%，投标方需考虑将阀塔、电抗器等关键设备与换流站结构整体进行抗震设计，建立联合有限元模型并进行地震模拟振动台试验。在缩尺比例模型试验中，需采用实体模型进行关键电气设备抗震试验，需有效模拟电气设备，完成考虑楼面布置重型电气设备的结构关键抗震技术研究。</w:t>
      </w:r>
    </w:p>
    <w:p>
      <w:pPr>
        <w:spacing w:line="360" w:lineRule="auto"/>
        <w:outlineLvl w:val="2"/>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lang w:val="en-US" w:eastAsia="zh-CN"/>
        </w:rPr>
        <w:t>5</w:t>
      </w:r>
      <w:r>
        <w:rPr>
          <w:rFonts w:hint="eastAsia" w:asciiTheme="minorEastAsia" w:hAnsiTheme="minorEastAsia" w:eastAsiaTheme="minorEastAsia" w:cstheme="minorEastAsia"/>
          <w:sz w:val="24"/>
        </w:rPr>
        <w:t>）主要技术指标实现的可行性</w:t>
      </w:r>
    </w:p>
    <w:p>
      <w:pPr>
        <w:spacing w:line="360" w:lineRule="auto"/>
        <w:outlineLvl w:val="1"/>
        <w:rPr>
          <w:rFonts w:ascii="黑体" w:hAnsi="黑体" w:eastAsia="黑体" w:cs="黑体"/>
          <w:bCs/>
          <w:sz w:val="24"/>
        </w:rPr>
      </w:pPr>
      <w:bookmarkStart w:id="32" w:name="_Toc6315"/>
      <w:bookmarkStart w:id="33" w:name="_Toc58"/>
      <w:bookmarkStart w:id="34" w:name="_Toc12714"/>
      <w:r>
        <w:rPr>
          <w:rFonts w:hint="eastAsia" w:ascii="黑体" w:hAnsi="黑体" w:eastAsia="黑体" w:cs="黑体"/>
          <w:bCs/>
          <w:sz w:val="24"/>
        </w:rPr>
        <w:t>6.2 项目管理实施</w:t>
      </w:r>
      <w:bookmarkEnd w:id="32"/>
      <w:bookmarkEnd w:id="33"/>
      <w:bookmarkEnd w:id="34"/>
    </w:p>
    <w:p>
      <w:pPr>
        <w:spacing w:line="360" w:lineRule="auto"/>
        <w:outlineLvl w:val="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（1）项目人员组织</w:t>
      </w:r>
    </w:p>
    <w:p>
      <w:pPr>
        <w:spacing w:line="360" w:lineRule="auto"/>
        <w:ind w:firstLine="480" w:firstLineChars="2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介绍项目人员组织情况、职责分工。</w:t>
      </w:r>
    </w:p>
    <w:p>
      <w:pPr>
        <w:spacing w:line="360" w:lineRule="auto"/>
        <w:outlineLvl w:val="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（2）进度计划及保证措施</w:t>
      </w:r>
    </w:p>
    <w:p>
      <w:pPr>
        <w:spacing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提交详细的项目实施计划，明确里程碑。</w:t>
      </w:r>
    </w:p>
    <w:p>
      <w:pPr>
        <w:numPr>
          <w:ilvl w:val="0"/>
          <w:numId w:val="11"/>
        </w:numPr>
        <w:spacing w:line="360" w:lineRule="auto"/>
        <w:ind w:left="624" w:leftChars="0" w:hanging="624" w:firstLineChars="0"/>
        <w:rPr>
          <w:rFonts w:hint="eastAsia" w:asciiTheme="minorEastAsia" w:hAnsiTheme="minorEastAsia" w:eastAsiaTheme="minorEastAsia" w:cstheme="minorEastAsia"/>
          <w:color w:val="000000"/>
          <w:sz w:val="24"/>
          <w:lang w:eastAsia="zh-CN"/>
        </w:rPr>
      </w:pPr>
      <w:r>
        <w:rPr>
          <w:rFonts w:hint="eastAsia" w:asciiTheme="minorEastAsia" w:hAnsiTheme="minorEastAsia" w:eastAsiaTheme="minorEastAsia" w:cstheme="minorEastAsia"/>
          <w:color w:val="000000"/>
          <w:sz w:val="24"/>
          <w:lang w:eastAsia="zh-CN"/>
        </w:rPr>
        <w:t>质量保证措施</w:t>
      </w:r>
    </w:p>
    <w:p>
      <w:pPr>
        <w:numPr>
          <w:ilvl w:val="0"/>
          <w:numId w:val="0"/>
        </w:numPr>
        <w:spacing w:line="360" w:lineRule="auto"/>
        <w:ind w:leftChars="0"/>
        <w:rPr>
          <w:rFonts w:hint="default" w:asciiTheme="minorEastAsia" w:hAnsiTheme="minorEastAsia" w:eastAsiaTheme="minorEastAsia" w:cstheme="minorEastAsia"/>
          <w:color w:val="000000"/>
          <w:sz w:val="24"/>
          <w:lang w:val="en-US" w:eastAsia="zh-CN"/>
        </w:rPr>
      </w:pPr>
      <w:r>
        <w:rPr>
          <w:rFonts w:hint="eastAsia" w:asciiTheme="minorEastAsia" w:hAnsiTheme="minorEastAsia" w:eastAsiaTheme="minorEastAsia" w:cstheme="minorEastAsia"/>
          <w:color w:val="000000"/>
          <w:sz w:val="24"/>
          <w:lang w:val="en-US" w:eastAsia="zh-CN"/>
        </w:rPr>
        <w:t xml:space="preserve">    </w:t>
      </w:r>
      <w:r>
        <w:rPr>
          <w:rFonts w:hint="eastAsia" w:asciiTheme="minorEastAsia" w:hAnsiTheme="minorEastAsia" w:eastAsiaTheme="minorEastAsia" w:cstheme="minorEastAsia"/>
          <w:color w:val="000000"/>
          <w:sz w:val="24"/>
        </w:rPr>
        <w:t>提交详细的</w:t>
      </w:r>
      <w:r>
        <w:rPr>
          <w:rFonts w:hint="eastAsia" w:asciiTheme="minorEastAsia" w:hAnsiTheme="minorEastAsia" w:eastAsiaTheme="minorEastAsia" w:cstheme="minorEastAsia"/>
          <w:color w:val="000000"/>
          <w:sz w:val="24"/>
          <w:lang w:val="en-US" w:eastAsia="zh-CN"/>
        </w:rPr>
        <w:t>服务质量目标、质量保证体系及措施。</w:t>
      </w:r>
    </w:p>
    <w:p>
      <w:pPr>
        <w:spacing w:line="360" w:lineRule="auto"/>
        <w:outlineLvl w:val="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lang w:val="en-US" w:eastAsia="zh-CN"/>
        </w:rPr>
        <w:t>4</w:t>
      </w:r>
      <w:r>
        <w:rPr>
          <w:rFonts w:hint="eastAsia" w:asciiTheme="minorEastAsia" w:hAnsiTheme="minorEastAsia" w:eastAsiaTheme="minorEastAsia" w:cstheme="minorEastAsia"/>
          <w:sz w:val="24"/>
        </w:rPr>
        <w:t>）项目交付项</w:t>
      </w:r>
    </w:p>
    <w:p>
      <w:pPr>
        <w:spacing w:line="360" w:lineRule="auto"/>
        <w:ind w:firstLine="480" w:firstLineChars="2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说明项目阶段任务完成后，投标方根据成果交付与验收要求应提交给招标方的产品、服务以及交接文件等，并附上相应的交付时间计划表。</w:t>
      </w:r>
    </w:p>
    <w:p>
      <w:pPr>
        <w:spacing w:line="360" w:lineRule="auto"/>
        <w:outlineLvl w:val="1"/>
        <w:rPr>
          <w:rFonts w:ascii="黑体" w:hAnsi="黑体" w:eastAsia="黑体" w:cs="黑体"/>
          <w:bCs/>
          <w:sz w:val="24"/>
        </w:rPr>
      </w:pPr>
      <w:bookmarkStart w:id="35" w:name="_Toc4016"/>
      <w:bookmarkStart w:id="36" w:name="_Toc20598"/>
      <w:bookmarkStart w:id="37" w:name="_Toc609"/>
      <w:r>
        <w:rPr>
          <w:rFonts w:hint="eastAsia" w:ascii="黑体" w:hAnsi="黑体" w:eastAsia="黑体" w:cs="黑体"/>
          <w:bCs/>
          <w:sz w:val="24"/>
        </w:rPr>
        <w:t>6.3 项目技术支撑能力</w:t>
      </w:r>
      <w:bookmarkEnd w:id="35"/>
      <w:bookmarkEnd w:id="36"/>
      <w:bookmarkEnd w:id="37"/>
    </w:p>
    <w:p>
      <w:pPr>
        <w:spacing w:line="360" w:lineRule="auto"/>
        <w:outlineLvl w:val="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（1）项目经验</w:t>
      </w:r>
    </w:p>
    <w:p>
      <w:pPr>
        <w:spacing w:line="360" w:lineRule="auto"/>
        <w:ind w:firstLine="480" w:firstLineChars="2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该部分填写与标的物相关的项目研究经验、合同情况、论文专利和获奖情况。</w:t>
      </w:r>
    </w:p>
    <w:p>
      <w:pPr>
        <w:spacing w:line="360" w:lineRule="auto"/>
        <w:outlineLvl w:val="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（2）人员支撑能力</w:t>
      </w:r>
    </w:p>
    <w:p>
      <w:pPr>
        <w:spacing w:line="360" w:lineRule="auto"/>
        <w:ind w:firstLine="480" w:firstLineChars="2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该部分填写与标的物相关的本项目研究成员详细资料（包括学历、资质、研究方向/工作经验等），提供相关支撑材料。</w:t>
      </w:r>
    </w:p>
    <w:p>
      <w:pPr>
        <w:spacing w:line="360" w:lineRule="auto"/>
        <w:outlineLvl w:val="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（3）设备</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软件</w:t>
      </w:r>
      <w:r>
        <w:rPr>
          <w:rFonts w:hint="eastAsia" w:asciiTheme="minorEastAsia" w:hAnsiTheme="minorEastAsia" w:eastAsiaTheme="minorEastAsia" w:cstheme="minorEastAsia"/>
          <w:sz w:val="24"/>
        </w:rPr>
        <w:t>支撑能力</w:t>
      </w:r>
    </w:p>
    <w:p>
      <w:pPr>
        <w:spacing w:line="360" w:lineRule="auto"/>
        <w:ind w:firstLine="480" w:firstLineChars="2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该部分填写与标的物相关的、支撑该项目研究的设备、平台、实验室</w:t>
      </w:r>
      <w:r>
        <w:rPr>
          <w:rFonts w:hint="eastAsia" w:asciiTheme="minorEastAsia" w:hAnsiTheme="minorEastAsia" w:eastAsiaTheme="minorEastAsia" w:cstheme="minorEastAsia"/>
          <w:color w:val="000000"/>
          <w:sz w:val="24"/>
          <w:lang w:eastAsia="zh-CN"/>
        </w:rPr>
        <w:t>、</w:t>
      </w:r>
      <w:r>
        <w:rPr>
          <w:rFonts w:hint="eastAsia" w:asciiTheme="minorEastAsia" w:hAnsiTheme="minorEastAsia" w:eastAsiaTheme="minorEastAsia" w:cstheme="minorEastAsia"/>
          <w:color w:val="000000"/>
          <w:sz w:val="24"/>
          <w:lang w:val="en-US" w:eastAsia="zh-CN"/>
        </w:rPr>
        <w:t>软件</w:t>
      </w:r>
      <w:r>
        <w:rPr>
          <w:rFonts w:hint="eastAsia" w:asciiTheme="minorEastAsia" w:hAnsiTheme="minorEastAsia" w:eastAsiaTheme="minorEastAsia" w:cstheme="minorEastAsia"/>
          <w:color w:val="000000"/>
          <w:sz w:val="24"/>
        </w:rPr>
        <w:t>等。</w:t>
      </w:r>
    </w:p>
    <w:p>
      <w:pPr>
        <w:spacing w:line="360" w:lineRule="auto"/>
        <w:outlineLvl w:val="1"/>
        <w:rPr>
          <w:rFonts w:ascii="黑体" w:hAnsi="黑体" w:eastAsia="黑体" w:cs="黑体"/>
          <w:bCs/>
          <w:sz w:val="24"/>
        </w:rPr>
      </w:pPr>
      <w:bookmarkStart w:id="38" w:name="_Toc25058"/>
      <w:bookmarkStart w:id="39" w:name="_Toc19950"/>
      <w:bookmarkStart w:id="40" w:name="_Toc18021"/>
      <w:bookmarkStart w:id="41" w:name="_Toc20985"/>
      <w:r>
        <w:rPr>
          <w:rFonts w:hint="eastAsia" w:ascii="黑体" w:hAnsi="黑体" w:eastAsia="黑体" w:cs="黑体"/>
          <w:bCs/>
          <w:sz w:val="24"/>
        </w:rPr>
        <w:t xml:space="preserve">6.4 </w:t>
      </w:r>
      <w:bookmarkEnd w:id="38"/>
      <w:r>
        <w:rPr>
          <w:rFonts w:hint="eastAsia" w:ascii="黑体" w:hAnsi="黑体" w:eastAsia="黑体" w:cs="黑体"/>
          <w:bCs/>
          <w:sz w:val="24"/>
        </w:rPr>
        <w:t>服务承诺</w:t>
      </w:r>
      <w:bookmarkEnd w:id="39"/>
      <w:bookmarkEnd w:id="40"/>
      <w:bookmarkEnd w:id="41"/>
    </w:p>
    <w:p>
      <w:pPr>
        <w:spacing w:line="360" w:lineRule="auto"/>
        <w:ind w:firstLine="480" w:firstLineChars="2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投标方要明确所能提供的服务内容，服务方式，服务承诺和售后服务等情况。</w:t>
      </w:r>
    </w:p>
    <w:p>
      <w:pPr>
        <w:spacing w:line="360" w:lineRule="auto"/>
        <w:outlineLvl w:val="1"/>
        <w:rPr>
          <w:rFonts w:ascii="黑体" w:hAnsi="黑体" w:eastAsia="黑体" w:cs="黑体"/>
          <w:bCs/>
          <w:sz w:val="24"/>
        </w:rPr>
      </w:pPr>
      <w:bookmarkStart w:id="42" w:name="_Toc10805"/>
      <w:bookmarkStart w:id="43" w:name="_Toc14755"/>
      <w:bookmarkStart w:id="44" w:name="_Toc15164"/>
      <w:r>
        <w:rPr>
          <w:rFonts w:hint="eastAsia" w:ascii="黑体" w:hAnsi="黑体" w:eastAsia="黑体" w:cs="黑体"/>
          <w:bCs/>
          <w:sz w:val="24"/>
        </w:rPr>
        <w:t>6.5 技术差异表</w:t>
      </w:r>
      <w:bookmarkEnd w:id="42"/>
      <w:bookmarkEnd w:id="43"/>
      <w:bookmarkEnd w:id="44"/>
    </w:p>
    <w:p>
      <w:pPr>
        <w:spacing w:line="360" w:lineRule="auto"/>
        <w:ind w:firstLine="480" w:firstLineChars="2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投标方应针对主要技术指标要求、成果交付数量要求等填写响应的差异情况。</w:t>
      </w:r>
    </w:p>
    <w:p>
      <w:pPr>
        <w:spacing w:line="360" w:lineRule="auto"/>
        <w:jc w:val="center"/>
        <w:rPr>
          <w:rFonts w:ascii="黑体" w:hAnsi="黑体" w:eastAsia="黑体" w:cs="黑体"/>
          <w:bCs/>
          <w:color w:val="000000"/>
          <w:szCs w:val="21"/>
        </w:rPr>
      </w:pPr>
      <w:r>
        <w:rPr>
          <w:rFonts w:hint="eastAsia" w:ascii="黑体" w:hAnsi="黑体" w:eastAsia="黑体" w:cs="黑体"/>
          <w:bCs/>
          <w:color w:val="000000"/>
          <w:szCs w:val="21"/>
        </w:rPr>
        <w:t>表6.1 技术指标差异表（投标方填写）</w:t>
      </w:r>
    </w:p>
    <w:tbl>
      <w:tblPr>
        <w:tblStyle w:val="13"/>
        <w:tblW w:w="8391"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86"/>
        <w:gridCol w:w="1782"/>
        <w:gridCol w:w="1574"/>
        <w:gridCol w:w="1485"/>
        <w:gridCol w:w="1713"/>
        <w:gridCol w:w="1351"/>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96" w:hRule="atLeast"/>
          <w:jc w:val="center"/>
        </w:trPr>
        <w:tc>
          <w:tcPr>
            <w:tcW w:w="486" w:type="dxa"/>
            <w:tcBorders>
              <w:tl2br w:val="nil"/>
              <w:tr2bl w:val="nil"/>
            </w:tcBorders>
            <w:vAlign w:val="center"/>
          </w:tcPr>
          <w:p>
            <w:pPr>
              <w:widowControl/>
              <w:jc w:val="center"/>
              <w:textAlignment w:val="center"/>
              <w:rPr>
                <w:rFonts w:asciiTheme="minorEastAsia" w:hAnsiTheme="minorEastAsia" w:eastAsiaTheme="minorEastAsia" w:cstheme="minorEastAsia"/>
                <w:color w:val="000000"/>
                <w:kern w:val="0"/>
                <w:szCs w:val="21"/>
                <w:lang w:bidi="ar"/>
              </w:rPr>
            </w:pPr>
            <w:r>
              <w:rPr>
                <w:rFonts w:hint="eastAsia" w:asciiTheme="minorEastAsia" w:hAnsiTheme="minorEastAsia" w:eastAsiaTheme="minorEastAsia" w:cstheme="minorEastAsia"/>
                <w:color w:val="000000"/>
                <w:kern w:val="0"/>
                <w:szCs w:val="21"/>
                <w:lang w:bidi="ar"/>
              </w:rPr>
              <w:t>序号</w:t>
            </w:r>
          </w:p>
        </w:tc>
        <w:tc>
          <w:tcPr>
            <w:tcW w:w="1782" w:type="dxa"/>
            <w:tcBorders>
              <w:tl2br w:val="nil"/>
              <w:tr2bl w:val="nil"/>
            </w:tcBorders>
            <w:vAlign w:val="center"/>
          </w:tcPr>
          <w:p>
            <w:pPr>
              <w:widowControl/>
              <w:jc w:val="center"/>
              <w:textAlignment w:val="center"/>
              <w:rPr>
                <w:rFonts w:asciiTheme="minorEastAsia" w:hAnsiTheme="minorEastAsia" w:eastAsiaTheme="minorEastAsia" w:cstheme="minorEastAsia"/>
                <w:color w:val="000000"/>
                <w:kern w:val="0"/>
                <w:szCs w:val="21"/>
                <w:lang w:bidi="ar"/>
              </w:rPr>
            </w:pPr>
            <w:r>
              <w:rPr>
                <w:rFonts w:hint="eastAsia" w:asciiTheme="minorEastAsia" w:hAnsiTheme="minorEastAsia" w:eastAsiaTheme="minorEastAsia" w:cstheme="minorEastAsia"/>
                <w:color w:val="000000"/>
                <w:kern w:val="0"/>
                <w:szCs w:val="21"/>
                <w:lang w:bidi="ar"/>
              </w:rPr>
              <w:t>名称</w:t>
            </w:r>
          </w:p>
          <w:p>
            <w:pPr>
              <w:widowControl/>
              <w:jc w:val="center"/>
              <w:textAlignment w:val="center"/>
              <w:rPr>
                <w:rFonts w:asciiTheme="minorEastAsia" w:hAnsiTheme="minorEastAsia" w:eastAsiaTheme="minorEastAsia" w:cstheme="minorEastAsia"/>
                <w:color w:val="000000"/>
                <w:kern w:val="0"/>
                <w:szCs w:val="21"/>
                <w:lang w:bidi="ar"/>
              </w:rPr>
            </w:pPr>
            <w:r>
              <w:rPr>
                <w:rFonts w:hint="eastAsia" w:asciiTheme="minorEastAsia" w:hAnsiTheme="minorEastAsia" w:eastAsiaTheme="minorEastAsia" w:cstheme="minorEastAsia"/>
                <w:color w:val="000000"/>
                <w:kern w:val="0"/>
                <w:szCs w:val="21"/>
                <w:lang w:bidi="ar"/>
              </w:rPr>
              <w:t>（技术指标/成果要求）</w:t>
            </w:r>
          </w:p>
        </w:tc>
        <w:tc>
          <w:tcPr>
            <w:tcW w:w="1574" w:type="dxa"/>
            <w:tcBorders>
              <w:tl2br w:val="nil"/>
              <w:tr2bl w:val="nil"/>
            </w:tcBorders>
            <w:vAlign w:val="center"/>
          </w:tcPr>
          <w:p>
            <w:pPr>
              <w:widowControl/>
              <w:jc w:val="center"/>
              <w:textAlignment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kern w:val="0"/>
                <w:szCs w:val="21"/>
                <w:lang w:bidi="ar"/>
              </w:rPr>
              <w:t>招标方要求值</w:t>
            </w:r>
          </w:p>
        </w:tc>
        <w:tc>
          <w:tcPr>
            <w:tcW w:w="1485" w:type="dxa"/>
            <w:tcBorders>
              <w:tl2br w:val="nil"/>
              <w:tr2bl w:val="nil"/>
            </w:tcBorders>
            <w:vAlign w:val="center"/>
          </w:tcPr>
          <w:p>
            <w:pPr>
              <w:widowControl/>
              <w:jc w:val="center"/>
              <w:textAlignment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kern w:val="0"/>
                <w:szCs w:val="21"/>
                <w:lang w:bidi="ar"/>
              </w:rPr>
              <w:t>投标方保证值</w:t>
            </w:r>
          </w:p>
        </w:tc>
        <w:tc>
          <w:tcPr>
            <w:tcW w:w="1713" w:type="dxa"/>
            <w:tcBorders>
              <w:tl2br w:val="nil"/>
              <w:tr2bl w:val="nil"/>
            </w:tcBorders>
            <w:vAlign w:val="center"/>
          </w:tcPr>
          <w:p>
            <w:pPr>
              <w:widowControl/>
              <w:jc w:val="center"/>
              <w:textAlignment w:val="center"/>
              <w:rPr>
                <w:rFonts w:asciiTheme="minorEastAsia" w:hAnsiTheme="minorEastAsia" w:eastAsiaTheme="minorEastAsia" w:cstheme="minorEastAsia"/>
                <w:color w:val="000000"/>
                <w:kern w:val="0"/>
                <w:szCs w:val="21"/>
                <w:lang w:bidi="ar"/>
              </w:rPr>
            </w:pPr>
            <w:r>
              <w:rPr>
                <w:rFonts w:hint="eastAsia" w:asciiTheme="minorEastAsia" w:hAnsiTheme="minorEastAsia" w:eastAsiaTheme="minorEastAsia" w:cstheme="minorEastAsia"/>
                <w:color w:val="000000"/>
                <w:kern w:val="0"/>
                <w:szCs w:val="21"/>
                <w:lang w:bidi="ar"/>
              </w:rPr>
              <w:t>关键指标允许响应情况（正偏差/负偏差/无偏差）</w:t>
            </w:r>
          </w:p>
        </w:tc>
        <w:tc>
          <w:tcPr>
            <w:tcW w:w="1351" w:type="dxa"/>
            <w:tcBorders>
              <w:tl2br w:val="nil"/>
              <w:tr2bl w:val="nil"/>
            </w:tcBorders>
            <w:vAlign w:val="center"/>
          </w:tcPr>
          <w:p>
            <w:pPr>
              <w:widowControl/>
              <w:jc w:val="center"/>
              <w:textAlignment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kern w:val="0"/>
                <w:szCs w:val="21"/>
                <w:lang w:bidi="ar"/>
              </w:rPr>
              <w:t>技术方案或保障措施所在的页码</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486" w:type="dxa"/>
            <w:tcBorders>
              <w:tl2br w:val="nil"/>
              <w:tr2bl w:val="nil"/>
            </w:tcBorders>
            <w:vAlign w:val="center"/>
          </w:tcPr>
          <w:p>
            <w:pPr>
              <w:jc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1</w:t>
            </w:r>
          </w:p>
        </w:tc>
        <w:tc>
          <w:tcPr>
            <w:tcW w:w="1782" w:type="dxa"/>
            <w:tcBorders>
              <w:tl2br w:val="nil"/>
              <w:tr2bl w:val="nil"/>
            </w:tcBorders>
            <w:vAlign w:val="center"/>
          </w:tcPr>
          <w:p>
            <w:pPr>
              <w:jc w:val="center"/>
              <w:rPr>
                <w:rFonts w:asciiTheme="minorEastAsia" w:hAnsiTheme="minorEastAsia" w:eastAsiaTheme="minorEastAsia" w:cstheme="minorEastAsia"/>
                <w:szCs w:val="21"/>
              </w:rPr>
            </w:pPr>
          </w:p>
        </w:tc>
        <w:tc>
          <w:tcPr>
            <w:tcW w:w="1574" w:type="dxa"/>
            <w:tcBorders>
              <w:tl2br w:val="nil"/>
              <w:tr2bl w:val="nil"/>
            </w:tcBorders>
            <w:vAlign w:val="center"/>
          </w:tcPr>
          <w:p>
            <w:pPr>
              <w:jc w:val="center"/>
              <w:rPr>
                <w:rFonts w:asciiTheme="minorEastAsia" w:hAnsiTheme="minorEastAsia" w:eastAsiaTheme="minorEastAsia" w:cstheme="minorEastAsia"/>
                <w:szCs w:val="21"/>
              </w:rPr>
            </w:pPr>
          </w:p>
        </w:tc>
        <w:tc>
          <w:tcPr>
            <w:tcW w:w="1485" w:type="dxa"/>
            <w:tcBorders>
              <w:tl2br w:val="nil"/>
              <w:tr2bl w:val="nil"/>
            </w:tcBorders>
            <w:vAlign w:val="center"/>
          </w:tcPr>
          <w:p>
            <w:pPr>
              <w:jc w:val="center"/>
              <w:rPr>
                <w:rFonts w:asciiTheme="minorEastAsia" w:hAnsiTheme="minorEastAsia" w:eastAsiaTheme="minorEastAsia" w:cstheme="minorEastAsia"/>
                <w:color w:val="000000"/>
                <w:szCs w:val="21"/>
              </w:rPr>
            </w:pPr>
          </w:p>
        </w:tc>
        <w:tc>
          <w:tcPr>
            <w:tcW w:w="1713" w:type="dxa"/>
            <w:tcBorders>
              <w:tl2br w:val="nil"/>
              <w:tr2bl w:val="nil"/>
            </w:tcBorders>
            <w:vAlign w:val="center"/>
          </w:tcPr>
          <w:p>
            <w:pPr>
              <w:widowControl/>
              <w:jc w:val="center"/>
              <w:textAlignment w:val="center"/>
              <w:rPr>
                <w:rFonts w:asciiTheme="minorEastAsia" w:hAnsiTheme="minorEastAsia" w:eastAsiaTheme="minorEastAsia" w:cstheme="minorEastAsia"/>
                <w:color w:val="000000"/>
                <w:szCs w:val="21"/>
              </w:rPr>
            </w:pPr>
          </w:p>
        </w:tc>
        <w:tc>
          <w:tcPr>
            <w:tcW w:w="1351" w:type="dxa"/>
            <w:tcBorders>
              <w:tl2br w:val="nil"/>
              <w:tr2bl w:val="nil"/>
            </w:tcBorders>
            <w:vAlign w:val="center"/>
          </w:tcPr>
          <w:p>
            <w:pPr>
              <w:jc w:val="center"/>
              <w:rPr>
                <w:rFonts w:asciiTheme="minorEastAsia" w:hAnsiTheme="minorEastAsia" w:eastAsiaTheme="minorEastAsia" w:cstheme="minorEastAsia"/>
                <w:color w:val="000000"/>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486" w:type="dxa"/>
            <w:tcBorders>
              <w:tl2br w:val="nil"/>
              <w:tr2bl w:val="nil"/>
            </w:tcBorders>
            <w:vAlign w:val="center"/>
          </w:tcPr>
          <w:p>
            <w:pPr>
              <w:jc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2</w:t>
            </w:r>
          </w:p>
        </w:tc>
        <w:tc>
          <w:tcPr>
            <w:tcW w:w="1782" w:type="dxa"/>
            <w:tcBorders>
              <w:tl2br w:val="nil"/>
              <w:tr2bl w:val="nil"/>
            </w:tcBorders>
            <w:vAlign w:val="center"/>
          </w:tcPr>
          <w:p>
            <w:pPr>
              <w:jc w:val="center"/>
              <w:rPr>
                <w:rFonts w:asciiTheme="minorEastAsia" w:hAnsiTheme="minorEastAsia" w:eastAsiaTheme="minorEastAsia" w:cstheme="minorEastAsia"/>
                <w:szCs w:val="21"/>
              </w:rPr>
            </w:pPr>
          </w:p>
        </w:tc>
        <w:tc>
          <w:tcPr>
            <w:tcW w:w="1574" w:type="dxa"/>
            <w:tcBorders>
              <w:tl2br w:val="nil"/>
              <w:tr2bl w:val="nil"/>
            </w:tcBorders>
            <w:vAlign w:val="center"/>
          </w:tcPr>
          <w:p>
            <w:pPr>
              <w:jc w:val="center"/>
              <w:rPr>
                <w:rFonts w:asciiTheme="minorEastAsia" w:hAnsiTheme="minorEastAsia" w:eastAsiaTheme="minorEastAsia" w:cstheme="minorEastAsia"/>
                <w:szCs w:val="21"/>
              </w:rPr>
            </w:pPr>
          </w:p>
        </w:tc>
        <w:tc>
          <w:tcPr>
            <w:tcW w:w="1485" w:type="dxa"/>
            <w:tcBorders>
              <w:tl2br w:val="nil"/>
              <w:tr2bl w:val="nil"/>
            </w:tcBorders>
            <w:vAlign w:val="center"/>
          </w:tcPr>
          <w:p>
            <w:pPr>
              <w:jc w:val="center"/>
              <w:rPr>
                <w:rFonts w:asciiTheme="minorEastAsia" w:hAnsiTheme="minorEastAsia" w:eastAsiaTheme="minorEastAsia" w:cstheme="minorEastAsia"/>
                <w:color w:val="000000"/>
                <w:szCs w:val="21"/>
              </w:rPr>
            </w:pPr>
          </w:p>
        </w:tc>
        <w:tc>
          <w:tcPr>
            <w:tcW w:w="1713" w:type="dxa"/>
            <w:tcBorders>
              <w:tl2br w:val="nil"/>
              <w:tr2bl w:val="nil"/>
            </w:tcBorders>
            <w:vAlign w:val="center"/>
          </w:tcPr>
          <w:p>
            <w:pPr>
              <w:jc w:val="center"/>
              <w:rPr>
                <w:rFonts w:asciiTheme="minorEastAsia" w:hAnsiTheme="minorEastAsia" w:eastAsiaTheme="minorEastAsia" w:cstheme="minorEastAsia"/>
                <w:color w:val="000000"/>
                <w:szCs w:val="21"/>
              </w:rPr>
            </w:pPr>
          </w:p>
        </w:tc>
        <w:tc>
          <w:tcPr>
            <w:tcW w:w="1351" w:type="dxa"/>
            <w:tcBorders>
              <w:tl2br w:val="nil"/>
              <w:tr2bl w:val="nil"/>
            </w:tcBorders>
            <w:vAlign w:val="center"/>
          </w:tcPr>
          <w:p>
            <w:pPr>
              <w:jc w:val="center"/>
              <w:rPr>
                <w:rFonts w:asciiTheme="minorEastAsia" w:hAnsiTheme="minorEastAsia" w:eastAsiaTheme="minorEastAsia" w:cstheme="minorEastAsia"/>
                <w:color w:val="000000"/>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486" w:type="dxa"/>
            <w:tcBorders>
              <w:tl2br w:val="nil"/>
              <w:tr2bl w:val="nil"/>
            </w:tcBorders>
            <w:vAlign w:val="center"/>
          </w:tcPr>
          <w:p>
            <w:pPr>
              <w:jc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3</w:t>
            </w:r>
          </w:p>
        </w:tc>
        <w:tc>
          <w:tcPr>
            <w:tcW w:w="1782" w:type="dxa"/>
            <w:tcBorders>
              <w:tl2br w:val="nil"/>
              <w:tr2bl w:val="nil"/>
            </w:tcBorders>
            <w:vAlign w:val="center"/>
          </w:tcPr>
          <w:p>
            <w:pPr>
              <w:jc w:val="center"/>
              <w:rPr>
                <w:rFonts w:asciiTheme="minorEastAsia" w:hAnsiTheme="minorEastAsia" w:eastAsiaTheme="minorEastAsia" w:cstheme="minorEastAsia"/>
                <w:szCs w:val="21"/>
              </w:rPr>
            </w:pPr>
          </w:p>
        </w:tc>
        <w:tc>
          <w:tcPr>
            <w:tcW w:w="1574" w:type="dxa"/>
            <w:tcBorders>
              <w:tl2br w:val="nil"/>
              <w:tr2bl w:val="nil"/>
            </w:tcBorders>
            <w:vAlign w:val="center"/>
          </w:tcPr>
          <w:p>
            <w:pPr>
              <w:jc w:val="center"/>
              <w:rPr>
                <w:rFonts w:asciiTheme="minorEastAsia" w:hAnsiTheme="minorEastAsia" w:eastAsiaTheme="minorEastAsia" w:cstheme="minorEastAsia"/>
                <w:szCs w:val="21"/>
              </w:rPr>
            </w:pPr>
          </w:p>
        </w:tc>
        <w:tc>
          <w:tcPr>
            <w:tcW w:w="1485" w:type="dxa"/>
            <w:tcBorders>
              <w:tl2br w:val="nil"/>
              <w:tr2bl w:val="nil"/>
            </w:tcBorders>
            <w:vAlign w:val="center"/>
          </w:tcPr>
          <w:p>
            <w:pPr>
              <w:jc w:val="center"/>
              <w:rPr>
                <w:rFonts w:asciiTheme="minorEastAsia" w:hAnsiTheme="minorEastAsia" w:eastAsiaTheme="minorEastAsia" w:cstheme="minorEastAsia"/>
                <w:color w:val="000000"/>
                <w:szCs w:val="21"/>
              </w:rPr>
            </w:pPr>
          </w:p>
        </w:tc>
        <w:tc>
          <w:tcPr>
            <w:tcW w:w="1713" w:type="dxa"/>
            <w:tcBorders>
              <w:tl2br w:val="nil"/>
              <w:tr2bl w:val="nil"/>
            </w:tcBorders>
            <w:vAlign w:val="center"/>
          </w:tcPr>
          <w:p>
            <w:pPr>
              <w:jc w:val="center"/>
              <w:rPr>
                <w:rFonts w:asciiTheme="minorEastAsia" w:hAnsiTheme="minorEastAsia" w:eastAsiaTheme="minorEastAsia" w:cstheme="minorEastAsia"/>
                <w:color w:val="000000"/>
                <w:szCs w:val="21"/>
              </w:rPr>
            </w:pPr>
          </w:p>
        </w:tc>
        <w:tc>
          <w:tcPr>
            <w:tcW w:w="1351" w:type="dxa"/>
            <w:tcBorders>
              <w:tl2br w:val="nil"/>
              <w:tr2bl w:val="nil"/>
            </w:tcBorders>
            <w:vAlign w:val="center"/>
          </w:tcPr>
          <w:p>
            <w:pPr>
              <w:jc w:val="center"/>
              <w:rPr>
                <w:rFonts w:asciiTheme="minorEastAsia" w:hAnsiTheme="minorEastAsia" w:eastAsiaTheme="minorEastAsia" w:cstheme="minorEastAsia"/>
                <w:color w:val="000000"/>
                <w:szCs w:val="21"/>
              </w:rPr>
            </w:pPr>
          </w:p>
        </w:tc>
      </w:tr>
    </w:tbl>
    <w:p>
      <w:pPr>
        <w:spacing w:line="360" w:lineRule="auto"/>
        <w:ind w:firstLine="480" w:firstLineChars="200"/>
        <w:rPr>
          <w:rFonts w:asciiTheme="minorEastAsia" w:hAnsiTheme="minorEastAsia" w:eastAsiaTheme="minorEastAsia" w:cstheme="minorEastAsia"/>
          <w:color w:val="000000"/>
          <w:sz w:val="24"/>
        </w:rPr>
      </w:pPr>
      <w:bookmarkStart w:id="45" w:name="_Toc226362579"/>
      <w:r>
        <w:rPr>
          <w:rFonts w:hint="eastAsia" w:asciiTheme="minorEastAsia" w:hAnsiTheme="minorEastAsia" w:eastAsiaTheme="minorEastAsia" w:cstheme="minorEastAsia"/>
          <w:color w:val="000000"/>
          <w:sz w:val="24"/>
        </w:rPr>
        <w:t>投标方应将所提供服务与本技术规范书有差异之处，无论优于或劣于本技术规范书要求，均汇集成下表。</w:t>
      </w:r>
    </w:p>
    <w:p>
      <w:pPr>
        <w:spacing w:line="360" w:lineRule="auto"/>
        <w:jc w:val="center"/>
        <w:rPr>
          <w:rFonts w:ascii="黑体" w:hAnsi="黑体" w:eastAsia="黑体" w:cs="黑体"/>
          <w:bCs/>
          <w:color w:val="000000"/>
          <w:szCs w:val="21"/>
        </w:rPr>
      </w:pPr>
      <w:r>
        <w:rPr>
          <w:rFonts w:hint="eastAsia" w:ascii="黑体" w:hAnsi="黑体" w:eastAsia="黑体" w:cs="黑体"/>
          <w:bCs/>
          <w:color w:val="000000"/>
          <w:szCs w:val="21"/>
        </w:rPr>
        <w:t>表6.2 技术差异汇总表</w:t>
      </w:r>
      <w:bookmarkEnd w:id="45"/>
      <w:r>
        <w:rPr>
          <w:rFonts w:hint="eastAsia" w:ascii="黑体" w:hAnsi="黑体" w:eastAsia="黑体" w:cs="黑体"/>
          <w:bCs/>
          <w:color w:val="000000"/>
          <w:szCs w:val="21"/>
        </w:rPr>
        <w:t>（投标方填写）</w:t>
      </w:r>
    </w:p>
    <w:tbl>
      <w:tblPr>
        <w:tblStyle w:val="12"/>
        <w:tblW w:w="838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79"/>
        <w:gridCol w:w="1163"/>
        <w:gridCol w:w="2713"/>
        <w:gridCol w:w="1258"/>
        <w:gridCol w:w="2575"/>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blHeader/>
          <w:jc w:val="center"/>
        </w:trPr>
        <w:tc>
          <w:tcPr>
            <w:tcW w:w="679" w:type="dxa"/>
            <w:vMerge w:val="restart"/>
            <w:tcBorders>
              <w:tl2br w:val="nil"/>
              <w:tr2bl w:val="nil"/>
            </w:tcBorders>
            <w:vAlign w:val="center"/>
          </w:tcPr>
          <w:p>
            <w:pPr>
              <w:widowControl/>
              <w:jc w:val="center"/>
              <w:textAlignment w:val="center"/>
              <w:rPr>
                <w:rFonts w:asciiTheme="minorEastAsia" w:hAnsiTheme="minorEastAsia" w:eastAsiaTheme="minorEastAsia" w:cstheme="minorEastAsia"/>
                <w:color w:val="000000"/>
                <w:kern w:val="0"/>
                <w:szCs w:val="21"/>
                <w:lang w:bidi="ar"/>
              </w:rPr>
            </w:pPr>
            <w:r>
              <w:rPr>
                <w:rFonts w:hint="eastAsia" w:asciiTheme="minorEastAsia" w:hAnsiTheme="minorEastAsia" w:eastAsiaTheme="minorEastAsia" w:cstheme="minorEastAsia"/>
                <w:color w:val="000000"/>
                <w:kern w:val="0"/>
                <w:szCs w:val="21"/>
                <w:lang w:bidi="ar"/>
              </w:rPr>
              <w:t>序</w:t>
            </w:r>
          </w:p>
          <w:p>
            <w:pPr>
              <w:widowControl/>
              <w:jc w:val="center"/>
              <w:textAlignment w:val="center"/>
              <w:rPr>
                <w:rFonts w:asciiTheme="minorEastAsia" w:hAnsiTheme="minorEastAsia" w:eastAsiaTheme="minorEastAsia" w:cstheme="minorEastAsia"/>
                <w:color w:val="000000"/>
                <w:kern w:val="0"/>
                <w:szCs w:val="21"/>
                <w:lang w:bidi="ar"/>
              </w:rPr>
            </w:pPr>
            <w:r>
              <w:rPr>
                <w:rFonts w:hint="eastAsia" w:asciiTheme="minorEastAsia" w:hAnsiTheme="minorEastAsia" w:eastAsiaTheme="minorEastAsia" w:cstheme="minorEastAsia"/>
                <w:color w:val="000000"/>
                <w:kern w:val="0"/>
                <w:szCs w:val="21"/>
                <w:lang w:bidi="ar"/>
              </w:rPr>
              <w:t>号</w:t>
            </w:r>
          </w:p>
        </w:tc>
        <w:tc>
          <w:tcPr>
            <w:tcW w:w="3876" w:type="dxa"/>
            <w:gridSpan w:val="2"/>
            <w:tcBorders>
              <w:tl2br w:val="nil"/>
              <w:tr2bl w:val="nil"/>
            </w:tcBorders>
            <w:vAlign w:val="center"/>
          </w:tcPr>
          <w:p>
            <w:pPr>
              <w:widowControl/>
              <w:jc w:val="center"/>
              <w:textAlignment w:val="center"/>
              <w:rPr>
                <w:rFonts w:asciiTheme="minorEastAsia" w:hAnsiTheme="minorEastAsia" w:eastAsiaTheme="minorEastAsia" w:cstheme="minorEastAsia"/>
                <w:color w:val="000000"/>
                <w:kern w:val="0"/>
                <w:szCs w:val="21"/>
                <w:lang w:bidi="ar"/>
              </w:rPr>
            </w:pPr>
            <w:r>
              <w:rPr>
                <w:rFonts w:hint="eastAsia" w:asciiTheme="minorEastAsia" w:hAnsiTheme="minorEastAsia" w:eastAsiaTheme="minorEastAsia" w:cstheme="minorEastAsia"/>
                <w:color w:val="000000"/>
                <w:kern w:val="0"/>
                <w:szCs w:val="21"/>
                <w:lang w:bidi="ar"/>
              </w:rPr>
              <w:t>招 标 文 件</w:t>
            </w:r>
          </w:p>
        </w:tc>
        <w:tc>
          <w:tcPr>
            <w:tcW w:w="3833" w:type="dxa"/>
            <w:gridSpan w:val="2"/>
            <w:tcBorders>
              <w:tl2br w:val="nil"/>
              <w:tr2bl w:val="nil"/>
            </w:tcBorders>
            <w:vAlign w:val="center"/>
          </w:tcPr>
          <w:p>
            <w:pPr>
              <w:widowControl/>
              <w:jc w:val="center"/>
              <w:textAlignment w:val="center"/>
              <w:rPr>
                <w:rFonts w:asciiTheme="minorEastAsia" w:hAnsiTheme="minorEastAsia" w:eastAsiaTheme="minorEastAsia" w:cstheme="minorEastAsia"/>
                <w:color w:val="000000"/>
                <w:kern w:val="0"/>
                <w:szCs w:val="21"/>
                <w:lang w:bidi="ar"/>
              </w:rPr>
            </w:pPr>
            <w:r>
              <w:rPr>
                <w:rFonts w:hint="eastAsia" w:asciiTheme="minorEastAsia" w:hAnsiTheme="minorEastAsia" w:eastAsiaTheme="minorEastAsia" w:cstheme="minorEastAsia"/>
                <w:color w:val="000000"/>
                <w:kern w:val="0"/>
                <w:szCs w:val="21"/>
                <w:lang w:bidi="ar"/>
              </w:rPr>
              <w:t>投  标  文  件</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blHeader/>
          <w:jc w:val="center"/>
        </w:trPr>
        <w:tc>
          <w:tcPr>
            <w:tcW w:w="679" w:type="dxa"/>
            <w:vMerge w:val="continue"/>
            <w:tcBorders>
              <w:tl2br w:val="nil"/>
              <w:tr2bl w:val="nil"/>
            </w:tcBorders>
            <w:vAlign w:val="center"/>
          </w:tcPr>
          <w:p>
            <w:pPr>
              <w:widowControl/>
              <w:jc w:val="center"/>
              <w:textAlignment w:val="center"/>
              <w:rPr>
                <w:rFonts w:asciiTheme="minorEastAsia" w:hAnsiTheme="minorEastAsia" w:eastAsiaTheme="minorEastAsia" w:cstheme="minorEastAsia"/>
                <w:color w:val="000000"/>
                <w:kern w:val="0"/>
                <w:szCs w:val="21"/>
                <w:lang w:bidi="ar"/>
              </w:rPr>
            </w:pPr>
          </w:p>
        </w:tc>
        <w:tc>
          <w:tcPr>
            <w:tcW w:w="1163" w:type="dxa"/>
            <w:tcBorders>
              <w:tl2br w:val="nil"/>
              <w:tr2bl w:val="nil"/>
            </w:tcBorders>
            <w:vAlign w:val="center"/>
          </w:tcPr>
          <w:p>
            <w:pPr>
              <w:widowControl/>
              <w:jc w:val="center"/>
              <w:textAlignment w:val="center"/>
              <w:rPr>
                <w:rFonts w:asciiTheme="minorEastAsia" w:hAnsiTheme="minorEastAsia" w:eastAsiaTheme="minorEastAsia" w:cstheme="minorEastAsia"/>
                <w:color w:val="000000"/>
                <w:kern w:val="0"/>
                <w:szCs w:val="21"/>
                <w:lang w:bidi="ar"/>
              </w:rPr>
            </w:pPr>
            <w:r>
              <w:rPr>
                <w:rFonts w:hint="eastAsia" w:asciiTheme="minorEastAsia" w:hAnsiTheme="minorEastAsia" w:eastAsiaTheme="minorEastAsia" w:cstheme="minorEastAsia"/>
                <w:color w:val="000000"/>
                <w:kern w:val="0"/>
                <w:szCs w:val="21"/>
                <w:lang w:bidi="ar"/>
              </w:rPr>
              <w:t>条  目</w:t>
            </w:r>
          </w:p>
        </w:tc>
        <w:tc>
          <w:tcPr>
            <w:tcW w:w="2713" w:type="dxa"/>
            <w:tcBorders>
              <w:tl2br w:val="nil"/>
              <w:tr2bl w:val="nil"/>
            </w:tcBorders>
            <w:vAlign w:val="center"/>
          </w:tcPr>
          <w:p>
            <w:pPr>
              <w:widowControl/>
              <w:jc w:val="center"/>
              <w:textAlignment w:val="center"/>
              <w:rPr>
                <w:rFonts w:asciiTheme="minorEastAsia" w:hAnsiTheme="minorEastAsia" w:eastAsiaTheme="minorEastAsia" w:cstheme="minorEastAsia"/>
                <w:color w:val="000000"/>
                <w:kern w:val="0"/>
                <w:szCs w:val="21"/>
                <w:lang w:bidi="ar"/>
              </w:rPr>
            </w:pPr>
            <w:r>
              <w:rPr>
                <w:rFonts w:hint="eastAsia" w:asciiTheme="minorEastAsia" w:hAnsiTheme="minorEastAsia" w:eastAsiaTheme="minorEastAsia" w:cstheme="minorEastAsia"/>
                <w:color w:val="000000"/>
                <w:kern w:val="0"/>
                <w:szCs w:val="21"/>
                <w:lang w:bidi="ar"/>
              </w:rPr>
              <w:t>简  要  内  容</w:t>
            </w:r>
          </w:p>
        </w:tc>
        <w:tc>
          <w:tcPr>
            <w:tcW w:w="1258" w:type="dxa"/>
            <w:tcBorders>
              <w:tl2br w:val="nil"/>
              <w:tr2bl w:val="nil"/>
            </w:tcBorders>
            <w:vAlign w:val="center"/>
          </w:tcPr>
          <w:p>
            <w:pPr>
              <w:widowControl/>
              <w:jc w:val="center"/>
              <w:textAlignment w:val="center"/>
              <w:rPr>
                <w:rFonts w:asciiTheme="minorEastAsia" w:hAnsiTheme="minorEastAsia" w:eastAsiaTheme="minorEastAsia" w:cstheme="minorEastAsia"/>
                <w:color w:val="000000"/>
                <w:kern w:val="0"/>
                <w:szCs w:val="21"/>
                <w:lang w:bidi="ar"/>
              </w:rPr>
            </w:pPr>
            <w:r>
              <w:rPr>
                <w:rFonts w:hint="eastAsia" w:asciiTheme="minorEastAsia" w:hAnsiTheme="minorEastAsia" w:eastAsiaTheme="minorEastAsia" w:cstheme="minorEastAsia"/>
                <w:color w:val="000000"/>
                <w:kern w:val="0"/>
                <w:szCs w:val="21"/>
                <w:lang w:bidi="ar"/>
              </w:rPr>
              <w:t>条  目</w:t>
            </w:r>
          </w:p>
        </w:tc>
        <w:tc>
          <w:tcPr>
            <w:tcW w:w="2575" w:type="dxa"/>
            <w:tcBorders>
              <w:tl2br w:val="nil"/>
              <w:tr2bl w:val="nil"/>
            </w:tcBorders>
            <w:vAlign w:val="center"/>
          </w:tcPr>
          <w:p>
            <w:pPr>
              <w:widowControl/>
              <w:jc w:val="center"/>
              <w:textAlignment w:val="center"/>
              <w:rPr>
                <w:rFonts w:asciiTheme="minorEastAsia" w:hAnsiTheme="minorEastAsia" w:eastAsiaTheme="minorEastAsia" w:cstheme="minorEastAsia"/>
                <w:color w:val="000000"/>
                <w:kern w:val="0"/>
                <w:szCs w:val="21"/>
                <w:lang w:bidi="ar"/>
              </w:rPr>
            </w:pPr>
            <w:r>
              <w:rPr>
                <w:rFonts w:hint="eastAsia" w:asciiTheme="minorEastAsia" w:hAnsiTheme="minorEastAsia" w:eastAsiaTheme="minorEastAsia" w:cstheme="minorEastAsia"/>
                <w:color w:val="000000"/>
                <w:kern w:val="0"/>
                <w:szCs w:val="21"/>
                <w:lang w:bidi="ar"/>
              </w:rPr>
              <w:t>简  要  内  容</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679" w:type="dxa"/>
            <w:tcBorders>
              <w:tl2br w:val="nil"/>
              <w:tr2bl w:val="nil"/>
            </w:tcBorders>
            <w:vAlign w:val="center"/>
          </w:tcPr>
          <w:p>
            <w:pPr>
              <w:widowControl/>
              <w:jc w:val="center"/>
              <w:textAlignment w:val="center"/>
              <w:rPr>
                <w:rFonts w:asciiTheme="minorEastAsia" w:hAnsiTheme="minorEastAsia" w:eastAsiaTheme="minorEastAsia" w:cstheme="minorEastAsia"/>
                <w:color w:val="000000"/>
                <w:kern w:val="0"/>
                <w:szCs w:val="21"/>
                <w:lang w:bidi="ar"/>
              </w:rPr>
            </w:pPr>
            <w:r>
              <w:rPr>
                <w:rFonts w:hint="eastAsia" w:asciiTheme="minorEastAsia" w:hAnsiTheme="minorEastAsia" w:eastAsiaTheme="minorEastAsia" w:cstheme="minorEastAsia"/>
                <w:color w:val="000000"/>
                <w:kern w:val="0"/>
                <w:szCs w:val="21"/>
                <w:lang w:bidi="ar"/>
              </w:rPr>
              <w:t>1</w:t>
            </w:r>
          </w:p>
        </w:tc>
        <w:tc>
          <w:tcPr>
            <w:tcW w:w="1163" w:type="dxa"/>
            <w:tcBorders>
              <w:tl2br w:val="nil"/>
              <w:tr2bl w:val="nil"/>
            </w:tcBorders>
            <w:vAlign w:val="center"/>
          </w:tcPr>
          <w:p>
            <w:pPr>
              <w:widowControl/>
              <w:jc w:val="center"/>
              <w:textAlignment w:val="center"/>
              <w:rPr>
                <w:rFonts w:asciiTheme="minorEastAsia" w:hAnsiTheme="minorEastAsia" w:eastAsiaTheme="minorEastAsia" w:cstheme="minorEastAsia"/>
                <w:color w:val="000000"/>
                <w:kern w:val="0"/>
                <w:szCs w:val="21"/>
                <w:lang w:bidi="ar"/>
              </w:rPr>
            </w:pPr>
          </w:p>
        </w:tc>
        <w:tc>
          <w:tcPr>
            <w:tcW w:w="2713" w:type="dxa"/>
            <w:tcBorders>
              <w:tl2br w:val="nil"/>
              <w:tr2bl w:val="nil"/>
            </w:tcBorders>
            <w:vAlign w:val="center"/>
          </w:tcPr>
          <w:p>
            <w:pPr>
              <w:widowControl/>
              <w:jc w:val="center"/>
              <w:textAlignment w:val="center"/>
              <w:rPr>
                <w:rFonts w:asciiTheme="minorEastAsia" w:hAnsiTheme="minorEastAsia" w:eastAsiaTheme="minorEastAsia" w:cstheme="minorEastAsia"/>
                <w:color w:val="000000"/>
                <w:kern w:val="0"/>
                <w:szCs w:val="21"/>
                <w:lang w:bidi="ar"/>
              </w:rPr>
            </w:pPr>
          </w:p>
        </w:tc>
        <w:tc>
          <w:tcPr>
            <w:tcW w:w="1258" w:type="dxa"/>
            <w:tcBorders>
              <w:tl2br w:val="nil"/>
              <w:tr2bl w:val="nil"/>
            </w:tcBorders>
            <w:vAlign w:val="center"/>
          </w:tcPr>
          <w:p>
            <w:pPr>
              <w:widowControl/>
              <w:jc w:val="center"/>
              <w:textAlignment w:val="center"/>
              <w:rPr>
                <w:rFonts w:asciiTheme="minorEastAsia" w:hAnsiTheme="minorEastAsia" w:eastAsiaTheme="minorEastAsia" w:cstheme="minorEastAsia"/>
                <w:color w:val="000000"/>
                <w:kern w:val="0"/>
                <w:szCs w:val="21"/>
                <w:lang w:bidi="ar"/>
              </w:rPr>
            </w:pPr>
          </w:p>
        </w:tc>
        <w:tc>
          <w:tcPr>
            <w:tcW w:w="2575" w:type="dxa"/>
            <w:tcBorders>
              <w:tl2br w:val="nil"/>
              <w:tr2bl w:val="nil"/>
            </w:tcBorders>
            <w:vAlign w:val="center"/>
          </w:tcPr>
          <w:p>
            <w:pPr>
              <w:widowControl/>
              <w:jc w:val="center"/>
              <w:textAlignment w:val="center"/>
              <w:rPr>
                <w:rFonts w:asciiTheme="minorEastAsia" w:hAnsiTheme="minorEastAsia" w:eastAsiaTheme="minorEastAsia" w:cstheme="minorEastAsia"/>
                <w:color w:val="000000"/>
                <w:kern w:val="0"/>
                <w:szCs w:val="21"/>
                <w:lang w:bidi="ar"/>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679" w:type="dxa"/>
            <w:tcBorders>
              <w:tl2br w:val="nil"/>
              <w:tr2bl w:val="nil"/>
            </w:tcBorders>
            <w:vAlign w:val="center"/>
          </w:tcPr>
          <w:p>
            <w:pPr>
              <w:widowControl/>
              <w:jc w:val="center"/>
              <w:textAlignment w:val="center"/>
              <w:rPr>
                <w:rFonts w:asciiTheme="minorEastAsia" w:hAnsiTheme="minorEastAsia" w:eastAsiaTheme="minorEastAsia" w:cstheme="minorEastAsia"/>
                <w:color w:val="000000"/>
                <w:kern w:val="0"/>
                <w:szCs w:val="21"/>
                <w:lang w:bidi="ar"/>
              </w:rPr>
            </w:pPr>
            <w:r>
              <w:rPr>
                <w:rFonts w:hint="eastAsia" w:asciiTheme="minorEastAsia" w:hAnsiTheme="minorEastAsia" w:eastAsiaTheme="minorEastAsia" w:cstheme="minorEastAsia"/>
                <w:color w:val="000000"/>
                <w:kern w:val="0"/>
                <w:szCs w:val="21"/>
                <w:lang w:bidi="ar"/>
              </w:rPr>
              <w:t>2</w:t>
            </w:r>
          </w:p>
        </w:tc>
        <w:tc>
          <w:tcPr>
            <w:tcW w:w="1163" w:type="dxa"/>
            <w:tcBorders>
              <w:tl2br w:val="nil"/>
              <w:tr2bl w:val="nil"/>
            </w:tcBorders>
            <w:vAlign w:val="center"/>
          </w:tcPr>
          <w:p>
            <w:pPr>
              <w:widowControl/>
              <w:jc w:val="center"/>
              <w:textAlignment w:val="center"/>
              <w:rPr>
                <w:rFonts w:asciiTheme="minorEastAsia" w:hAnsiTheme="minorEastAsia" w:eastAsiaTheme="minorEastAsia" w:cstheme="minorEastAsia"/>
                <w:color w:val="000000"/>
                <w:kern w:val="0"/>
                <w:szCs w:val="21"/>
                <w:lang w:bidi="ar"/>
              </w:rPr>
            </w:pPr>
          </w:p>
        </w:tc>
        <w:tc>
          <w:tcPr>
            <w:tcW w:w="2713" w:type="dxa"/>
            <w:tcBorders>
              <w:tl2br w:val="nil"/>
              <w:tr2bl w:val="nil"/>
            </w:tcBorders>
            <w:vAlign w:val="center"/>
          </w:tcPr>
          <w:p>
            <w:pPr>
              <w:widowControl/>
              <w:jc w:val="center"/>
              <w:textAlignment w:val="center"/>
              <w:rPr>
                <w:rFonts w:asciiTheme="minorEastAsia" w:hAnsiTheme="minorEastAsia" w:eastAsiaTheme="minorEastAsia" w:cstheme="minorEastAsia"/>
                <w:color w:val="000000"/>
                <w:kern w:val="0"/>
                <w:szCs w:val="21"/>
                <w:lang w:bidi="ar"/>
              </w:rPr>
            </w:pPr>
          </w:p>
        </w:tc>
        <w:tc>
          <w:tcPr>
            <w:tcW w:w="1258" w:type="dxa"/>
            <w:tcBorders>
              <w:tl2br w:val="nil"/>
              <w:tr2bl w:val="nil"/>
            </w:tcBorders>
            <w:vAlign w:val="center"/>
          </w:tcPr>
          <w:p>
            <w:pPr>
              <w:widowControl/>
              <w:jc w:val="center"/>
              <w:textAlignment w:val="center"/>
              <w:rPr>
                <w:rFonts w:asciiTheme="minorEastAsia" w:hAnsiTheme="minorEastAsia" w:eastAsiaTheme="minorEastAsia" w:cstheme="minorEastAsia"/>
                <w:color w:val="000000"/>
                <w:kern w:val="0"/>
                <w:szCs w:val="21"/>
                <w:lang w:bidi="ar"/>
              </w:rPr>
            </w:pPr>
          </w:p>
        </w:tc>
        <w:tc>
          <w:tcPr>
            <w:tcW w:w="2575" w:type="dxa"/>
            <w:tcBorders>
              <w:tl2br w:val="nil"/>
              <w:tr2bl w:val="nil"/>
            </w:tcBorders>
            <w:vAlign w:val="center"/>
          </w:tcPr>
          <w:p>
            <w:pPr>
              <w:widowControl/>
              <w:jc w:val="center"/>
              <w:textAlignment w:val="center"/>
              <w:rPr>
                <w:rFonts w:asciiTheme="minorEastAsia" w:hAnsiTheme="minorEastAsia" w:eastAsiaTheme="minorEastAsia" w:cstheme="minorEastAsia"/>
                <w:color w:val="000000"/>
                <w:kern w:val="0"/>
                <w:szCs w:val="21"/>
                <w:lang w:bidi="ar"/>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679" w:type="dxa"/>
            <w:tcBorders>
              <w:tl2br w:val="nil"/>
              <w:tr2bl w:val="nil"/>
            </w:tcBorders>
            <w:vAlign w:val="center"/>
          </w:tcPr>
          <w:p>
            <w:pPr>
              <w:widowControl/>
              <w:jc w:val="center"/>
              <w:textAlignment w:val="center"/>
              <w:rPr>
                <w:rFonts w:asciiTheme="minorEastAsia" w:hAnsiTheme="minorEastAsia" w:eastAsiaTheme="minorEastAsia" w:cstheme="minorEastAsia"/>
                <w:color w:val="000000"/>
                <w:kern w:val="0"/>
                <w:szCs w:val="21"/>
                <w:lang w:bidi="ar"/>
              </w:rPr>
            </w:pPr>
            <w:r>
              <w:rPr>
                <w:rFonts w:hint="eastAsia" w:asciiTheme="minorEastAsia" w:hAnsiTheme="minorEastAsia" w:eastAsiaTheme="minorEastAsia" w:cstheme="minorEastAsia"/>
                <w:color w:val="000000"/>
                <w:kern w:val="0"/>
                <w:szCs w:val="21"/>
                <w:lang w:bidi="ar"/>
              </w:rPr>
              <w:t>3</w:t>
            </w:r>
          </w:p>
        </w:tc>
        <w:tc>
          <w:tcPr>
            <w:tcW w:w="1163" w:type="dxa"/>
            <w:tcBorders>
              <w:tl2br w:val="nil"/>
              <w:tr2bl w:val="nil"/>
            </w:tcBorders>
            <w:vAlign w:val="center"/>
          </w:tcPr>
          <w:p>
            <w:pPr>
              <w:widowControl/>
              <w:jc w:val="center"/>
              <w:textAlignment w:val="center"/>
              <w:rPr>
                <w:rFonts w:asciiTheme="minorEastAsia" w:hAnsiTheme="minorEastAsia" w:eastAsiaTheme="minorEastAsia" w:cstheme="minorEastAsia"/>
                <w:color w:val="000000"/>
                <w:kern w:val="0"/>
                <w:szCs w:val="21"/>
                <w:lang w:bidi="ar"/>
              </w:rPr>
            </w:pPr>
          </w:p>
        </w:tc>
        <w:tc>
          <w:tcPr>
            <w:tcW w:w="2713" w:type="dxa"/>
            <w:tcBorders>
              <w:tl2br w:val="nil"/>
              <w:tr2bl w:val="nil"/>
            </w:tcBorders>
            <w:vAlign w:val="center"/>
          </w:tcPr>
          <w:p>
            <w:pPr>
              <w:widowControl/>
              <w:jc w:val="center"/>
              <w:textAlignment w:val="center"/>
              <w:rPr>
                <w:rFonts w:asciiTheme="minorEastAsia" w:hAnsiTheme="minorEastAsia" w:eastAsiaTheme="minorEastAsia" w:cstheme="minorEastAsia"/>
                <w:color w:val="000000"/>
                <w:kern w:val="0"/>
                <w:szCs w:val="21"/>
                <w:lang w:bidi="ar"/>
              </w:rPr>
            </w:pPr>
          </w:p>
        </w:tc>
        <w:tc>
          <w:tcPr>
            <w:tcW w:w="1258" w:type="dxa"/>
            <w:tcBorders>
              <w:tl2br w:val="nil"/>
              <w:tr2bl w:val="nil"/>
            </w:tcBorders>
            <w:vAlign w:val="center"/>
          </w:tcPr>
          <w:p>
            <w:pPr>
              <w:widowControl/>
              <w:jc w:val="center"/>
              <w:textAlignment w:val="center"/>
              <w:rPr>
                <w:rFonts w:asciiTheme="minorEastAsia" w:hAnsiTheme="minorEastAsia" w:eastAsiaTheme="minorEastAsia" w:cstheme="minorEastAsia"/>
                <w:color w:val="000000"/>
                <w:kern w:val="0"/>
                <w:szCs w:val="21"/>
                <w:lang w:bidi="ar"/>
              </w:rPr>
            </w:pPr>
          </w:p>
        </w:tc>
        <w:tc>
          <w:tcPr>
            <w:tcW w:w="2575" w:type="dxa"/>
            <w:tcBorders>
              <w:tl2br w:val="nil"/>
              <w:tr2bl w:val="nil"/>
            </w:tcBorders>
            <w:vAlign w:val="center"/>
          </w:tcPr>
          <w:p>
            <w:pPr>
              <w:widowControl/>
              <w:jc w:val="center"/>
              <w:textAlignment w:val="center"/>
              <w:rPr>
                <w:rFonts w:asciiTheme="minorEastAsia" w:hAnsiTheme="minorEastAsia" w:eastAsiaTheme="minorEastAsia" w:cstheme="minorEastAsia"/>
                <w:color w:val="000000"/>
                <w:kern w:val="0"/>
                <w:szCs w:val="21"/>
                <w:lang w:bidi="ar"/>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679" w:type="dxa"/>
            <w:tcBorders>
              <w:tl2br w:val="nil"/>
              <w:tr2bl w:val="nil"/>
            </w:tcBorders>
            <w:vAlign w:val="center"/>
          </w:tcPr>
          <w:p>
            <w:pPr>
              <w:widowControl/>
              <w:jc w:val="center"/>
              <w:textAlignment w:val="center"/>
              <w:rPr>
                <w:rFonts w:asciiTheme="minorEastAsia" w:hAnsiTheme="minorEastAsia" w:eastAsiaTheme="minorEastAsia" w:cstheme="minorEastAsia"/>
                <w:color w:val="000000"/>
                <w:kern w:val="0"/>
                <w:szCs w:val="21"/>
                <w:lang w:bidi="ar"/>
              </w:rPr>
            </w:pPr>
            <w:r>
              <w:rPr>
                <w:rFonts w:hint="eastAsia" w:asciiTheme="minorEastAsia" w:hAnsiTheme="minorEastAsia" w:eastAsiaTheme="minorEastAsia" w:cstheme="minorEastAsia"/>
                <w:color w:val="000000"/>
                <w:kern w:val="0"/>
                <w:szCs w:val="21"/>
                <w:lang w:bidi="ar"/>
              </w:rPr>
              <w:t>4</w:t>
            </w:r>
          </w:p>
        </w:tc>
        <w:tc>
          <w:tcPr>
            <w:tcW w:w="1163" w:type="dxa"/>
            <w:tcBorders>
              <w:tl2br w:val="nil"/>
              <w:tr2bl w:val="nil"/>
            </w:tcBorders>
            <w:vAlign w:val="center"/>
          </w:tcPr>
          <w:p>
            <w:pPr>
              <w:widowControl/>
              <w:jc w:val="center"/>
              <w:textAlignment w:val="center"/>
              <w:rPr>
                <w:rFonts w:asciiTheme="minorEastAsia" w:hAnsiTheme="minorEastAsia" w:eastAsiaTheme="minorEastAsia" w:cstheme="minorEastAsia"/>
                <w:color w:val="000000"/>
                <w:kern w:val="0"/>
                <w:szCs w:val="21"/>
                <w:lang w:bidi="ar"/>
              </w:rPr>
            </w:pPr>
          </w:p>
        </w:tc>
        <w:tc>
          <w:tcPr>
            <w:tcW w:w="2713" w:type="dxa"/>
            <w:tcBorders>
              <w:tl2br w:val="nil"/>
              <w:tr2bl w:val="nil"/>
            </w:tcBorders>
            <w:vAlign w:val="center"/>
          </w:tcPr>
          <w:p>
            <w:pPr>
              <w:widowControl/>
              <w:jc w:val="center"/>
              <w:textAlignment w:val="center"/>
              <w:rPr>
                <w:rFonts w:asciiTheme="minorEastAsia" w:hAnsiTheme="minorEastAsia" w:eastAsiaTheme="minorEastAsia" w:cstheme="minorEastAsia"/>
                <w:color w:val="000000"/>
                <w:kern w:val="0"/>
                <w:szCs w:val="21"/>
                <w:lang w:bidi="ar"/>
              </w:rPr>
            </w:pPr>
          </w:p>
        </w:tc>
        <w:tc>
          <w:tcPr>
            <w:tcW w:w="1258" w:type="dxa"/>
            <w:tcBorders>
              <w:tl2br w:val="nil"/>
              <w:tr2bl w:val="nil"/>
            </w:tcBorders>
            <w:vAlign w:val="center"/>
          </w:tcPr>
          <w:p>
            <w:pPr>
              <w:widowControl/>
              <w:jc w:val="center"/>
              <w:textAlignment w:val="center"/>
              <w:rPr>
                <w:rFonts w:asciiTheme="minorEastAsia" w:hAnsiTheme="minorEastAsia" w:eastAsiaTheme="minorEastAsia" w:cstheme="minorEastAsia"/>
                <w:color w:val="000000"/>
                <w:kern w:val="0"/>
                <w:szCs w:val="21"/>
                <w:lang w:bidi="ar"/>
              </w:rPr>
            </w:pPr>
          </w:p>
        </w:tc>
        <w:tc>
          <w:tcPr>
            <w:tcW w:w="2575" w:type="dxa"/>
            <w:tcBorders>
              <w:tl2br w:val="nil"/>
              <w:tr2bl w:val="nil"/>
            </w:tcBorders>
            <w:vAlign w:val="center"/>
          </w:tcPr>
          <w:p>
            <w:pPr>
              <w:widowControl/>
              <w:jc w:val="center"/>
              <w:textAlignment w:val="center"/>
              <w:rPr>
                <w:rFonts w:asciiTheme="minorEastAsia" w:hAnsiTheme="minorEastAsia" w:eastAsiaTheme="minorEastAsia" w:cstheme="minorEastAsia"/>
                <w:color w:val="000000"/>
                <w:kern w:val="0"/>
                <w:szCs w:val="21"/>
                <w:lang w:bidi="ar"/>
              </w:rPr>
            </w:pPr>
          </w:p>
        </w:tc>
      </w:tr>
    </w:tbl>
    <w:p>
      <w:pPr>
        <w:spacing w:before="156" w:beforeLines="50" w:line="360" w:lineRule="auto"/>
        <w:outlineLvl w:val="1"/>
        <w:rPr>
          <w:rFonts w:ascii="黑体" w:hAnsi="黑体" w:eastAsia="黑体" w:cs="黑体"/>
          <w:sz w:val="24"/>
        </w:rPr>
      </w:pPr>
      <w:bookmarkStart w:id="46" w:name="_Toc17639"/>
      <w:bookmarkStart w:id="47" w:name="_Toc30331"/>
      <w:bookmarkStart w:id="48" w:name="_Toc29035"/>
      <w:r>
        <w:rPr>
          <w:rFonts w:hint="eastAsia" w:ascii="黑体" w:hAnsi="黑体" w:eastAsia="黑体" w:cs="黑体"/>
          <w:sz w:val="24"/>
        </w:rPr>
        <w:t>6.6 其它补充说明</w:t>
      </w:r>
      <w:bookmarkEnd w:id="46"/>
      <w:bookmarkEnd w:id="47"/>
      <w:bookmarkEnd w:id="48"/>
    </w:p>
    <w:p>
      <w:pPr>
        <w:spacing w:line="360" w:lineRule="auto"/>
        <w:ind w:firstLine="480" w:firstLineChars="2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投标方认为实现本文件的相关内容存在技术类或其它类风险，请详细说明，并提供相应的对策。</w:t>
      </w:r>
    </w:p>
    <w:p>
      <w:pPr>
        <w:spacing w:line="360" w:lineRule="auto"/>
        <w:ind w:firstLine="480" w:firstLineChars="200"/>
        <w:rPr>
          <w:rFonts w:asciiTheme="minorEastAsia" w:hAnsiTheme="minorEastAsia" w:eastAsiaTheme="minorEastAsia" w:cstheme="minorEastAsia"/>
          <w:color w:val="000000"/>
          <w:sz w:val="24"/>
        </w:rPr>
      </w:pPr>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隶书">
    <w:altName w:val="微软雅黑"/>
    <w:panose1 w:val="0201050906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9196D49"/>
    <w:multiLevelType w:val="singleLevel"/>
    <w:tmpl w:val="B9196D49"/>
    <w:lvl w:ilvl="0" w:tentative="0">
      <w:start w:val="1"/>
      <w:numFmt w:val="decimal"/>
      <w:suff w:val="nothing"/>
      <w:lvlText w:val="（%1）"/>
      <w:lvlJc w:val="left"/>
    </w:lvl>
  </w:abstractNum>
  <w:abstractNum w:abstractNumId="1">
    <w:nsid w:val="D12C290B"/>
    <w:multiLevelType w:val="singleLevel"/>
    <w:tmpl w:val="D12C290B"/>
    <w:lvl w:ilvl="0" w:tentative="0">
      <w:start w:val="1"/>
      <w:numFmt w:val="decimal"/>
      <w:pStyle w:val="17"/>
      <w:lvlText w:val="%1."/>
      <w:lvlJc w:val="left"/>
      <w:pPr>
        <w:ind w:left="425" w:hanging="425"/>
      </w:pPr>
      <w:rPr>
        <w:rFonts w:hint="default"/>
      </w:rPr>
    </w:lvl>
  </w:abstractNum>
  <w:abstractNum w:abstractNumId="2">
    <w:nsid w:val="D6E510E2"/>
    <w:multiLevelType w:val="multilevel"/>
    <w:tmpl w:val="D6E510E2"/>
    <w:lvl w:ilvl="0" w:tentative="0">
      <w:start w:val="1"/>
      <w:numFmt w:val="decimal"/>
      <w:lvlText w:val="（%1）"/>
      <w:lvlJc w:val="left"/>
      <w:pPr>
        <w:tabs>
          <w:tab w:val="left" w:pos="763"/>
        </w:tabs>
        <w:ind w:left="1103" w:hanging="623"/>
      </w:pPr>
      <w:rPr>
        <w:b w:val="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D9945126"/>
    <w:multiLevelType w:val="multilevel"/>
    <w:tmpl w:val="D9945126"/>
    <w:lvl w:ilvl="0" w:tentative="0">
      <w:start w:val="1"/>
      <w:numFmt w:val="decimal"/>
      <w:lvlText w:val="（%1）"/>
      <w:lvlJc w:val="left"/>
      <w:pPr>
        <w:tabs>
          <w:tab w:val="left" w:pos="763"/>
        </w:tabs>
        <w:ind w:left="1103" w:hanging="623"/>
      </w:pPr>
      <w:rPr>
        <w:b w:val="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F7106A3D"/>
    <w:multiLevelType w:val="multilevel"/>
    <w:tmpl w:val="F7106A3D"/>
    <w:lvl w:ilvl="0" w:tentative="0">
      <w:start w:val="1"/>
      <w:numFmt w:val="decimal"/>
      <w:lvlText w:val="（%1）"/>
      <w:lvlJc w:val="left"/>
      <w:pPr>
        <w:tabs>
          <w:tab w:val="left" w:pos="763"/>
        </w:tabs>
        <w:ind w:left="1103" w:hanging="623"/>
      </w:pPr>
      <w:rPr>
        <w:b w:val="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00000018"/>
    <w:multiLevelType w:val="multilevel"/>
    <w:tmpl w:val="00000018"/>
    <w:lvl w:ilvl="0" w:tentative="0">
      <w:start w:val="1"/>
      <w:numFmt w:val="decimal"/>
      <w:lvlText w:val="（%1）"/>
      <w:lvlJc w:val="left"/>
      <w:pPr>
        <w:tabs>
          <w:tab w:val="left" w:pos="763"/>
        </w:tabs>
        <w:ind w:left="1103" w:hanging="623"/>
      </w:pPr>
      <w:rPr>
        <w:b w:val="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2D2D7F27"/>
    <w:multiLevelType w:val="multilevel"/>
    <w:tmpl w:val="2D2D7F27"/>
    <w:lvl w:ilvl="0" w:tentative="0">
      <w:start w:val="1"/>
      <w:numFmt w:val="decimal"/>
      <w:lvlText w:val="（%1）"/>
      <w:lvlJc w:val="left"/>
      <w:pPr>
        <w:tabs>
          <w:tab w:val="left" w:pos="763"/>
        </w:tabs>
        <w:ind w:left="1103" w:hanging="623"/>
      </w:pPr>
      <w:rPr>
        <w:b w:val="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3BC61863"/>
    <w:multiLevelType w:val="multilevel"/>
    <w:tmpl w:val="3BC61863"/>
    <w:lvl w:ilvl="0" w:tentative="0">
      <w:start w:val="1"/>
      <w:numFmt w:val="decimal"/>
      <w:lvlText w:val="（%1）"/>
      <w:lvlJc w:val="left"/>
      <w:pPr>
        <w:tabs>
          <w:tab w:val="left" w:pos="763"/>
        </w:tabs>
        <w:ind w:left="1103" w:hanging="623"/>
      </w:pPr>
      <w:rPr>
        <w:b w:val="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42D4CAF1"/>
    <w:multiLevelType w:val="multilevel"/>
    <w:tmpl w:val="42D4CAF1"/>
    <w:lvl w:ilvl="0" w:tentative="0">
      <w:start w:val="1"/>
      <w:numFmt w:val="decimal"/>
      <w:lvlText w:val="（%1）"/>
      <w:lvlJc w:val="left"/>
      <w:pPr>
        <w:tabs>
          <w:tab w:val="left" w:pos="763"/>
        </w:tabs>
        <w:ind w:left="1103" w:hanging="623"/>
      </w:pPr>
      <w:rPr>
        <w:b w:val="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4A61307C"/>
    <w:multiLevelType w:val="singleLevel"/>
    <w:tmpl w:val="4A61307C"/>
    <w:lvl w:ilvl="0" w:tentative="0">
      <w:start w:val="2"/>
      <w:numFmt w:val="decimal"/>
      <w:suff w:val="nothing"/>
      <w:lvlText w:val="（%1）"/>
      <w:lvlJc w:val="left"/>
    </w:lvl>
  </w:abstractNum>
  <w:abstractNum w:abstractNumId="10">
    <w:nsid w:val="5E537055"/>
    <w:multiLevelType w:val="singleLevel"/>
    <w:tmpl w:val="5E537055"/>
    <w:lvl w:ilvl="0" w:tentative="0">
      <w:start w:val="1"/>
      <w:numFmt w:val="decimal"/>
      <w:lvlText w:val="%1."/>
      <w:lvlJc w:val="left"/>
      <w:pPr>
        <w:ind w:left="425" w:hanging="425"/>
      </w:pPr>
      <w:rPr>
        <w:rFonts w:hint="default"/>
      </w:rPr>
    </w:lvl>
  </w:abstractNum>
  <w:num w:numId="1">
    <w:abstractNumId w:val="1"/>
  </w:num>
  <w:num w:numId="2">
    <w:abstractNumId w:val="10"/>
  </w:num>
  <w:num w:numId="3">
    <w:abstractNumId w:val="9"/>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
  </w:num>
  <w:num w:numId="7">
    <w:abstractNumId w:val="0"/>
  </w:num>
  <w:num w:numId="8">
    <w:abstractNumId w:val="4"/>
  </w:num>
  <w:num w:numId="9">
    <w:abstractNumId w:val="3"/>
  </w:num>
  <w:num w:numId="10">
    <w:abstractNumId w:val="7"/>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g2ODUyMmVmZDg1ZTJmNTBiMTNjMGEzZjk0NTg4ZWEifQ=="/>
  </w:docVars>
  <w:rsids>
    <w:rsidRoot w:val="56112EA9"/>
    <w:rsid w:val="0000270B"/>
    <w:rsid w:val="00010B26"/>
    <w:rsid w:val="000636CE"/>
    <w:rsid w:val="000A6A73"/>
    <w:rsid w:val="00113C97"/>
    <w:rsid w:val="00115946"/>
    <w:rsid w:val="00164EBC"/>
    <w:rsid w:val="0026519E"/>
    <w:rsid w:val="002C4834"/>
    <w:rsid w:val="003E2476"/>
    <w:rsid w:val="00421D60"/>
    <w:rsid w:val="0048067A"/>
    <w:rsid w:val="00554450"/>
    <w:rsid w:val="005872C2"/>
    <w:rsid w:val="00587EDF"/>
    <w:rsid w:val="00590D93"/>
    <w:rsid w:val="005D506F"/>
    <w:rsid w:val="00686EED"/>
    <w:rsid w:val="0069305C"/>
    <w:rsid w:val="007240D7"/>
    <w:rsid w:val="00800725"/>
    <w:rsid w:val="0088060C"/>
    <w:rsid w:val="008A3F75"/>
    <w:rsid w:val="00920102"/>
    <w:rsid w:val="00920B60"/>
    <w:rsid w:val="00990C72"/>
    <w:rsid w:val="00A20B78"/>
    <w:rsid w:val="00B50BAD"/>
    <w:rsid w:val="00B93D13"/>
    <w:rsid w:val="00BE1551"/>
    <w:rsid w:val="00BF0BE6"/>
    <w:rsid w:val="00BF2590"/>
    <w:rsid w:val="00BF4640"/>
    <w:rsid w:val="00C86ED9"/>
    <w:rsid w:val="00D076E2"/>
    <w:rsid w:val="00D77DD3"/>
    <w:rsid w:val="00DD5130"/>
    <w:rsid w:val="00DD6394"/>
    <w:rsid w:val="00DE7516"/>
    <w:rsid w:val="00E22C55"/>
    <w:rsid w:val="00E6513C"/>
    <w:rsid w:val="00E71448"/>
    <w:rsid w:val="00E728B4"/>
    <w:rsid w:val="00E73E41"/>
    <w:rsid w:val="00E85346"/>
    <w:rsid w:val="00E858E9"/>
    <w:rsid w:val="00EC47C2"/>
    <w:rsid w:val="00ED285B"/>
    <w:rsid w:val="00EE51F7"/>
    <w:rsid w:val="00FE2FA8"/>
    <w:rsid w:val="018D0AE9"/>
    <w:rsid w:val="024C7CCE"/>
    <w:rsid w:val="027C11FC"/>
    <w:rsid w:val="0295401A"/>
    <w:rsid w:val="0303051E"/>
    <w:rsid w:val="0332374D"/>
    <w:rsid w:val="034E11A4"/>
    <w:rsid w:val="03522419"/>
    <w:rsid w:val="038A1628"/>
    <w:rsid w:val="03D25B79"/>
    <w:rsid w:val="03DA2C61"/>
    <w:rsid w:val="047B7BC4"/>
    <w:rsid w:val="04A03924"/>
    <w:rsid w:val="04A348A8"/>
    <w:rsid w:val="04BF0B83"/>
    <w:rsid w:val="04FE4EAD"/>
    <w:rsid w:val="050B3192"/>
    <w:rsid w:val="05312146"/>
    <w:rsid w:val="05330E8B"/>
    <w:rsid w:val="056D4E14"/>
    <w:rsid w:val="05B31D8A"/>
    <w:rsid w:val="05FD7391"/>
    <w:rsid w:val="06067FB4"/>
    <w:rsid w:val="06AA7F06"/>
    <w:rsid w:val="06AB2A7F"/>
    <w:rsid w:val="074F100F"/>
    <w:rsid w:val="078E0AF3"/>
    <w:rsid w:val="07DC3C63"/>
    <w:rsid w:val="08075EEB"/>
    <w:rsid w:val="08115868"/>
    <w:rsid w:val="08BF46E8"/>
    <w:rsid w:val="0900633E"/>
    <w:rsid w:val="092C55DA"/>
    <w:rsid w:val="09F078C2"/>
    <w:rsid w:val="0A0D1E0C"/>
    <w:rsid w:val="0A454A85"/>
    <w:rsid w:val="0A9773AF"/>
    <w:rsid w:val="0AE573D4"/>
    <w:rsid w:val="0AE61AEF"/>
    <w:rsid w:val="0AF162E0"/>
    <w:rsid w:val="0B715FA9"/>
    <w:rsid w:val="0B856175"/>
    <w:rsid w:val="0BBA534B"/>
    <w:rsid w:val="0BD1033B"/>
    <w:rsid w:val="0BE65DF4"/>
    <w:rsid w:val="0BFD7548"/>
    <w:rsid w:val="0C7A3F96"/>
    <w:rsid w:val="0C8C1EEF"/>
    <w:rsid w:val="0D0C14ED"/>
    <w:rsid w:val="0D6039E5"/>
    <w:rsid w:val="0D8536BD"/>
    <w:rsid w:val="0DDE0C6E"/>
    <w:rsid w:val="0E2844A2"/>
    <w:rsid w:val="0EF23F64"/>
    <w:rsid w:val="0F573D98"/>
    <w:rsid w:val="0FBF064C"/>
    <w:rsid w:val="10011F66"/>
    <w:rsid w:val="101D58FF"/>
    <w:rsid w:val="10972384"/>
    <w:rsid w:val="10FD1C16"/>
    <w:rsid w:val="110F2EEB"/>
    <w:rsid w:val="11402C86"/>
    <w:rsid w:val="116A1D1E"/>
    <w:rsid w:val="11F12EFC"/>
    <w:rsid w:val="121F5B13"/>
    <w:rsid w:val="131E5EEC"/>
    <w:rsid w:val="13566E57"/>
    <w:rsid w:val="143E1EA2"/>
    <w:rsid w:val="14421D4B"/>
    <w:rsid w:val="147F0C66"/>
    <w:rsid w:val="1558413F"/>
    <w:rsid w:val="155E4129"/>
    <w:rsid w:val="15A75916"/>
    <w:rsid w:val="15B259A5"/>
    <w:rsid w:val="160351CB"/>
    <w:rsid w:val="162A486A"/>
    <w:rsid w:val="166B105E"/>
    <w:rsid w:val="16A5438B"/>
    <w:rsid w:val="16CE4D4F"/>
    <w:rsid w:val="16F77748"/>
    <w:rsid w:val="16F83349"/>
    <w:rsid w:val="1736357B"/>
    <w:rsid w:val="17610576"/>
    <w:rsid w:val="17917892"/>
    <w:rsid w:val="17BF5F86"/>
    <w:rsid w:val="17E90E67"/>
    <w:rsid w:val="18B9078C"/>
    <w:rsid w:val="19A838A8"/>
    <w:rsid w:val="1A1D3617"/>
    <w:rsid w:val="1A21446B"/>
    <w:rsid w:val="1A316175"/>
    <w:rsid w:val="1A4E6234"/>
    <w:rsid w:val="1A830B36"/>
    <w:rsid w:val="1A8B6099"/>
    <w:rsid w:val="1AC7047C"/>
    <w:rsid w:val="1ADD4B0E"/>
    <w:rsid w:val="1BC34E9C"/>
    <w:rsid w:val="1BD47334"/>
    <w:rsid w:val="1BF021DF"/>
    <w:rsid w:val="1BFA3C82"/>
    <w:rsid w:val="1C322F51"/>
    <w:rsid w:val="1C5E0443"/>
    <w:rsid w:val="1C672B50"/>
    <w:rsid w:val="1CCE54EB"/>
    <w:rsid w:val="1D7B096A"/>
    <w:rsid w:val="1D7B5A38"/>
    <w:rsid w:val="1D897CE0"/>
    <w:rsid w:val="1DA01B05"/>
    <w:rsid w:val="1DA20BB4"/>
    <w:rsid w:val="1DF3291B"/>
    <w:rsid w:val="1DFC3E5E"/>
    <w:rsid w:val="1E053E75"/>
    <w:rsid w:val="1E6F24FC"/>
    <w:rsid w:val="1E9601BD"/>
    <w:rsid w:val="1EA43205"/>
    <w:rsid w:val="1ED02718"/>
    <w:rsid w:val="1F8A5392"/>
    <w:rsid w:val="1FBD1E67"/>
    <w:rsid w:val="207A43B8"/>
    <w:rsid w:val="20947C82"/>
    <w:rsid w:val="20D855DF"/>
    <w:rsid w:val="2113274F"/>
    <w:rsid w:val="213E3A63"/>
    <w:rsid w:val="22015C0D"/>
    <w:rsid w:val="22056757"/>
    <w:rsid w:val="23123D8C"/>
    <w:rsid w:val="234277A0"/>
    <w:rsid w:val="234B187D"/>
    <w:rsid w:val="23817433"/>
    <w:rsid w:val="23AC5C96"/>
    <w:rsid w:val="23FC7BFC"/>
    <w:rsid w:val="24400BE7"/>
    <w:rsid w:val="24EA7C79"/>
    <w:rsid w:val="250F564D"/>
    <w:rsid w:val="252B1EB7"/>
    <w:rsid w:val="255A6DA3"/>
    <w:rsid w:val="256870E0"/>
    <w:rsid w:val="25E42BF8"/>
    <w:rsid w:val="261C1238"/>
    <w:rsid w:val="26283552"/>
    <w:rsid w:val="265249D6"/>
    <w:rsid w:val="275D5D26"/>
    <w:rsid w:val="275F7D29"/>
    <w:rsid w:val="28403FE5"/>
    <w:rsid w:val="284E791C"/>
    <w:rsid w:val="28BE48E2"/>
    <w:rsid w:val="293E2805"/>
    <w:rsid w:val="29502FD4"/>
    <w:rsid w:val="295C4868"/>
    <w:rsid w:val="29665177"/>
    <w:rsid w:val="29695A4F"/>
    <w:rsid w:val="2A2E50A9"/>
    <w:rsid w:val="2A441357"/>
    <w:rsid w:val="2AD23A30"/>
    <w:rsid w:val="2ADD356C"/>
    <w:rsid w:val="2AEB407A"/>
    <w:rsid w:val="2AFA0631"/>
    <w:rsid w:val="2B0F5533"/>
    <w:rsid w:val="2B4F6E06"/>
    <w:rsid w:val="2B6721B0"/>
    <w:rsid w:val="2BC37160"/>
    <w:rsid w:val="2C191EA0"/>
    <w:rsid w:val="2C6E0BE4"/>
    <w:rsid w:val="2C761602"/>
    <w:rsid w:val="2CA3124A"/>
    <w:rsid w:val="2CE51BB8"/>
    <w:rsid w:val="2D28136F"/>
    <w:rsid w:val="2D8B5047"/>
    <w:rsid w:val="2D8F39A1"/>
    <w:rsid w:val="2DAC4578"/>
    <w:rsid w:val="2DB36870"/>
    <w:rsid w:val="2DEA6350"/>
    <w:rsid w:val="2DEE4968"/>
    <w:rsid w:val="2DF055EB"/>
    <w:rsid w:val="2DFE5553"/>
    <w:rsid w:val="2E260032"/>
    <w:rsid w:val="2E380045"/>
    <w:rsid w:val="2EFA1D2E"/>
    <w:rsid w:val="2F1403FE"/>
    <w:rsid w:val="2F2E6BFF"/>
    <w:rsid w:val="2F4F58DB"/>
    <w:rsid w:val="2FB616D4"/>
    <w:rsid w:val="2FC241F2"/>
    <w:rsid w:val="2FEF2882"/>
    <w:rsid w:val="30045C2F"/>
    <w:rsid w:val="30D30BA7"/>
    <w:rsid w:val="30DF2B6C"/>
    <w:rsid w:val="313E1E7A"/>
    <w:rsid w:val="320E50AB"/>
    <w:rsid w:val="32144A36"/>
    <w:rsid w:val="323B3EF4"/>
    <w:rsid w:val="323D2377"/>
    <w:rsid w:val="327612D0"/>
    <w:rsid w:val="32A468A4"/>
    <w:rsid w:val="330E4E8B"/>
    <w:rsid w:val="33161353"/>
    <w:rsid w:val="33372193"/>
    <w:rsid w:val="334E3954"/>
    <w:rsid w:val="335E270E"/>
    <w:rsid w:val="33B96CA1"/>
    <w:rsid w:val="34255CC8"/>
    <w:rsid w:val="34274EEA"/>
    <w:rsid w:val="358A1AD4"/>
    <w:rsid w:val="358B06A1"/>
    <w:rsid w:val="35E41FA9"/>
    <w:rsid w:val="360B40D3"/>
    <w:rsid w:val="3661221B"/>
    <w:rsid w:val="3670607B"/>
    <w:rsid w:val="3671785E"/>
    <w:rsid w:val="37A433E0"/>
    <w:rsid w:val="37A92DDE"/>
    <w:rsid w:val="37AE0477"/>
    <w:rsid w:val="38004B22"/>
    <w:rsid w:val="38B71FE5"/>
    <w:rsid w:val="39140E3A"/>
    <w:rsid w:val="398C2739"/>
    <w:rsid w:val="39965EB4"/>
    <w:rsid w:val="39AE0030"/>
    <w:rsid w:val="39E15381"/>
    <w:rsid w:val="39E974DB"/>
    <w:rsid w:val="3A9B4436"/>
    <w:rsid w:val="3AB10B58"/>
    <w:rsid w:val="3ADC741E"/>
    <w:rsid w:val="3B624658"/>
    <w:rsid w:val="3B903A49"/>
    <w:rsid w:val="3C4C5078"/>
    <w:rsid w:val="3C5462DE"/>
    <w:rsid w:val="3CD23C47"/>
    <w:rsid w:val="3D5B369C"/>
    <w:rsid w:val="3DAF5FC2"/>
    <w:rsid w:val="3DC862F7"/>
    <w:rsid w:val="3DDE3626"/>
    <w:rsid w:val="3EDD2E10"/>
    <w:rsid w:val="3F0B01E7"/>
    <w:rsid w:val="40112738"/>
    <w:rsid w:val="401C5798"/>
    <w:rsid w:val="40794199"/>
    <w:rsid w:val="407F76A2"/>
    <w:rsid w:val="408A19B3"/>
    <w:rsid w:val="40CF0453"/>
    <w:rsid w:val="40E51007"/>
    <w:rsid w:val="40F0643B"/>
    <w:rsid w:val="41166258"/>
    <w:rsid w:val="41414714"/>
    <w:rsid w:val="41821212"/>
    <w:rsid w:val="419C13AE"/>
    <w:rsid w:val="41A73FEA"/>
    <w:rsid w:val="41B40E40"/>
    <w:rsid w:val="424D3B9C"/>
    <w:rsid w:val="42DF02D2"/>
    <w:rsid w:val="433F20E0"/>
    <w:rsid w:val="43B31A69"/>
    <w:rsid w:val="44C917FC"/>
    <w:rsid w:val="4549744E"/>
    <w:rsid w:val="4558258E"/>
    <w:rsid w:val="45AD67D6"/>
    <w:rsid w:val="45CF1EF0"/>
    <w:rsid w:val="45E20A8C"/>
    <w:rsid w:val="46136706"/>
    <w:rsid w:val="46A8630B"/>
    <w:rsid w:val="47097B32"/>
    <w:rsid w:val="47382C50"/>
    <w:rsid w:val="473A0E5B"/>
    <w:rsid w:val="476617B8"/>
    <w:rsid w:val="47A6109B"/>
    <w:rsid w:val="48205CF0"/>
    <w:rsid w:val="48911F9D"/>
    <w:rsid w:val="48AE5D4E"/>
    <w:rsid w:val="48EA5EAF"/>
    <w:rsid w:val="49162EBF"/>
    <w:rsid w:val="49827327"/>
    <w:rsid w:val="49843F7B"/>
    <w:rsid w:val="4A4B4604"/>
    <w:rsid w:val="4A537A00"/>
    <w:rsid w:val="4A566A25"/>
    <w:rsid w:val="4A5E7F8F"/>
    <w:rsid w:val="4A7A1254"/>
    <w:rsid w:val="4B1258A8"/>
    <w:rsid w:val="4B18258B"/>
    <w:rsid w:val="4B2A3103"/>
    <w:rsid w:val="4B3522B4"/>
    <w:rsid w:val="4B5E6BA8"/>
    <w:rsid w:val="4C3F54C3"/>
    <w:rsid w:val="4C7D53DD"/>
    <w:rsid w:val="4CE147A6"/>
    <w:rsid w:val="4CEE40EF"/>
    <w:rsid w:val="4D6D36A4"/>
    <w:rsid w:val="4D9859FA"/>
    <w:rsid w:val="4DA14869"/>
    <w:rsid w:val="4DBF3FC8"/>
    <w:rsid w:val="4DDC4386"/>
    <w:rsid w:val="4E287A4C"/>
    <w:rsid w:val="4E634927"/>
    <w:rsid w:val="4E6A1D33"/>
    <w:rsid w:val="4E830CA5"/>
    <w:rsid w:val="50835DA5"/>
    <w:rsid w:val="50CA2BBB"/>
    <w:rsid w:val="50E579F5"/>
    <w:rsid w:val="50E83C80"/>
    <w:rsid w:val="50E84976"/>
    <w:rsid w:val="50F3175D"/>
    <w:rsid w:val="51B727A0"/>
    <w:rsid w:val="5204701C"/>
    <w:rsid w:val="52400ADE"/>
    <w:rsid w:val="52AB3BAD"/>
    <w:rsid w:val="52D27864"/>
    <w:rsid w:val="5363025D"/>
    <w:rsid w:val="536B3F5C"/>
    <w:rsid w:val="53CD308F"/>
    <w:rsid w:val="53FE5EDD"/>
    <w:rsid w:val="54197F17"/>
    <w:rsid w:val="54752E3E"/>
    <w:rsid w:val="54836136"/>
    <w:rsid w:val="54C17E31"/>
    <w:rsid w:val="54DA0EF3"/>
    <w:rsid w:val="54E75E4E"/>
    <w:rsid w:val="54EC5F00"/>
    <w:rsid w:val="55000F83"/>
    <w:rsid w:val="55BB08CE"/>
    <w:rsid w:val="55E62245"/>
    <w:rsid w:val="56112EA9"/>
    <w:rsid w:val="5612303A"/>
    <w:rsid w:val="565D51D0"/>
    <w:rsid w:val="56634F6B"/>
    <w:rsid w:val="56794219"/>
    <w:rsid w:val="56FE5647"/>
    <w:rsid w:val="572004CE"/>
    <w:rsid w:val="57633422"/>
    <w:rsid w:val="576E3E36"/>
    <w:rsid w:val="57B162ED"/>
    <w:rsid w:val="57BC5768"/>
    <w:rsid w:val="57CD239A"/>
    <w:rsid w:val="57D62605"/>
    <w:rsid w:val="59517F98"/>
    <w:rsid w:val="595379CD"/>
    <w:rsid w:val="59BD7DED"/>
    <w:rsid w:val="5AA575C5"/>
    <w:rsid w:val="5AE252E1"/>
    <w:rsid w:val="5B07541D"/>
    <w:rsid w:val="5B291D9C"/>
    <w:rsid w:val="5CBC1717"/>
    <w:rsid w:val="5D196F37"/>
    <w:rsid w:val="5D560B25"/>
    <w:rsid w:val="5D72486F"/>
    <w:rsid w:val="5DA36C6E"/>
    <w:rsid w:val="5E0B23A4"/>
    <w:rsid w:val="5E311346"/>
    <w:rsid w:val="5E7F2B1D"/>
    <w:rsid w:val="5E9479C8"/>
    <w:rsid w:val="5E9B16F3"/>
    <w:rsid w:val="5EBF1216"/>
    <w:rsid w:val="5EFF55AD"/>
    <w:rsid w:val="5F294A3B"/>
    <w:rsid w:val="5F49114F"/>
    <w:rsid w:val="5FB50515"/>
    <w:rsid w:val="5FC559AE"/>
    <w:rsid w:val="5FE91C23"/>
    <w:rsid w:val="5FFA163D"/>
    <w:rsid w:val="60446F8A"/>
    <w:rsid w:val="606623D2"/>
    <w:rsid w:val="60A8111F"/>
    <w:rsid w:val="60B802FB"/>
    <w:rsid w:val="61633BDA"/>
    <w:rsid w:val="618B5A4F"/>
    <w:rsid w:val="61965C29"/>
    <w:rsid w:val="61AE14CA"/>
    <w:rsid w:val="61B23647"/>
    <w:rsid w:val="61E33B45"/>
    <w:rsid w:val="61E97C32"/>
    <w:rsid w:val="61F3273F"/>
    <w:rsid w:val="61F94649"/>
    <w:rsid w:val="62093B33"/>
    <w:rsid w:val="62F51069"/>
    <w:rsid w:val="635247D8"/>
    <w:rsid w:val="63D464D8"/>
    <w:rsid w:val="63FE5340"/>
    <w:rsid w:val="64033072"/>
    <w:rsid w:val="64132F2C"/>
    <w:rsid w:val="649027A3"/>
    <w:rsid w:val="64F92069"/>
    <w:rsid w:val="650664D0"/>
    <w:rsid w:val="652A6814"/>
    <w:rsid w:val="65355760"/>
    <w:rsid w:val="6549603A"/>
    <w:rsid w:val="65875B1F"/>
    <w:rsid w:val="65B52BC0"/>
    <w:rsid w:val="65F820EE"/>
    <w:rsid w:val="664B4963"/>
    <w:rsid w:val="668A1EC9"/>
    <w:rsid w:val="66A84CFD"/>
    <w:rsid w:val="673113AB"/>
    <w:rsid w:val="673F17B5"/>
    <w:rsid w:val="67593ED7"/>
    <w:rsid w:val="678C7059"/>
    <w:rsid w:val="67FC0AA6"/>
    <w:rsid w:val="6855617C"/>
    <w:rsid w:val="68AC152E"/>
    <w:rsid w:val="695323C7"/>
    <w:rsid w:val="69EA7D86"/>
    <w:rsid w:val="69EB5D53"/>
    <w:rsid w:val="6A4D1A51"/>
    <w:rsid w:val="6A541EFF"/>
    <w:rsid w:val="6A557981"/>
    <w:rsid w:val="6B023115"/>
    <w:rsid w:val="6C074237"/>
    <w:rsid w:val="6CFF5361"/>
    <w:rsid w:val="6D401C96"/>
    <w:rsid w:val="6D9475D4"/>
    <w:rsid w:val="6E06100F"/>
    <w:rsid w:val="6E5B1FD7"/>
    <w:rsid w:val="6E723206"/>
    <w:rsid w:val="6EAC4123"/>
    <w:rsid w:val="6F190B3E"/>
    <w:rsid w:val="6F863CF9"/>
    <w:rsid w:val="7058635C"/>
    <w:rsid w:val="708F1B04"/>
    <w:rsid w:val="70E237AF"/>
    <w:rsid w:val="710C1A65"/>
    <w:rsid w:val="71D23226"/>
    <w:rsid w:val="71FF19B7"/>
    <w:rsid w:val="720C6738"/>
    <w:rsid w:val="72AE42B2"/>
    <w:rsid w:val="731458B8"/>
    <w:rsid w:val="7344287C"/>
    <w:rsid w:val="73F87831"/>
    <w:rsid w:val="73FA6E86"/>
    <w:rsid w:val="74572EAA"/>
    <w:rsid w:val="74CB0DAA"/>
    <w:rsid w:val="74E106B7"/>
    <w:rsid w:val="754449AA"/>
    <w:rsid w:val="75700D85"/>
    <w:rsid w:val="75715F41"/>
    <w:rsid w:val="76497732"/>
    <w:rsid w:val="76890F73"/>
    <w:rsid w:val="76D36F81"/>
    <w:rsid w:val="770F4753"/>
    <w:rsid w:val="774A7EC4"/>
    <w:rsid w:val="77505319"/>
    <w:rsid w:val="7780039E"/>
    <w:rsid w:val="77E86AC9"/>
    <w:rsid w:val="788E3E44"/>
    <w:rsid w:val="795E2CE3"/>
    <w:rsid w:val="798F3A5E"/>
    <w:rsid w:val="79EB43CD"/>
    <w:rsid w:val="7A126AE1"/>
    <w:rsid w:val="7A835A05"/>
    <w:rsid w:val="7A951295"/>
    <w:rsid w:val="7AA02113"/>
    <w:rsid w:val="7ABE2378"/>
    <w:rsid w:val="7AFB3926"/>
    <w:rsid w:val="7B6B0909"/>
    <w:rsid w:val="7B9E7E5E"/>
    <w:rsid w:val="7BA41111"/>
    <w:rsid w:val="7BFC3589"/>
    <w:rsid w:val="7C185614"/>
    <w:rsid w:val="7C6A15B3"/>
    <w:rsid w:val="7CD02D3B"/>
    <w:rsid w:val="7D140CC4"/>
    <w:rsid w:val="7D264462"/>
    <w:rsid w:val="7D2B397D"/>
    <w:rsid w:val="7D367F4F"/>
    <w:rsid w:val="7D755AD9"/>
    <w:rsid w:val="7D7F0706"/>
    <w:rsid w:val="7E352FE9"/>
    <w:rsid w:val="7E3D193F"/>
    <w:rsid w:val="7EB61EE5"/>
    <w:rsid w:val="7EDC56E4"/>
    <w:rsid w:val="7FAD5105"/>
    <w:rsid w:val="7FCE0606"/>
    <w:rsid w:val="7FF132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unhideWhenUsed/>
    <w:qFormat/>
    <w:uiPriority w:val="0"/>
    <w:pPr>
      <w:keepNext/>
      <w:keepLines/>
      <w:tabs>
        <w:tab w:val="left" w:pos="720"/>
      </w:tabs>
      <w:adjustRightInd w:val="0"/>
      <w:spacing w:line="320" w:lineRule="atLeast"/>
      <w:ind w:left="720" w:hanging="720"/>
      <w:outlineLvl w:val="1"/>
    </w:pPr>
    <w:rPr>
      <w:rFonts w:ascii="黑体" w:hAnsi="Arial" w:eastAsia="黑体" w:cs="宋体"/>
      <w:kern w:val="0"/>
      <w:sz w:val="28"/>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Plain Text"/>
    <w:basedOn w:val="1"/>
    <w:qFormat/>
    <w:uiPriority w:val="0"/>
    <w:rPr>
      <w:rFonts w:ascii="宋体" w:hAnsi="Courier New" w:cs="Courier New"/>
      <w:szCs w:val="21"/>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9">
    <w:name w:val="toc 1"/>
    <w:basedOn w:val="1"/>
    <w:next w:val="1"/>
    <w:qFormat/>
    <w:uiPriority w:val="0"/>
  </w:style>
  <w:style w:type="paragraph" w:styleId="10">
    <w:name w:val="toc 2"/>
    <w:basedOn w:val="1"/>
    <w:next w:val="1"/>
    <w:qFormat/>
    <w:uiPriority w:val="0"/>
    <w:pPr>
      <w:tabs>
        <w:tab w:val="right" w:leader="dot" w:pos="8302"/>
      </w:tabs>
      <w:snapToGrid w:val="0"/>
      <w:spacing w:line="360" w:lineRule="auto"/>
      <w:ind w:left="525" w:hanging="4"/>
    </w:pPr>
    <w:rPr>
      <w:sz w:val="24"/>
      <w:szCs w:val="20"/>
    </w:rPr>
  </w:style>
  <w:style w:type="paragraph" w:styleId="11">
    <w:name w:val="Normal (Web)"/>
    <w:basedOn w:val="1"/>
    <w:qFormat/>
    <w:uiPriority w:val="0"/>
    <w:rPr>
      <w:sz w:val="24"/>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Hyperlink"/>
    <w:basedOn w:val="14"/>
    <w:qFormat/>
    <w:uiPriority w:val="0"/>
  </w:style>
  <w:style w:type="character" w:styleId="16">
    <w:name w:val="annotation reference"/>
    <w:basedOn w:val="14"/>
    <w:uiPriority w:val="0"/>
    <w:rPr>
      <w:sz w:val="21"/>
      <w:szCs w:val="21"/>
    </w:rPr>
  </w:style>
  <w:style w:type="paragraph" w:customStyle="1" w:styleId="17">
    <w:name w:val="标题1"/>
    <w:basedOn w:val="3"/>
    <w:next w:val="1"/>
    <w:qFormat/>
    <w:uiPriority w:val="0"/>
    <w:pPr>
      <w:numPr>
        <w:ilvl w:val="0"/>
        <w:numId w:val="1"/>
      </w:numPr>
    </w:pPr>
    <w:rPr>
      <w:rFonts w:hAnsi="黑体"/>
    </w:rPr>
  </w:style>
  <w:style w:type="paragraph" w:customStyle="1" w:styleId="18">
    <w:name w:val="首页项目名称"/>
    <w:link w:val="20"/>
    <w:qFormat/>
    <w:uiPriority w:val="0"/>
    <w:pPr>
      <w:jc w:val="center"/>
    </w:pPr>
    <w:rPr>
      <w:rFonts w:ascii="Times New Roman" w:hAnsi="Times New Roman" w:eastAsia="隶书" w:cs="Times New Roman"/>
      <w:sz w:val="52"/>
      <w:lang w:val="en-US" w:eastAsia="zh-CN" w:bidi="ar-SA"/>
    </w:rPr>
  </w:style>
  <w:style w:type="paragraph" w:customStyle="1" w:styleId="19">
    <w:name w:val="首页日期"/>
    <w:basedOn w:val="1"/>
    <w:link w:val="21"/>
    <w:qFormat/>
    <w:uiPriority w:val="0"/>
    <w:pPr>
      <w:jc w:val="center"/>
    </w:pPr>
    <w:rPr>
      <w:rFonts w:eastAsia="楷体"/>
      <w:sz w:val="32"/>
    </w:rPr>
  </w:style>
  <w:style w:type="character" w:customStyle="1" w:styleId="20">
    <w:name w:val="首页项目名称 Char"/>
    <w:link w:val="18"/>
    <w:qFormat/>
    <w:uiPriority w:val="0"/>
    <w:rPr>
      <w:rFonts w:ascii="Times New Roman" w:hAnsi="Times New Roman" w:eastAsia="隶书"/>
      <w:sz w:val="52"/>
    </w:rPr>
  </w:style>
  <w:style w:type="character" w:customStyle="1" w:styleId="21">
    <w:name w:val="首页日期 Char"/>
    <w:link w:val="19"/>
    <w:qFormat/>
    <w:uiPriority w:val="0"/>
    <w:rPr>
      <w:rFonts w:ascii="Times New Roman" w:hAnsi="Times New Roman" w:eastAsia="楷体"/>
      <w:sz w:val="32"/>
    </w:rPr>
  </w:style>
  <w:style w:type="paragraph" w:customStyle="1" w:styleId="22">
    <w:name w:val="一标题"/>
    <w:link w:val="23"/>
    <w:qFormat/>
    <w:uiPriority w:val="0"/>
    <w:pPr>
      <w:spacing w:before="100" w:beforeLines="100" w:line="360" w:lineRule="auto"/>
    </w:pPr>
    <w:rPr>
      <w:rFonts w:ascii="宋体" w:hAnsi="宋体" w:eastAsia="宋体" w:cs="Times New Roman"/>
      <w:b/>
      <w:sz w:val="24"/>
      <w:lang w:val="en-US" w:eastAsia="zh-CN" w:bidi="ar-SA"/>
    </w:rPr>
  </w:style>
  <w:style w:type="character" w:customStyle="1" w:styleId="23">
    <w:name w:val="一标题 Char"/>
    <w:link w:val="22"/>
    <w:qFormat/>
    <w:uiPriority w:val="0"/>
    <w:rPr>
      <w:rFonts w:ascii="宋体" w:hAnsi="宋体" w:eastAsia="宋体" w:cs="Times New Roman"/>
      <w:b/>
      <w:sz w:val="24"/>
    </w:rPr>
  </w:style>
  <w:style w:type="paragraph" w:customStyle="1" w:styleId="24">
    <w:name w:val="_Style 0"/>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5">
    <w:name w:val="List Paragraph"/>
    <w:basedOn w:val="1"/>
    <w:unhideWhenUsed/>
    <w:qFormat/>
    <w:uiPriority w:val="99"/>
    <w:pPr>
      <w:ind w:firstLine="420" w:firstLineChars="200"/>
    </w:pPr>
  </w:style>
  <w:style w:type="paragraph" w:customStyle="1" w:styleId="26">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Pages>
  <Words>1169</Words>
  <Characters>6666</Characters>
  <Lines>55</Lines>
  <Paragraphs>15</Paragraphs>
  <TotalTime>4</TotalTime>
  <ScaleCrop>false</ScaleCrop>
  <LinksUpToDate>false</LinksUpToDate>
  <CharactersWithSpaces>7820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2024-07-25T03:32:00Z</dcterms:created>
  <dc:creator>shenpeiyi</dc:creator>
  <cp:lastModifiedBy>hongchuanhai900820</cp:lastModifiedBy>
  <dcterms:modified xsi:type="dcterms:W3CDTF">2024-09-06T05:12:52Z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BB13FDE09FCC45F1B31EC83B7195E005_13</vt:lpwstr>
  </property>
  <property fmtid="{D5CDD505-2E9C-101B-9397-08002B2CF9AE}" pid="4" name="MTWinEqns">
    <vt:bool>true</vt:bool>
  </property>
</Properties>
</file>