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sz w:val="36"/>
          <w:szCs w:val="36"/>
          <w:highlight w:val="none"/>
        </w:rPr>
      </w:pPr>
      <w:r>
        <w:rPr>
          <w:highlight w:val="none"/>
        </w:rPr>
        <w:drawing>
          <wp:anchor distT="0" distB="0" distL="114300" distR="114300" simplePos="0" relativeHeight="251659264" behindDoc="0" locked="0" layoutInCell="1" allowOverlap="1">
            <wp:simplePos x="0" y="0"/>
            <wp:positionH relativeFrom="column">
              <wp:posOffset>-1247775</wp:posOffset>
            </wp:positionH>
            <wp:positionV relativeFrom="paragraph">
              <wp:posOffset>-1057275</wp:posOffset>
            </wp:positionV>
            <wp:extent cx="7772400" cy="2381250"/>
            <wp:effectExtent l="0" t="0" r="0" b="0"/>
            <wp:wrapNone/>
            <wp:docPr id="2" name="图片 6"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模板-3"/>
                    <pic:cNvPicPr>
                      <a:picLocks noChangeAspect="1" noChangeArrowheads="1"/>
                    </pic:cNvPicPr>
                  </pic:nvPicPr>
                  <pic:blipFill>
                    <a:blip r:embed="rId5" cstate="print"/>
                    <a:srcRect/>
                    <a:stretch>
                      <a:fillRect/>
                    </a:stretch>
                  </pic:blipFill>
                  <pic:spPr>
                    <a:xfrm>
                      <a:off x="0" y="0"/>
                      <a:ext cx="7772400" cy="2381250"/>
                    </a:xfrm>
                    <a:prstGeom prst="rect">
                      <a:avLst/>
                    </a:prstGeom>
                    <a:noFill/>
                    <a:ln w="9525">
                      <a:noFill/>
                      <a:miter lim="800000"/>
                      <a:headEnd/>
                      <a:tailEnd/>
                    </a:ln>
                  </pic:spPr>
                </pic:pic>
              </a:graphicData>
            </a:graphic>
          </wp:anchor>
        </w:drawing>
      </w:r>
    </w:p>
    <w:p>
      <w:pPr>
        <w:jc w:val="center"/>
        <w:rPr>
          <w:rFonts w:ascii="宋体" w:hAnsi="宋体"/>
          <w:b/>
          <w:sz w:val="36"/>
          <w:szCs w:val="36"/>
          <w:highlight w:val="none"/>
        </w:rPr>
      </w:pPr>
    </w:p>
    <w:p>
      <w:pPr>
        <w:jc w:val="center"/>
        <w:rPr>
          <w:rFonts w:ascii="宋体" w:hAnsi="宋体"/>
          <w:b/>
          <w:sz w:val="36"/>
          <w:szCs w:val="36"/>
          <w:highlight w:val="none"/>
        </w:rPr>
      </w:pPr>
    </w:p>
    <w:p>
      <w:pPr>
        <w:jc w:val="center"/>
        <w:rPr>
          <w:rFonts w:ascii="宋体" w:hAnsi="宋体"/>
          <w:b/>
          <w:sz w:val="44"/>
          <w:szCs w:val="44"/>
          <w:highlight w:val="none"/>
        </w:rPr>
      </w:pPr>
    </w:p>
    <w:p>
      <w:pPr>
        <w:jc w:val="center"/>
        <w:rPr>
          <w:rFonts w:ascii="宋体" w:hAnsi="宋体"/>
          <w:b/>
          <w:sz w:val="44"/>
          <w:szCs w:val="44"/>
          <w:highlight w:val="none"/>
        </w:rPr>
      </w:pPr>
    </w:p>
    <w:p>
      <w:pPr>
        <w:jc w:val="center"/>
        <w:rPr>
          <w:rFonts w:ascii="宋体" w:hAnsi="宋体"/>
          <w:b/>
          <w:sz w:val="44"/>
          <w:szCs w:val="44"/>
          <w:highlight w:val="none"/>
        </w:rPr>
      </w:pPr>
    </w:p>
    <w:p>
      <w:pPr>
        <w:jc w:val="center"/>
        <w:rPr>
          <w:rFonts w:ascii="宋体" w:hAnsi="宋体"/>
          <w:bCs/>
          <w:highlight w:val="none"/>
        </w:rPr>
      </w:pPr>
      <w:r>
        <w:rPr>
          <w:rFonts w:hint="eastAsia" w:ascii="宋体" w:hAnsi="宋体"/>
          <w:b/>
          <w:sz w:val="44"/>
          <w:szCs w:val="44"/>
          <w:highlight w:val="none"/>
          <w:lang w:eastAsia="zh-CN"/>
        </w:rPr>
        <w:t>来宾网区2024年调度软交换网管备用服务器修理服务</w:t>
      </w:r>
      <w:r>
        <w:rPr>
          <w:rFonts w:hint="eastAsia" w:ascii="宋体" w:hAnsi="宋体"/>
          <w:b/>
          <w:sz w:val="44"/>
          <w:szCs w:val="44"/>
          <w:highlight w:val="none"/>
        </w:rPr>
        <w:t>技术规范书</w:t>
      </w: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rPr>
          <w:rFonts w:ascii="宋体" w:hAnsi="宋体"/>
          <w:bCs/>
          <w:highlight w:val="none"/>
        </w:rPr>
      </w:pPr>
    </w:p>
    <w:p>
      <w:pPr>
        <w:jc w:val="center"/>
        <w:rPr>
          <w:rFonts w:ascii="宋体" w:hAnsi="宋体"/>
          <w:bCs/>
          <w:highlight w:val="none"/>
        </w:rPr>
      </w:pPr>
    </w:p>
    <w:p>
      <w:pPr>
        <w:adjustRightInd w:val="0"/>
        <w:snapToGrid w:val="0"/>
        <w:spacing w:line="360" w:lineRule="auto"/>
        <w:ind w:left="1506" w:hanging="1506" w:hangingChars="500"/>
        <w:jc w:val="center"/>
        <w:rPr>
          <w:rFonts w:ascii="宋体" w:hAnsi="宋体"/>
          <w:b/>
          <w:sz w:val="30"/>
          <w:szCs w:val="30"/>
          <w:highlight w:val="none"/>
        </w:rPr>
      </w:pPr>
      <w:r>
        <w:rPr>
          <w:rFonts w:hint="eastAsia" w:ascii="宋体" w:hAnsi="宋体"/>
          <w:b/>
          <w:sz w:val="30"/>
          <w:szCs w:val="30"/>
          <w:highlight w:val="none"/>
        </w:rPr>
        <w:t>广西电网</w:t>
      </w:r>
      <w:r>
        <w:rPr>
          <w:rFonts w:ascii="宋体" w:hAnsi="宋体"/>
          <w:b/>
          <w:sz w:val="30"/>
          <w:szCs w:val="30"/>
          <w:highlight w:val="none"/>
        </w:rPr>
        <w:t>有限责任公司</w:t>
      </w:r>
    </w:p>
    <w:p>
      <w:pPr>
        <w:adjustRightInd w:val="0"/>
        <w:snapToGrid w:val="0"/>
        <w:spacing w:line="360" w:lineRule="auto"/>
        <w:ind w:left="1506" w:hanging="1506" w:hangingChars="500"/>
        <w:jc w:val="center"/>
        <w:rPr>
          <w:rFonts w:ascii="宋体" w:hAnsi="宋体"/>
          <w:b/>
          <w:sz w:val="30"/>
          <w:szCs w:val="30"/>
          <w:highlight w:val="none"/>
        </w:rPr>
      </w:pPr>
      <w:r>
        <w:rPr>
          <w:rFonts w:hint="eastAsia" w:ascii="宋体" w:hAnsi="宋体"/>
          <w:b/>
          <w:sz w:val="30"/>
          <w:szCs w:val="30"/>
          <w:highlight w:val="none"/>
        </w:rPr>
        <w:t>二〇</w:t>
      </w:r>
      <w:r>
        <w:rPr>
          <w:rFonts w:hint="eastAsia" w:ascii="宋体" w:hAnsi="宋体"/>
          <w:b/>
          <w:sz w:val="30"/>
          <w:szCs w:val="30"/>
          <w:highlight w:val="none"/>
          <w:lang w:eastAsia="zh-CN"/>
        </w:rPr>
        <w:t>二四</w:t>
      </w:r>
      <w:r>
        <w:rPr>
          <w:rFonts w:hint="eastAsia" w:ascii="宋体" w:hAnsi="宋体"/>
          <w:b/>
          <w:sz w:val="30"/>
          <w:szCs w:val="30"/>
          <w:highlight w:val="none"/>
        </w:rPr>
        <w:t>年</w:t>
      </w:r>
      <w:r>
        <w:rPr>
          <w:rFonts w:hint="eastAsia" w:ascii="宋体" w:hAnsi="宋体"/>
          <w:b/>
          <w:sz w:val="30"/>
          <w:szCs w:val="30"/>
          <w:highlight w:val="none"/>
          <w:lang w:eastAsia="zh-CN"/>
        </w:rPr>
        <w:t>九</w:t>
      </w:r>
      <w:r>
        <w:rPr>
          <w:rFonts w:hint="eastAsia" w:ascii="宋体" w:hAnsi="宋体"/>
          <w:b/>
          <w:sz w:val="30"/>
          <w:szCs w:val="30"/>
          <w:highlight w:val="none"/>
        </w:rPr>
        <w:t>月</w:t>
      </w:r>
    </w:p>
    <w:p>
      <w:pPr>
        <w:adjustRightInd w:val="0"/>
        <w:snapToGrid w:val="0"/>
        <w:spacing w:line="360" w:lineRule="auto"/>
        <w:ind w:left="1506" w:hanging="1506" w:hangingChars="500"/>
        <w:jc w:val="center"/>
        <w:rPr>
          <w:rFonts w:ascii="宋体" w:hAnsi="宋体"/>
          <w:b/>
          <w:sz w:val="30"/>
          <w:szCs w:val="30"/>
          <w:highlight w:val="none"/>
        </w:rPr>
      </w:pPr>
    </w:p>
    <w:p>
      <w:pPr>
        <w:adjustRightInd w:val="0"/>
        <w:snapToGrid w:val="0"/>
        <w:spacing w:line="360" w:lineRule="auto"/>
        <w:ind w:left="1506" w:hanging="1506" w:hangingChars="500"/>
        <w:jc w:val="center"/>
        <w:rPr>
          <w:rFonts w:ascii="宋体" w:hAnsi="宋体"/>
          <w:b/>
          <w:sz w:val="30"/>
          <w:szCs w:val="30"/>
          <w:highlight w:val="none"/>
        </w:rPr>
      </w:pPr>
    </w:p>
    <w:p>
      <w:pPr>
        <w:adjustRightInd w:val="0"/>
        <w:snapToGrid w:val="0"/>
        <w:spacing w:line="360" w:lineRule="auto"/>
        <w:ind w:left="1506" w:hanging="1506" w:hangingChars="500"/>
        <w:jc w:val="center"/>
        <w:rPr>
          <w:rFonts w:ascii="宋体" w:hAnsi="宋体"/>
          <w:b/>
          <w:sz w:val="30"/>
          <w:szCs w:val="30"/>
          <w:highlight w:val="none"/>
        </w:rPr>
      </w:pPr>
    </w:p>
    <w:p>
      <w:pPr>
        <w:adjustRightInd w:val="0"/>
        <w:snapToGrid w:val="0"/>
        <w:spacing w:line="360" w:lineRule="auto"/>
        <w:ind w:left="1506" w:hanging="1506" w:hangingChars="500"/>
        <w:jc w:val="center"/>
        <w:rPr>
          <w:rFonts w:ascii="宋体" w:hAnsi="宋体"/>
          <w:b/>
          <w:sz w:val="30"/>
          <w:szCs w:val="30"/>
          <w:highlight w:val="none"/>
        </w:rPr>
      </w:pPr>
      <w:r>
        <w:rPr>
          <w:rFonts w:hint="eastAsia" w:ascii="宋体" w:hAnsi="宋体"/>
          <w:b/>
          <w:sz w:val="30"/>
          <w:szCs w:val="30"/>
          <w:highlight w:val="none"/>
        </w:rPr>
        <w:t>目录</w:t>
      </w:r>
    </w:p>
    <w:p>
      <w:pPr>
        <w:pStyle w:val="11"/>
        <w:tabs>
          <w:tab w:val="left" w:pos="840"/>
          <w:tab w:val="right" w:leader="dot" w:pos="8296"/>
        </w:tabs>
        <w:rPr>
          <w:rFonts w:asciiTheme="minorHAnsi" w:hAnsiTheme="minorHAnsi" w:eastAsiaTheme="minorEastAsia" w:cstheme="minorBidi"/>
          <w:sz w:val="21"/>
          <w:highlight w:val="none"/>
        </w:rPr>
      </w:pPr>
      <w:r>
        <w:rPr>
          <w:rFonts w:hint="eastAsia" w:ascii="宋体" w:hAnsi="宋体"/>
          <w:b/>
          <w:bCs/>
          <w:szCs w:val="28"/>
          <w:highlight w:val="none"/>
        </w:rPr>
        <w:fldChar w:fldCharType="begin"/>
      </w:r>
      <w:r>
        <w:rPr>
          <w:rFonts w:hint="eastAsia" w:ascii="宋体" w:hAnsi="宋体"/>
          <w:b/>
          <w:bCs/>
          <w:szCs w:val="28"/>
          <w:highlight w:val="none"/>
        </w:rPr>
        <w:instrText xml:space="preserve">TOC \o "1-3" \h \u </w:instrText>
      </w:r>
      <w:r>
        <w:rPr>
          <w:rFonts w:hint="eastAsia" w:ascii="宋体" w:hAnsi="宋体"/>
          <w:b/>
          <w:bCs/>
          <w:szCs w:val="28"/>
          <w:highlight w:val="none"/>
        </w:rPr>
        <w:fldChar w:fldCharType="separate"/>
      </w:r>
      <w:r>
        <w:rPr>
          <w:highlight w:val="none"/>
        </w:rPr>
        <w:fldChar w:fldCharType="begin"/>
      </w:r>
      <w:r>
        <w:rPr>
          <w:highlight w:val="none"/>
        </w:rPr>
        <w:instrText xml:space="preserve"> HYPERLINK \l "_Toc5373712" </w:instrText>
      </w:r>
      <w:r>
        <w:rPr>
          <w:highlight w:val="none"/>
        </w:rPr>
        <w:fldChar w:fldCharType="separate"/>
      </w:r>
      <w:r>
        <w:rPr>
          <w:rStyle w:val="16"/>
          <w:rFonts w:ascii="宋体" w:hAnsi="宋体" w:cs="宋体"/>
          <w:highlight w:val="none"/>
        </w:rPr>
        <w:t>1.</w:t>
      </w:r>
      <w:r>
        <w:rPr>
          <w:rFonts w:asciiTheme="minorHAnsi" w:hAnsiTheme="minorHAnsi" w:eastAsiaTheme="minorEastAsia" w:cstheme="minorBidi"/>
          <w:sz w:val="21"/>
          <w:highlight w:val="none"/>
        </w:rPr>
        <w:tab/>
      </w:r>
      <w:r>
        <w:rPr>
          <w:rStyle w:val="16"/>
          <w:rFonts w:hint="eastAsia"/>
          <w:highlight w:val="none"/>
        </w:rPr>
        <w:t>总则</w:t>
      </w:r>
      <w:r>
        <w:rPr>
          <w:highlight w:val="none"/>
        </w:rPr>
        <w:tab/>
      </w:r>
      <w:r>
        <w:rPr>
          <w:highlight w:val="none"/>
        </w:rPr>
        <w:fldChar w:fldCharType="begin"/>
      </w:r>
      <w:r>
        <w:rPr>
          <w:highlight w:val="none"/>
        </w:rPr>
        <w:instrText xml:space="preserve"> PAGEREF _Toc5373712 \h </w:instrText>
      </w:r>
      <w:r>
        <w:rPr>
          <w:highlight w:val="none"/>
        </w:rPr>
        <w:fldChar w:fldCharType="separate"/>
      </w:r>
      <w:r>
        <w:rPr>
          <w:highlight w:val="none"/>
        </w:rPr>
        <w:t>3</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"_Toc5373713" </w:instrText>
      </w:r>
      <w:r>
        <w:rPr>
          <w:highlight w:val="none"/>
        </w:rPr>
        <w:fldChar w:fldCharType="separate"/>
      </w:r>
      <w:r>
        <w:rPr>
          <w:rStyle w:val="16"/>
          <w:rFonts w:ascii="宋体" w:hAnsi="宋体" w:cs="宋体"/>
          <w:highlight w:val="none"/>
        </w:rPr>
        <w:t>2.</w:t>
      </w:r>
      <w:r>
        <w:rPr>
          <w:rFonts w:asciiTheme="minorHAnsi" w:hAnsiTheme="minorHAnsi" w:eastAsiaTheme="minorEastAsia" w:cstheme="minorBidi"/>
          <w:sz w:val="21"/>
          <w:highlight w:val="none"/>
        </w:rPr>
        <w:tab/>
      </w:r>
      <w:r>
        <w:rPr>
          <w:rStyle w:val="16"/>
          <w:rFonts w:hint="eastAsia"/>
          <w:highlight w:val="none"/>
        </w:rPr>
        <w:t>标准</w:t>
      </w:r>
      <w:r>
        <w:rPr>
          <w:highlight w:val="none"/>
        </w:rPr>
        <w:tab/>
      </w:r>
      <w:r>
        <w:rPr>
          <w:highlight w:val="none"/>
        </w:rPr>
        <w:fldChar w:fldCharType="begin"/>
      </w:r>
      <w:r>
        <w:rPr>
          <w:highlight w:val="none"/>
        </w:rPr>
        <w:instrText xml:space="preserve"> PAGEREF _Toc5373713 \h </w:instrText>
      </w:r>
      <w:r>
        <w:rPr>
          <w:highlight w:val="none"/>
        </w:rPr>
        <w:fldChar w:fldCharType="separate"/>
      </w:r>
      <w:r>
        <w:rPr>
          <w:highlight w:val="none"/>
        </w:rPr>
        <w:t>4</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"_Toc5373714" </w:instrText>
      </w:r>
      <w:r>
        <w:rPr>
          <w:highlight w:val="none"/>
        </w:rPr>
        <w:fldChar w:fldCharType="separate"/>
      </w:r>
      <w:r>
        <w:rPr>
          <w:rStyle w:val="16"/>
          <w:rFonts w:ascii="宋体" w:hAnsi="宋体" w:cs="宋体"/>
          <w:highlight w:val="none"/>
        </w:rPr>
        <w:t>3.</w:t>
      </w:r>
      <w:r>
        <w:rPr>
          <w:rFonts w:asciiTheme="minorHAnsi" w:hAnsiTheme="minorHAnsi" w:eastAsiaTheme="minorEastAsia" w:cstheme="minorBidi"/>
          <w:sz w:val="21"/>
          <w:highlight w:val="none"/>
        </w:rPr>
        <w:tab/>
      </w:r>
      <w:r>
        <w:rPr>
          <w:rStyle w:val="16"/>
          <w:rFonts w:hint="eastAsia"/>
          <w:highlight w:val="none"/>
        </w:rPr>
        <w:t>基本原则</w:t>
      </w:r>
      <w:r>
        <w:rPr>
          <w:highlight w:val="none"/>
        </w:rPr>
        <w:tab/>
      </w:r>
      <w:r>
        <w:rPr>
          <w:highlight w:val="none"/>
        </w:rPr>
        <w:fldChar w:fldCharType="begin"/>
      </w:r>
      <w:r>
        <w:rPr>
          <w:highlight w:val="none"/>
        </w:rPr>
        <w:instrText xml:space="preserve"> PAGEREF _Toc5373714 \h </w:instrText>
      </w:r>
      <w:r>
        <w:rPr>
          <w:highlight w:val="none"/>
        </w:rPr>
        <w:fldChar w:fldCharType="separate"/>
      </w:r>
      <w:r>
        <w:rPr>
          <w:highlight w:val="none"/>
        </w:rPr>
        <w:t>5</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"_Toc5373715" </w:instrText>
      </w:r>
      <w:r>
        <w:rPr>
          <w:highlight w:val="none"/>
        </w:rPr>
        <w:fldChar w:fldCharType="separate"/>
      </w:r>
      <w:r>
        <w:rPr>
          <w:rStyle w:val="16"/>
          <w:rFonts w:ascii="宋体" w:hAnsi="宋体" w:cs="宋体"/>
          <w:highlight w:val="none"/>
        </w:rPr>
        <w:t>4.</w:t>
      </w:r>
      <w:r>
        <w:rPr>
          <w:rFonts w:asciiTheme="minorHAnsi" w:hAnsiTheme="minorHAnsi" w:eastAsiaTheme="minorEastAsia" w:cstheme="minorBidi"/>
          <w:sz w:val="21"/>
          <w:highlight w:val="none"/>
        </w:rPr>
        <w:tab/>
      </w:r>
      <w:r>
        <w:rPr>
          <w:rStyle w:val="16"/>
          <w:rFonts w:hint="eastAsia"/>
          <w:highlight w:val="none"/>
        </w:rPr>
        <w:t>服务范围和服务期限</w:t>
      </w:r>
      <w:r>
        <w:rPr>
          <w:highlight w:val="none"/>
        </w:rPr>
        <w:tab/>
      </w:r>
      <w:r>
        <w:rPr>
          <w:highlight w:val="none"/>
        </w:rPr>
        <w:fldChar w:fldCharType="begin"/>
      </w:r>
      <w:r>
        <w:rPr>
          <w:highlight w:val="none"/>
        </w:rPr>
        <w:instrText xml:space="preserve"> PAGEREF _Toc5373715 \h </w:instrText>
      </w:r>
      <w:r>
        <w:rPr>
          <w:highlight w:val="none"/>
        </w:rPr>
        <w:fldChar w:fldCharType="separate"/>
      </w:r>
      <w:r>
        <w:rPr>
          <w:highlight w:val="none"/>
        </w:rPr>
        <w:t>5</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"_Toc5373716" </w:instrText>
      </w:r>
      <w:r>
        <w:rPr>
          <w:highlight w:val="none"/>
        </w:rPr>
        <w:fldChar w:fldCharType="separate"/>
      </w:r>
      <w:r>
        <w:rPr>
          <w:rStyle w:val="16"/>
          <w:rFonts w:ascii="宋体" w:hAnsi="宋体" w:cs="宋体"/>
          <w:highlight w:val="none"/>
        </w:rPr>
        <w:t>5.</w:t>
      </w:r>
      <w:r>
        <w:rPr>
          <w:rFonts w:asciiTheme="minorHAnsi" w:hAnsiTheme="minorHAnsi" w:eastAsiaTheme="minorEastAsia" w:cstheme="minorBidi"/>
          <w:sz w:val="21"/>
          <w:highlight w:val="none"/>
        </w:rPr>
        <w:tab/>
      </w:r>
      <w:r>
        <w:rPr>
          <w:rStyle w:val="16"/>
          <w:rFonts w:hint="eastAsia"/>
          <w:highlight w:val="none"/>
        </w:rPr>
        <w:t>投标方的基本要求</w:t>
      </w:r>
      <w:r>
        <w:rPr>
          <w:highlight w:val="none"/>
        </w:rPr>
        <w:tab/>
      </w:r>
      <w:r>
        <w:rPr>
          <w:highlight w:val="none"/>
        </w:rPr>
        <w:fldChar w:fldCharType="begin"/>
      </w:r>
      <w:r>
        <w:rPr>
          <w:highlight w:val="none"/>
        </w:rPr>
        <w:instrText xml:space="preserve"> PAGEREF _Toc5373716 \h </w:instrText>
      </w:r>
      <w:r>
        <w:rPr>
          <w:highlight w:val="none"/>
        </w:rPr>
        <w:fldChar w:fldCharType="separate"/>
      </w:r>
      <w:r>
        <w:rPr>
          <w:highlight w:val="none"/>
        </w:rPr>
        <w:t>6</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"_Toc5373717" </w:instrText>
      </w:r>
      <w:r>
        <w:rPr>
          <w:highlight w:val="none"/>
        </w:rPr>
        <w:fldChar w:fldCharType="separate"/>
      </w:r>
      <w:r>
        <w:rPr>
          <w:rStyle w:val="16"/>
          <w:rFonts w:ascii="宋体" w:hAnsi="宋体" w:cs="宋体"/>
          <w:highlight w:val="none"/>
        </w:rPr>
        <w:t>6.</w:t>
      </w:r>
      <w:r>
        <w:rPr>
          <w:rFonts w:asciiTheme="minorHAnsi" w:hAnsiTheme="minorHAnsi" w:eastAsiaTheme="minorEastAsia" w:cstheme="minorBidi"/>
          <w:sz w:val="21"/>
          <w:highlight w:val="none"/>
        </w:rPr>
        <w:tab/>
      </w:r>
      <w:r>
        <w:rPr>
          <w:rStyle w:val="16"/>
          <w:rFonts w:hint="eastAsia"/>
          <w:highlight w:val="none"/>
        </w:rPr>
        <w:t>其他要求</w:t>
      </w:r>
      <w:r>
        <w:rPr>
          <w:highlight w:val="none"/>
        </w:rPr>
        <w:tab/>
      </w:r>
      <w:r>
        <w:rPr>
          <w:highlight w:val="none"/>
        </w:rPr>
        <w:fldChar w:fldCharType="begin"/>
      </w:r>
      <w:r>
        <w:rPr>
          <w:highlight w:val="none"/>
        </w:rPr>
        <w:instrText xml:space="preserve"> PAGEREF _Toc5373717 \h </w:instrText>
      </w:r>
      <w:r>
        <w:rPr>
          <w:highlight w:val="none"/>
        </w:rPr>
        <w:fldChar w:fldCharType="separate"/>
      </w:r>
      <w:r>
        <w:rPr>
          <w:highlight w:val="none"/>
        </w:rPr>
        <w:t>6</w:t>
      </w:r>
      <w:r>
        <w:rPr>
          <w:highlight w:val="none"/>
        </w:rPr>
        <w:fldChar w:fldCharType="end"/>
      </w:r>
      <w:r>
        <w:rPr>
          <w:highlight w:val="none"/>
        </w:rPr>
        <w:fldChar w:fldCharType="end"/>
      </w:r>
    </w:p>
    <w:p>
      <w:pPr>
        <w:adjustRightInd w:val="0"/>
        <w:snapToGrid w:val="0"/>
        <w:spacing w:line="360" w:lineRule="auto"/>
        <w:ind w:left="1405" w:hanging="1405" w:hangingChars="500"/>
        <w:jc w:val="center"/>
        <w:rPr>
          <w:rFonts w:ascii="宋体" w:hAnsi="宋体"/>
          <w:b/>
          <w:bCs/>
          <w:szCs w:val="28"/>
          <w:highlight w:val="none"/>
        </w:rPr>
      </w:pPr>
      <w:r>
        <w:rPr>
          <w:rFonts w:hint="eastAsia" w:ascii="宋体" w:hAnsi="宋体"/>
          <w:b/>
          <w:bCs/>
          <w:szCs w:val="28"/>
          <w:highlight w:val="none"/>
        </w:rPr>
        <w:fldChar w:fldCharType="end"/>
      </w:r>
    </w:p>
    <w:p>
      <w:pPr>
        <w:widowControl/>
        <w:jc w:val="left"/>
        <w:rPr>
          <w:rFonts w:ascii="宋体" w:hAnsi="宋体"/>
          <w:b/>
          <w:bCs/>
          <w:szCs w:val="28"/>
          <w:highlight w:val="none"/>
        </w:rPr>
      </w:pPr>
      <w:r>
        <w:rPr>
          <w:rFonts w:ascii="宋体" w:hAnsi="宋体"/>
          <w:b/>
          <w:bCs/>
          <w:szCs w:val="28"/>
          <w:highlight w:val="none"/>
        </w:rPr>
        <w:br w:type="page"/>
      </w:r>
    </w:p>
    <w:p>
      <w:pPr>
        <w:pStyle w:val="2"/>
        <w:rPr>
          <w:highlight w:val="none"/>
        </w:rPr>
      </w:pPr>
      <w:bookmarkStart w:id="0" w:name="_Toc5373712"/>
      <w:r>
        <w:rPr>
          <w:rFonts w:hint="eastAsia"/>
          <w:highlight w:val="none"/>
        </w:rPr>
        <w:t>总则</w:t>
      </w:r>
      <w:bookmarkEnd w:id="0"/>
    </w:p>
    <w:p>
      <w:pPr>
        <w:rPr>
          <w:rFonts w:hint="eastAsia"/>
          <w:highlight w:val="none"/>
        </w:rPr>
      </w:pPr>
      <w:r>
        <w:rPr>
          <w:rFonts w:hint="eastAsia"/>
          <w:highlight w:val="none"/>
        </w:rPr>
        <w:t>1.1 本技术规范适用于</w:t>
      </w:r>
      <w:r>
        <w:rPr>
          <w:rFonts w:hint="eastAsia"/>
          <w:highlight w:val="none"/>
          <w:lang w:eastAsia="zh-CN"/>
        </w:rPr>
        <w:t>来宾网区</w:t>
      </w:r>
      <w:r>
        <w:rPr>
          <w:rFonts w:hint="eastAsia"/>
          <w:highlight w:val="none"/>
        </w:rPr>
        <w:t>。结合</w:t>
      </w:r>
      <w:r>
        <w:rPr>
          <w:rFonts w:hint="eastAsia"/>
          <w:highlight w:val="none"/>
          <w:lang w:eastAsia="zh-CN"/>
        </w:rPr>
        <w:t>来宾网区</w:t>
      </w:r>
      <w:r>
        <w:rPr>
          <w:rFonts w:hint="eastAsia"/>
          <w:highlight w:val="none"/>
        </w:rPr>
        <w:t>实际情况，规定了</w:t>
      </w:r>
      <w:r>
        <w:rPr>
          <w:rFonts w:hint="eastAsia"/>
          <w:highlight w:val="none"/>
          <w:lang w:eastAsia="zh-CN"/>
        </w:rPr>
        <w:t>来宾网区2024年调度软交换网管备用服务器修理服务</w:t>
      </w:r>
      <w:r>
        <w:rPr>
          <w:rFonts w:hint="eastAsia"/>
          <w:highlight w:val="none"/>
        </w:rPr>
        <w:t>等方面需遵循的技术指标及功能特性。</w:t>
      </w:r>
    </w:p>
    <w:p>
      <w:pPr>
        <w:rPr>
          <w:rFonts w:hint="eastAsia"/>
          <w:highlight w:val="none"/>
        </w:rPr>
      </w:pPr>
      <w:r>
        <w:rPr>
          <w:rFonts w:hint="eastAsia"/>
          <w:highlight w:val="none"/>
        </w:rPr>
        <w:t>1.2  本技术规范规定了</w:t>
      </w:r>
      <w:r>
        <w:rPr>
          <w:rFonts w:hint="eastAsia"/>
          <w:highlight w:val="none"/>
          <w:lang w:eastAsia="zh-CN"/>
        </w:rPr>
        <w:t>来宾网区</w:t>
      </w:r>
      <w:r>
        <w:rPr>
          <w:rFonts w:hint="eastAsia"/>
          <w:highlight w:val="none"/>
        </w:rPr>
        <w:t>辖区内</w:t>
      </w:r>
      <w:r>
        <w:rPr>
          <w:rFonts w:hint="eastAsia"/>
          <w:highlight w:val="none"/>
          <w:lang w:val="en-US" w:eastAsia="zh-CN"/>
        </w:rPr>
        <w:t>调度软交换网管备用服务器修理</w:t>
      </w:r>
      <w:r>
        <w:rPr>
          <w:rFonts w:hint="eastAsia"/>
          <w:highlight w:val="none"/>
        </w:rPr>
        <w:t>应遵循的基本原则和对投标方的相关要求，以规范和指导</w:t>
      </w:r>
      <w:r>
        <w:rPr>
          <w:rFonts w:hint="eastAsia"/>
          <w:highlight w:val="none"/>
          <w:lang w:eastAsia="zh-CN"/>
        </w:rPr>
        <w:t>来宾网区</w:t>
      </w:r>
      <w:r>
        <w:rPr>
          <w:rFonts w:hint="eastAsia"/>
          <w:highlight w:val="none"/>
          <w:lang w:val="en-US" w:eastAsia="zh-CN"/>
        </w:rPr>
        <w:t>2024年调度软交换网管备用服务器修理</w:t>
      </w:r>
      <w:r>
        <w:rPr>
          <w:rFonts w:hint="eastAsia"/>
          <w:highlight w:val="none"/>
        </w:rPr>
        <w:t>等工作。</w:t>
      </w:r>
    </w:p>
    <w:p>
      <w:pPr>
        <w:rPr>
          <w:rFonts w:hint="eastAsia"/>
          <w:highlight w:val="none"/>
        </w:rPr>
      </w:pPr>
      <w:r>
        <w:rPr>
          <w:rFonts w:hint="eastAsia"/>
          <w:highlight w:val="none"/>
        </w:rPr>
        <w:t>1.3  投标方应提供符合本招标技术文件和工业标准的优质产品、服务，认真阅读，为本项目提供的运维技能和理念应是全新的、高水准的、符合系统运行标准的，以确保服务质量，运维水平，客户满意度等要求落实到位，并且保障系统安全稳定运行。</w:t>
      </w:r>
    </w:p>
    <w:p>
      <w:pPr>
        <w:rPr>
          <w:rFonts w:hint="eastAsia"/>
          <w:highlight w:val="none"/>
        </w:rPr>
      </w:pPr>
      <w:r>
        <w:rPr>
          <w:rFonts w:hint="eastAsia"/>
          <w:highlight w:val="none"/>
        </w:rPr>
        <w:t>1.4  投标方据本技术规范书提供备品备件、工程服务、培训等以及投标方认为必须配备的设备，应在技术建议书提出。</w:t>
      </w:r>
    </w:p>
    <w:p>
      <w:pPr>
        <w:rPr>
          <w:rFonts w:hint="eastAsia"/>
          <w:highlight w:val="none"/>
        </w:rPr>
      </w:pPr>
      <w:r>
        <w:rPr>
          <w:rFonts w:hint="eastAsia"/>
          <w:highlight w:val="none"/>
        </w:rPr>
        <w:t>1.5  本技术规范书仅对运维服务范围和服务质量提出基本要求，投标方可结合自己人员的特点提出技术建议书并提供该设备性能的详细资料及说明，以供招标方参考。</w:t>
      </w:r>
    </w:p>
    <w:p>
      <w:pPr>
        <w:rPr>
          <w:rFonts w:hint="eastAsia"/>
          <w:highlight w:val="none"/>
        </w:rPr>
      </w:pPr>
      <w:r>
        <w:rPr>
          <w:rFonts w:hint="eastAsia"/>
          <w:highlight w:val="none"/>
        </w:rPr>
        <w:t>1.6  投标方也可提出满足本技术规范书要求，且技术先进、成熟、价格合理的其他建议，供招标方选择。</w:t>
      </w:r>
    </w:p>
    <w:p>
      <w:pPr>
        <w:rPr>
          <w:rFonts w:hint="eastAsia"/>
          <w:highlight w:val="none"/>
        </w:rPr>
      </w:pPr>
      <w:r>
        <w:rPr>
          <w:rFonts w:hint="eastAsia"/>
          <w:highlight w:val="none"/>
        </w:rPr>
        <w:t>1.7  本技术规范书提出的是最低限度的技术要求, 并未对一切技术细节作出规定，也未充分引述有关标准和规范的条文,所使用的标准如与投标方所执行的标准有偏差时，按高标准执行。</w:t>
      </w:r>
    </w:p>
    <w:p>
      <w:pPr>
        <w:rPr>
          <w:rFonts w:hint="eastAsia"/>
          <w:highlight w:val="none"/>
        </w:rPr>
      </w:pPr>
      <w:r>
        <w:rPr>
          <w:rFonts w:hint="eastAsia"/>
          <w:highlight w:val="none"/>
        </w:rPr>
        <w:t>1.8  根据本技术规范书，投标方应在投标应答书中对其中的条款逐项回答，确认满足本技术规范的要求和与本技术规范书的差异，对偏差部分单列成偏差表作详细描述。所有技术应答除书面文件外，应提供电子文档光盘。如果投标方没有以书面形式对本技术规范书的条款提出异议，则意味着投标方提供的服务完全满足本技术规范书的要求。</w:t>
      </w:r>
    </w:p>
    <w:p>
      <w:pPr>
        <w:rPr>
          <w:rFonts w:hint="eastAsia"/>
          <w:highlight w:val="none"/>
        </w:rPr>
      </w:pPr>
      <w:r>
        <w:rPr>
          <w:rFonts w:hint="eastAsia"/>
          <w:highlight w:val="none"/>
        </w:rPr>
        <w:t>1.9 招标方保留技术规范书修改的权利，可以提出变更的意见和建议，本技术规范书经招投标双方确认后作为服务合同的技术附件，与合同正文具有同等的法律效力。</w:t>
      </w:r>
    </w:p>
    <w:p>
      <w:pPr>
        <w:rPr>
          <w:rFonts w:hint="eastAsia"/>
          <w:highlight w:val="none"/>
        </w:rPr>
      </w:pPr>
      <w:r>
        <w:rPr>
          <w:rFonts w:hint="eastAsia"/>
          <w:highlight w:val="none"/>
        </w:rPr>
        <w:t>1.10 投标方应对本次投标所有文件保密，不得向其他单位公布或泄漏招标项目的有关信息。</w:t>
      </w:r>
    </w:p>
    <w:p>
      <w:pPr>
        <w:rPr>
          <w:highlight w:val="none"/>
        </w:rPr>
      </w:pPr>
      <w:r>
        <w:rPr>
          <w:rFonts w:hint="eastAsia"/>
          <w:highlight w:val="none"/>
        </w:rPr>
        <w:t>1.11 本技术规范书未尽事宜，由招投标双方协商确定。</w:t>
      </w:r>
    </w:p>
    <w:p>
      <w:pPr>
        <w:pStyle w:val="2"/>
        <w:rPr>
          <w:highlight w:val="none"/>
        </w:rPr>
      </w:pPr>
      <w:bookmarkStart w:id="1" w:name="_Toc5373713"/>
      <w:r>
        <w:rPr>
          <w:rFonts w:hint="eastAsia"/>
          <w:highlight w:val="none"/>
        </w:rPr>
        <w:t>标准</w:t>
      </w:r>
      <w:bookmarkEnd w:id="1"/>
    </w:p>
    <w:p>
      <w:pPr>
        <w:spacing w:line="360" w:lineRule="auto"/>
        <w:ind w:firstLine="560" w:firstLineChars="200"/>
        <w:rPr>
          <w:highlight w:val="none"/>
        </w:rPr>
      </w:pPr>
      <w:r>
        <w:rPr>
          <w:rFonts w:hint="eastAsia"/>
          <w:highlight w:val="none"/>
        </w:rPr>
        <w:t>投标方提供的所有工作产品，除本规范书中规定的技术参数和要求外，其余均应遵照最新版本的国际电信联盟(ITU)、国际电工委员会标准(IEC)、国际公制(SI)、国际标准化组织（ISO）及国家标准，这是对设备的最低要求。如果投标方有自己的标准或规范经招标方同意方可采用，但原则上均不能低于上述标准的有关规定，特别是这些规定或规程中互相矛盾的地方，应先征得招标方同意后，才能制造。</w:t>
      </w:r>
    </w:p>
    <w:p>
      <w:pPr>
        <w:pStyle w:val="2"/>
        <w:rPr>
          <w:highlight w:val="none"/>
        </w:rPr>
      </w:pPr>
      <w:bookmarkStart w:id="2" w:name="_Toc5373714"/>
      <w:r>
        <w:rPr>
          <w:rFonts w:hint="eastAsia"/>
          <w:highlight w:val="none"/>
        </w:rPr>
        <w:t>基本原则</w:t>
      </w:r>
      <w:bookmarkEnd w:id="2"/>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3.1 按照电网安全运行和业务资源的要求,生产业务外委必须委托具有相应资质的承包单位，并按照公司相关采购管理规定执行。</w:t>
      </w:r>
    </w:p>
    <w:p>
      <w:pPr>
        <w:spacing w:line="360" w:lineRule="auto"/>
        <w:rPr>
          <w:rFonts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 xml:space="preserve">3.2 生产业务实施部门应合理统筹生产业务的外委和自主实施比例，每年安排本部门生产班组自主实施试验、检修、安装等生产业务，提升上述生产业务的实操能力，促进生产班组有效掌握生产业务的核心技能，确保生产业务的安全、高效、有序实施。 </w:t>
      </w:r>
    </w:p>
    <w:p>
      <w:pPr>
        <w:pStyle w:val="2"/>
        <w:rPr>
          <w:highlight w:val="none"/>
        </w:rPr>
      </w:pPr>
      <w:bookmarkStart w:id="3" w:name="_Toc5373715"/>
      <w:r>
        <w:rPr>
          <w:rFonts w:hint="eastAsia"/>
          <w:highlight w:val="none"/>
        </w:rPr>
        <w:t>服务范围和服务期限</w:t>
      </w:r>
      <w:bookmarkEnd w:id="3"/>
    </w:p>
    <w:p>
      <w:pPr>
        <w:spacing w:line="360" w:lineRule="auto"/>
        <w:ind w:firstLine="570"/>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本书规范了来宾网区2024年</w:t>
      </w:r>
      <w:r>
        <w:rPr>
          <w:rFonts w:hint="eastAsia"/>
          <w:highlight w:val="none"/>
        </w:rPr>
        <w:t>调度软交换网管备用服务器修理服务</w:t>
      </w:r>
      <w:r>
        <w:rPr>
          <w:rFonts w:hint="eastAsia"/>
          <w:highlight w:val="none"/>
          <w:lang w:eastAsia="zh-CN"/>
        </w:rPr>
        <w:t>的</w:t>
      </w:r>
      <w:r>
        <w:rPr>
          <w:rFonts w:hint="eastAsia" w:asciiTheme="minorEastAsia" w:hAnsiTheme="minorEastAsia" w:eastAsiaTheme="minorEastAsia" w:cstheme="minorEastAsia"/>
          <w:szCs w:val="28"/>
          <w:highlight w:val="none"/>
        </w:rPr>
        <w:t>要求,本次招标范围和服务期限如下：</w:t>
      </w:r>
    </w:p>
    <w:p>
      <w:pPr>
        <w:spacing w:line="360" w:lineRule="auto"/>
        <w:ind w:firstLine="570"/>
        <w:rPr>
          <w:rFonts w:hint="eastAsia" w:asciiTheme="minorEastAsia" w:hAnsiTheme="minorEastAsia" w:eastAsiaTheme="minorEastAsia" w:cstheme="minorEastAsia"/>
          <w:color w:val="auto"/>
          <w:szCs w:val="28"/>
          <w:highlight w:val="none"/>
          <w:lang w:val="en-US" w:eastAsia="zh-CN"/>
        </w:rPr>
      </w:pPr>
      <w:bookmarkStart w:id="6" w:name="_GoBack"/>
      <w:r>
        <w:rPr>
          <w:rFonts w:hint="eastAsia"/>
          <w:color w:val="auto"/>
          <w:highlight w:val="none"/>
        </w:rPr>
        <w:t>来宾网区2024年调度软交换网管备用服务器修理服务</w:t>
      </w:r>
      <w:r>
        <w:rPr>
          <w:rFonts w:hint="eastAsia" w:asciiTheme="minorEastAsia" w:hAnsiTheme="minorEastAsia" w:eastAsiaTheme="minorEastAsia" w:cstheme="minorEastAsia"/>
          <w:color w:val="auto"/>
          <w:szCs w:val="28"/>
          <w:highlight w:val="none"/>
        </w:rPr>
        <w:t>：对</w:t>
      </w:r>
      <w:r>
        <w:rPr>
          <w:rFonts w:hint="eastAsia" w:asciiTheme="minorEastAsia" w:hAnsiTheme="minorEastAsia" w:eastAsiaTheme="minorEastAsia" w:cstheme="minorEastAsia"/>
          <w:color w:val="auto"/>
          <w:szCs w:val="28"/>
          <w:highlight w:val="none"/>
          <w:lang w:eastAsia="zh-CN"/>
        </w:rPr>
        <w:t>来宾地调通信机房内调度软交换网管备用服务器进行修理，服务器型号为GHT SW9112，厂家为广州哈里斯通讯有限公司。要求修理后服务器操作系统正常运行，网管系统正常，网管系统主、备服务器数据同步且能正常切换，网管客户端软件正常使用</w:t>
      </w:r>
      <w:r>
        <w:rPr>
          <w:rFonts w:hint="eastAsia" w:asciiTheme="minorEastAsia" w:hAnsiTheme="minorEastAsia" w:eastAsiaTheme="minorEastAsia" w:cstheme="minorEastAsia"/>
          <w:color w:val="auto"/>
          <w:szCs w:val="28"/>
          <w:highlight w:val="none"/>
          <w:lang w:val="en-US" w:eastAsia="zh-CN"/>
        </w:rPr>
        <w:t>。</w:t>
      </w:r>
    </w:p>
    <w:bookmarkEnd w:id="6"/>
    <w:p>
      <w:pPr>
        <w:spacing w:line="360" w:lineRule="auto"/>
        <w:ind w:firstLine="570"/>
        <w:rPr>
          <w:rFonts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lang w:val="en-US" w:eastAsia="zh-CN"/>
        </w:rPr>
        <w:t>服务</w:t>
      </w:r>
      <w:r>
        <w:rPr>
          <w:rFonts w:hint="eastAsia" w:asciiTheme="minorEastAsia" w:hAnsiTheme="minorEastAsia" w:eastAsiaTheme="minorEastAsia" w:cstheme="minorEastAsia"/>
          <w:szCs w:val="28"/>
          <w:highlight w:val="none"/>
        </w:rPr>
        <w:t>期限：</w:t>
      </w:r>
      <w:r>
        <w:rPr>
          <w:rFonts w:hint="eastAsia" w:asciiTheme="minorEastAsia" w:hAnsiTheme="minorEastAsia" w:eastAsiaTheme="minorEastAsia" w:cstheme="minorEastAsia"/>
          <w:szCs w:val="28"/>
          <w:highlight w:val="none"/>
          <w:lang w:eastAsia="zh-CN"/>
        </w:rPr>
        <w:t>合同签订之日起至</w:t>
      </w:r>
      <w:r>
        <w:rPr>
          <w:rFonts w:hint="eastAsia" w:asciiTheme="minorEastAsia" w:hAnsiTheme="minorEastAsia" w:eastAsiaTheme="minorEastAsia" w:cstheme="minorEastAsia"/>
          <w:szCs w:val="28"/>
          <w:highlight w:val="none"/>
          <w:lang w:val="en-US" w:eastAsia="zh-CN"/>
        </w:rPr>
        <w:t>2024年12月30日</w:t>
      </w:r>
      <w:r>
        <w:rPr>
          <w:rFonts w:hint="eastAsia" w:asciiTheme="minorEastAsia" w:hAnsiTheme="minorEastAsia" w:eastAsiaTheme="minorEastAsia" w:cstheme="minorEastAsia"/>
          <w:szCs w:val="28"/>
          <w:highlight w:val="none"/>
        </w:rPr>
        <w:t>。</w:t>
      </w:r>
    </w:p>
    <w:p>
      <w:pPr>
        <w:pStyle w:val="2"/>
        <w:rPr>
          <w:highlight w:val="none"/>
        </w:rPr>
      </w:pPr>
      <w:bookmarkStart w:id="4" w:name="_Toc5373716"/>
      <w:r>
        <w:rPr>
          <w:rFonts w:hint="eastAsia"/>
          <w:highlight w:val="none"/>
        </w:rPr>
        <w:t>投标方的基本要求</w:t>
      </w:r>
      <w:bookmarkEnd w:id="4"/>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5.1  投标方维护人员的要求</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5.1.1 遵守各项基本制度，认真做好本职工作，努力钻研技术和业务，不断提高维护技术水平和自身素质。</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5.1.2 熟悉维护工作对象，熟悉维护规程和维护技术指标，操作熟练，技术精通。</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5.1.4 投标方应负责在24小时内</w:t>
      </w:r>
      <w:r>
        <w:rPr>
          <w:rFonts w:hint="eastAsia" w:asciiTheme="minorEastAsia" w:hAnsiTheme="minorEastAsia" w:eastAsiaTheme="minorEastAsia" w:cstheme="minorEastAsia"/>
          <w:szCs w:val="28"/>
          <w:highlight w:val="none"/>
          <w:lang w:eastAsia="zh-CN"/>
        </w:rPr>
        <w:t>满足</w:t>
      </w:r>
      <w:r>
        <w:rPr>
          <w:rFonts w:hint="eastAsia" w:asciiTheme="minorEastAsia" w:hAnsiTheme="minorEastAsia" w:eastAsiaTheme="minorEastAsia" w:cstheme="minorEastAsia"/>
          <w:szCs w:val="28"/>
          <w:highlight w:val="none"/>
        </w:rPr>
        <w:t>外委单位故障处理需求。</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5.2信息保密的要求</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5.2.1 投标方应与外委单位签署保密协议，并严格执行。</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5.2.2 投标方必须定期所属的维护人员进行安全、保密教育，并约束其按相关信息保密要求执行。</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5.2.3 投标方维护人员未经许可，不得擅自翻阅、抄录、拷贝、传播所接触到的维护资料、数据。</w:t>
      </w:r>
    </w:p>
    <w:p>
      <w:pPr>
        <w:spacing w:line="360" w:lineRule="auto"/>
        <w:rPr>
          <w:rFonts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6.2.4 投标方维护人员因工作需要使用的U盘或移动硬盘等移动存储设备必须经各单位信息安全扫描，统一编号、集中存放，非工作需要不得擅自携带外出。</w:t>
      </w:r>
    </w:p>
    <w:p>
      <w:pPr>
        <w:pStyle w:val="2"/>
        <w:rPr>
          <w:highlight w:val="none"/>
        </w:rPr>
      </w:pPr>
      <w:bookmarkStart w:id="5" w:name="_Toc5373717"/>
      <w:r>
        <w:rPr>
          <w:rFonts w:hint="eastAsia"/>
          <w:highlight w:val="none"/>
        </w:rPr>
        <w:t>其他要求</w:t>
      </w:r>
      <w:bookmarkEnd w:id="5"/>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6.1 项目进度</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6.1.1 投标方必须响应并承诺下列要求：投标方应在建议书中根据招标方要求的服务、工作产品交付日期，提出详细的项目进度表及工作组织安排，合同签订时将在此基础上确定最终进度。投标方应明确对最短可行项目进度的承诺。</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6.1.2 投标方应列出各个单项工作的报价，还应对各个单项工作的不同阶段工作进行划分，并在列出各阶段工作的详细报价。</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6.2 项目联络</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6.2.1 为审查和确认本项目的工作方案，便于合同按期执行，在系统建设过程中可根据需要召开联络会。</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6.2.2 联络会的内容如下：</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确认服务、工作产品的性能是否满足规范书要求。</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确认服务、工作产品的实施方案。</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检查、确认投标方提供的技术文件。</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讨论、确定培训计划（包括课程安排、教材、进度）。</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其他有关事项。</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6.3 评审与验收</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6.3.1 投标方应负责在项目验收时将项目的全部有关技术文件、资料、测试、验收报告等文档汇集成册交付给招标方。</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6.3.2 招标方可根据合同及招标书和招标方的有关规定进行修改和补充, 经双方确认后形成验收文件作为验收依据。验收评审合格后30日内，若无问题，经双方确认后，签署最终验收文件。</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6.3.3 如果在签署最终验收文件后12周内，由于投标方的原因，该项目有一条或多条达不到规定的技术要求时，投标方应在附加的4周内采取有效措施，使该项目完全达到规定的技术要求，在此期间的一切费用由投标方承担，如在此期间内仍达不到规定的技术性能要求时，将按合同中相应商务条款执行。</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6.4 技术资料和文件</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6.4.1 投标方提供的文件和资料应能满足招标方进行维护和进一步完善的需要。</w:t>
      </w:r>
    </w:p>
    <w:p>
      <w:pPr>
        <w:spacing w:line="360" w:lineRule="auto"/>
        <w:rPr>
          <w:highlight w:val="none"/>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708765"/>
    </w:sdtPr>
    <w:sdtContent>
      <w:p>
        <w:pPr>
          <w:pStyle w:val="9"/>
          <w:jc w:val="center"/>
        </w:pPr>
        <w:r>
          <w:fldChar w:fldCharType="begin"/>
        </w:r>
        <w:r>
          <w:instrText xml:space="preserve">PAGE   \* MERGEFORMAT</w:instrText>
        </w:r>
        <w:r>
          <w:fldChar w:fldCharType="separate"/>
        </w:r>
        <w:r>
          <w:rPr>
            <w:lang w:val="zh-CN"/>
          </w:rPr>
          <w:t>2</w:t>
        </w:r>
        <w:r>
          <w:fldChar w:fldCharType="end"/>
        </w:r>
      </w:p>
    </w:sdtContent>
  </w:sdt>
  <w:p>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C8EB0F"/>
    <w:multiLevelType w:val="multilevel"/>
    <w:tmpl w:val="58C8EB0F"/>
    <w:lvl w:ilvl="0" w:tentative="0">
      <w:start w:val="1"/>
      <w:numFmt w:val="decimal"/>
      <w:pStyle w:val="17"/>
      <w:isLgl/>
      <w:lvlText w:val="%1."/>
      <w:lvlJc w:val="left"/>
      <w:pPr>
        <w:ind w:left="425" w:hanging="425"/>
      </w:pPr>
      <w:rPr>
        <w:rFonts w:hint="default" w:ascii="宋体" w:hAnsi="宋体" w:eastAsia="宋体" w:cs="宋体"/>
      </w:rPr>
    </w:lvl>
    <w:lvl w:ilvl="1" w:tentative="0">
      <w:start w:val="1"/>
      <w:numFmt w:val="decimal"/>
      <w:isLgl/>
      <w:lvlText w:val="%1.%2."/>
      <w:lvlJc w:val="left"/>
      <w:pPr>
        <w:ind w:left="567" w:hanging="567"/>
      </w:pPr>
      <w:rPr>
        <w:rFonts w:hint="default" w:ascii="宋体" w:hAnsi="宋体" w:eastAsia="宋体" w:cs="宋体"/>
      </w:rPr>
    </w:lvl>
    <w:lvl w:ilvl="2" w:tentative="0">
      <w:start w:val="1"/>
      <w:numFmt w:val="decimal"/>
      <w:isLgl/>
      <w:lvlText w:val="%1.%2.%3."/>
      <w:lvlJc w:val="left"/>
      <w:pPr>
        <w:ind w:left="709" w:hanging="709"/>
      </w:pPr>
      <w:rPr>
        <w:rFonts w:hint="default" w:ascii="宋体" w:hAnsi="宋体" w:eastAsia="宋体" w:cs="宋体"/>
      </w:rPr>
    </w:lvl>
    <w:lvl w:ilvl="3" w:tentative="0">
      <w:start w:val="1"/>
      <w:numFmt w:val="decimal"/>
      <w:isLgl/>
      <w:lvlText w:val="%1.%2.%3.%4."/>
      <w:lvlJc w:val="left"/>
      <w:pPr>
        <w:ind w:left="850" w:hanging="850"/>
      </w:pPr>
      <w:rPr>
        <w:rFonts w:hint="default" w:ascii="宋体" w:hAnsi="宋体" w:eastAsia="宋体" w:cs="宋体"/>
      </w:rPr>
    </w:lvl>
    <w:lvl w:ilvl="4" w:tentative="0">
      <w:start w:val="1"/>
      <w:numFmt w:val="decimal"/>
      <w:isLgl/>
      <w:lvlText w:val="%1.%2.%3.%4.%5."/>
      <w:lvlJc w:val="left"/>
      <w:pPr>
        <w:ind w:left="991" w:hanging="991"/>
      </w:pPr>
      <w:rPr>
        <w:rFonts w:hint="default" w:ascii="宋体" w:hAnsi="宋体" w:eastAsia="宋体" w:cs="宋体"/>
      </w:rPr>
    </w:lvl>
    <w:lvl w:ilvl="5" w:tentative="0">
      <w:start w:val="1"/>
      <w:numFmt w:val="decimal"/>
      <w:isLgl/>
      <w:lvlText w:val="%1.%2.%3.%4.%5.%6."/>
      <w:lvlJc w:val="left"/>
      <w:pPr>
        <w:ind w:left="1134" w:hanging="1134"/>
      </w:pPr>
      <w:rPr>
        <w:rFonts w:hint="default" w:ascii="宋体" w:hAnsi="宋体" w:eastAsia="宋体" w:cs="宋体"/>
      </w:rPr>
    </w:lvl>
    <w:lvl w:ilvl="6" w:tentative="0">
      <w:start w:val="1"/>
      <w:numFmt w:val="decimal"/>
      <w:isLgl/>
      <w:lvlText w:val="%1.%2.%3.%4.%5.%6.%7."/>
      <w:lvlJc w:val="left"/>
      <w:pPr>
        <w:ind w:left="1275" w:hanging="1275"/>
      </w:pPr>
      <w:rPr>
        <w:rFonts w:hint="default" w:ascii="宋体" w:hAnsi="宋体" w:eastAsia="宋体" w:cs="宋体"/>
      </w:rPr>
    </w:lvl>
    <w:lvl w:ilvl="7" w:tentative="0">
      <w:start w:val="1"/>
      <w:numFmt w:val="decimal"/>
      <w:isLgl/>
      <w:lvlText w:val="%1.%2.%3.%4.%5.%6.%7.%8."/>
      <w:lvlJc w:val="left"/>
      <w:pPr>
        <w:ind w:left="1418" w:hanging="1418"/>
      </w:pPr>
      <w:rPr>
        <w:rFonts w:hint="default" w:ascii="宋体" w:hAnsi="宋体" w:eastAsia="宋体" w:cs="宋体"/>
      </w:rPr>
    </w:lvl>
    <w:lvl w:ilvl="8" w:tentative="0">
      <w:start w:val="1"/>
      <w:numFmt w:val="decimal"/>
      <w:isLgl/>
      <w:lvlText w:val="%1.%2.%3.%4.%5.%6.%7.%8.%9."/>
      <w:lvlJc w:val="left"/>
      <w:pPr>
        <w:ind w:left="1558" w:hanging="1558"/>
      </w:pPr>
      <w:rPr>
        <w:rFonts w:hint="default" w:ascii="宋体" w:hAnsi="宋体" w:eastAsia="宋体" w:cs="宋体"/>
      </w:rPr>
    </w:lvl>
  </w:abstractNum>
  <w:abstractNum w:abstractNumId="1">
    <w:nsid w:val="58C8EB6B"/>
    <w:multiLevelType w:val="multilevel"/>
    <w:tmpl w:val="58C8EB6B"/>
    <w:lvl w:ilvl="0" w:tentative="0">
      <w:start w:val="1"/>
      <w:numFmt w:val="decimal"/>
      <w:pStyle w:val="2"/>
      <w:isLgl/>
      <w:lvlText w:val="%1."/>
      <w:lvlJc w:val="left"/>
      <w:pPr>
        <w:ind w:left="425" w:hanging="425"/>
      </w:pPr>
      <w:rPr>
        <w:rFonts w:hint="default" w:ascii="宋体" w:hAnsi="宋体" w:eastAsia="宋体" w:cs="宋体"/>
      </w:rPr>
    </w:lvl>
    <w:lvl w:ilvl="1" w:tentative="0">
      <w:start w:val="1"/>
      <w:numFmt w:val="decimal"/>
      <w:isLgl/>
      <w:lvlText w:val="%1.%2."/>
      <w:lvlJc w:val="left"/>
      <w:pPr>
        <w:ind w:left="567" w:hanging="567"/>
      </w:pPr>
      <w:rPr>
        <w:rFonts w:hint="default" w:ascii="宋体" w:hAnsi="宋体" w:eastAsia="宋体" w:cs="宋体"/>
      </w:rPr>
    </w:lvl>
    <w:lvl w:ilvl="2" w:tentative="0">
      <w:start w:val="1"/>
      <w:numFmt w:val="decimal"/>
      <w:isLgl/>
      <w:lvlText w:val="%1.%2.%3."/>
      <w:lvlJc w:val="left"/>
      <w:pPr>
        <w:ind w:left="709" w:hanging="709"/>
      </w:pPr>
      <w:rPr>
        <w:rFonts w:hint="default" w:ascii="宋体" w:hAnsi="宋体" w:eastAsia="宋体" w:cs="宋体"/>
      </w:rPr>
    </w:lvl>
    <w:lvl w:ilvl="3" w:tentative="0">
      <w:start w:val="1"/>
      <w:numFmt w:val="decimal"/>
      <w:isLgl/>
      <w:lvlText w:val="%1.%2.%3.%4."/>
      <w:lvlJc w:val="left"/>
      <w:pPr>
        <w:ind w:left="850" w:hanging="850"/>
      </w:pPr>
      <w:rPr>
        <w:rFonts w:hint="default" w:ascii="宋体" w:hAnsi="宋体" w:eastAsia="宋体" w:cs="宋体"/>
      </w:rPr>
    </w:lvl>
    <w:lvl w:ilvl="4" w:tentative="0">
      <w:start w:val="1"/>
      <w:numFmt w:val="decimal"/>
      <w:isLgl/>
      <w:lvlText w:val="%1.%2.%3.%4.%5."/>
      <w:lvlJc w:val="left"/>
      <w:pPr>
        <w:ind w:left="991" w:hanging="991"/>
      </w:pPr>
      <w:rPr>
        <w:rFonts w:hint="default" w:ascii="宋体" w:hAnsi="宋体" w:eastAsia="宋体" w:cs="宋体"/>
      </w:rPr>
    </w:lvl>
    <w:lvl w:ilvl="5" w:tentative="0">
      <w:start w:val="1"/>
      <w:numFmt w:val="decimal"/>
      <w:isLgl/>
      <w:lvlText w:val="%1.%2.%3.%4.%5.%6."/>
      <w:lvlJc w:val="left"/>
      <w:pPr>
        <w:ind w:left="1134" w:hanging="1134"/>
      </w:pPr>
      <w:rPr>
        <w:rFonts w:hint="default" w:ascii="宋体" w:hAnsi="宋体" w:eastAsia="宋体" w:cs="宋体"/>
      </w:rPr>
    </w:lvl>
    <w:lvl w:ilvl="6" w:tentative="0">
      <w:start w:val="1"/>
      <w:numFmt w:val="decimal"/>
      <w:isLgl/>
      <w:lvlText w:val="%1.%2.%3.%4.%5.%6.%7."/>
      <w:lvlJc w:val="left"/>
      <w:pPr>
        <w:ind w:left="1275" w:hanging="1275"/>
      </w:pPr>
      <w:rPr>
        <w:rFonts w:hint="default" w:ascii="宋体" w:hAnsi="宋体" w:eastAsia="宋体" w:cs="宋体"/>
      </w:rPr>
    </w:lvl>
    <w:lvl w:ilvl="7" w:tentative="0">
      <w:start w:val="1"/>
      <w:numFmt w:val="decimal"/>
      <w:isLgl/>
      <w:lvlText w:val="%1.%2.%3.%4.%5.%6.%7.%8."/>
      <w:lvlJc w:val="left"/>
      <w:pPr>
        <w:ind w:left="1418" w:hanging="1418"/>
      </w:pPr>
      <w:rPr>
        <w:rFonts w:hint="default" w:ascii="宋体" w:hAnsi="宋体" w:eastAsia="宋体" w:cs="宋体"/>
      </w:rPr>
    </w:lvl>
    <w:lvl w:ilvl="8" w:tentative="0">
      <w:start w:val="1"/>
      <w:numFmt w:val="decimal"/>
      <w:isLgl/>
      <w:lvlText w:val="%1.%2.%3.%4.%5.%6.%7.%8.%9."/>
      <w:lvlJc w:val="left"/>
      <w:pPr>
        <w:ind w:left="1558" w:hanging="1558"/>
      </w:pPr>
      <w:rPr>
        <w:rFonts w:hint="default" w:ascii="宋体" w:hAnsi="宋体" w:eastAsia="宋体" w:cs="宋体"/>
      </w:rPr>
    </w:lvl>
  </w:abstractNum>
  <w:abstractNum w:abstractNumId="2">
    <w:nsid w:val="58C8F4D2"/>
    <w:multiLevelType w:val="multilevel"/>
    <w:tmpl w:val="58C8F4D2"/>
    <w:lvl w:ilvl="0" w:tentative="0">
      <w:start w:val="1"/>
      <w:numFmt w:val="decimal"/>
      <w:pStyle w:val="3"/>
      <w:isLgl/>
      <w:lvlText w:val="%1."/>
      <w:lvlJc w:val="left"/>
      <w:pPr>
        <w:ind w:left="425" w:hanging="425"/>
      </w:pPr>
      <w:rPr>
        <w:rFonts w:hint="default" w:ascii="宋体" w:hAnsi="宋体" w:eastAsia="宋体" w:cs="宋体"/>
      </w:rPr>
    </w:lvl>
    <w:lvl w:ilvl="1" w:tentative="0">
      <w:start w:val="1"/>
      <w:numFmt w:val="decimal"/>
      <w:lvlRestart w:val="0"/>
      <w:isLgl/>
      <w:lvlText w:val="%1.%2."/>
      <w:lvlJc w:val="left"/>
      <w:pPr>
        <w:ind w:left="567" w:hanging="567"/>
      </w:pPr>
      <w:rPr>
        <w:rFonts w:hint="default" w:ascii="宋体" w:hAnsi="宋体" w:eastAsia="宋体" w:cs="宋体"/>
      </w:rPr>
    </w:lvl>
    <w:lvl w:ilvl="2" w:tentative="0">
      <w:start w:val="1"/>
      <w:numFmt w:val="decimal"/>
      <w:isLgl/>
      <w:lvlText w:val="%1.%2.%3."/>
      <w:lvlJc w:val="left"/>
      <w:pPr>
        <w:ind w:left="709" w:hanging="709"/>
      </w:pPr>
      <w:rPr>
        <w:rFonts w:hint="default" w:ascii="宋体" w:hAnsi="宋体" w:eastAsia="宋体" w:cs="宋体"/>
      </w:rPr>
    </w:lvl>
    <w:lvl w:ilvl="3" w:tentative="0">
      <w:start w:val="1"/>
      <w:numFmt w:val="decimal"/>
      <w:isLgl/>
      <w:lvlText w:val="%1.%2.%3.%4."/>
      <w:lvlJc w:val="left"/>
      <w:pPr>
        <w:ind w:left="850" w:hanging="850"/>
      </w:pPr>
      <w:rPr>
        <w:rFonts w:hint="default" w:ascii="宋体" w:hAnsi="宋体" w:eastAsia="宋体" w:cs="宋体"/>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36EF0"/>
    <w:rsid w:val="0008106B"/>
    <w:rsid w:val="000C7FB4"/>
    <w:rsid w:val="000F2AF6"/>
    <w:rsid w:val="00132098"/>
    <w:rsid w:val="0016020C"/>
    <w:rsid w:val="00193969"/>
    <w:rsid w:val="001C3EA0"/>
    <w:rsid w:val="001F45FE"/>
    <w:rsid w:val="002074AA"/>
    <w:rsid w:val="00207CE9"/>
    <w:rsid w:val="00223712"/>
    <w:rsid w:val="00223C24"/>
    <w:rsid w:val="002345A8"/>
    <w:rsid w:val="00251E1E"/>
    <w:rsid w:val="00275B02"/>
    <w:rsid w:val="0028641F"/>
    <w:rsid w:val="003317B8"/>
    <w:rsid w:val="00340730"/>
    <w:rsid w:val="003651C8"/>
    <w:rsid w:val="0039559C"/>
    <w:rsid w:val="003A531C"/>
    <w:rsid w:val="003F675B"/>
    <w:rsid w:val="004838F9"/>
    <w:rsid w:val="004B69F1"/>
    <w:rsid w:val="004D4501"/>
    <w:rsid w:val="005147AD"/>
    <w:rsid w:val="00537C8C"/>
    <w:rsid w:val="005418BC"/>
    <w:rsid w:val="00543647"/>
    <w:rsid w:val="005472FA"/>
    <w:rsid w:val="0057067A"/>
    <w:rsid w:val="00591468"/>
    <w:rsid w:val="005F617A"/>
    <w:rsid w:val="006130DD"/>
    <w:rsid w:val="00645CE3"/>
    <w:rsid w:val="00670B39"/>
    <w:rsid w:val="00790C3D"/>
    <w:rsid w:val="00801E49"/>
    <w:rsid w:val="00834514"/>
    <w:rsid w:val="00896916"/>
    <w:rsid w:val="00902FE1"/>
    <w:rsid w:val="00915025"/>
    <w:rsid w:val="009307F7"/>
    <w:rsid w:val="00991D1C"/>
    <w:rsid w:val="00996C69"/>
    <w:rsid w:val="009D2395"/>
    <w:rsid w:val="009E360B"/>
    <w:rsid w:val="00A70BA2"/>
    <w:rsid w:val="00AA5091"/>
    <w:rsid w:val="00AE09D6"/>
    <w:rsid w:val="00AE7407"/>
    <w:rsid w:val="00AF4A1B"/>
    <w:rsid w:val="00BD25D1"/>
    <w:rsid w:val="00BD4E14"/>
    <w:rsid w:val="00BF0755"/>
    <w:rsid w:val="00C23ED7"/>
    <w:rsid w:val="00C27084"/>
    <w:rsid w:val="00C35ADE"/>
    <w:rsid w:val="00C442DF"/>
    <w:rsid w:val="00C97025"/>
    <w:rsid w:val="00D22001"/>
    <w:rsid w:val="00D31332"/>
    <w:rsid w:val="00D35446"/>
    <w:rsid w:val="00DA2B7C"/>
    <w:rsid w:val="00DC7E10"/>
    <w:rsid w:val="00E02AE4"/>
    <w:rsid w:val="00E266BA"/>
    <w:rsid w:val="00E46B87"/>
    <w:rsid w:val="00E626AB"/>
    <w:rsid w:val="00E82A4F"/>
    <w:rsid w:val="00E834B5"/>
    <w:rsid w:val="00E95431"/>
    <w:rsid w:val="00EB510D"/>
    <w:rsid w:val="00EC2915"/>
    <w:rsid w:val="00ED7ED6"/>
    <w:rsid w:val="00EE3105"/>
    <w:rsid w:val="00F12412"/>
    <w:rsid w:val="00F45B88"/>
    <w:rsid w:val="00F70121"/>
    <w:rsid w:val="00F7647C"/>
    <w:rsid w:val="00FA3FB2"/>
    <w:rsid w:val="00FB56E6"/>
    <w:rsid w:val="00FC16F7"/>
    <w:rsid w:val="00FF2A91"/>
    <w:rsid w:val="025970CB"/>
    <w:rsid w:val="027730C5"/>
    <w:rsid w:val="02B0503D"/>
    <w:rsid w:val="04876861"/>
    <w:rsid w:val="04D631F9"/>
    <w:rsid w:val="04DB4DAD"/>
    <w:rsid w:val="05D36833"/>
    <w:rsid w:val="09D566E7"/>
    <w:rsid w:val="0C7C4F41"/>
    <w:rsid w:val="0ED31029"/>
    <w:rsid w:val="0F912D29"/>
    <w:rsid w:val="110C2FB5"/>
    <w:rsid w:val="117678AA"/>
    <w:rsid w:val="127D7E87"/>
    <w:rsid w:val="12BF392B"/>
    <w:rsid w:val="13266FB6"/>
    <w:rsid w:val="13C639F9"/>
    <w:rsid w:val="14B84DBA"/>
    <w:rsid w:val="1986143A"/>
    <w:rsid w:val="1A5F15C2"/>
    <w:rsid w:val="1BC047BD"/>
    <w:rsid w:val="1BC9004E"/>
    <w:rsid w:val="1C064C44"/>
    <w:rsid w:val="1D216B64"/>
    <w:rsid w:val="1F236189"/>
    <w:rsid w:val="20FE6BA5"/>
    <w:rsid w:val="22F35DFB"/>
    <w:rsid w:val="25C17D41"/>
    <w:rsid w:val="26021B2B"/>
    <w:rsid w:val="2752798C"/>
    <w:rsid w:val="2890326D"/>
    <w:rsid w:val="2BB117BE"/>
    <w:rsid w:val="2C2D46F5"/>
    <w:rsid w:val="2D9E3AB5"/>
    <w:rsid w:val="2F094E19"/>
    <w:rsid w:val="2F586FBC"/>
    <w:rsid w:val="2F853C07"/>
    <w:rsid w:val="30F37019"/>
    <w:rsid w:val="332F4289"/>
    <w:rsid w:val="339B4519"/>
    <w:rsid w:val="340C4FDC"/>
    <w:rsid w:val="34473FD3"/>
    <w:rsid w:val="347305AA"/>
    <w:rsid w:val="369B0BCC"/>
    <w:rsid w:val="3739088C"/>
    <w:rsid w:val="37E679B6"/>
    <w:rsid w:val="37F23E57"/>
    <w:rsid w:val="39F419FC"/>
    <w:rsid w:val="3A4E4225"/>
    <w:rsid w:val="3ACF3DD6"/>
    <w:rsid w:val="3AFC15C3"/>
    <w:rsid w:val="3F09299B"/>
    <w:rsid w:val="3F420C51"/>
    <w:rsid w:val="3F4E3033"/>
    <w:rsid w:val="3F5B4F2D"/>
    <w:rsid w:val="4105515C"/>
    <w:rsid w:val="423457AA"/>
    <w:rsid w:val="42DF15C4"/>
    <w:rsid w:val="43F60518"/>
    <w:rsid w:val="440D454C"/>
    <w:rsid w:val="45742880"/>
    <w:rsid w:val="46E57A65"/>
    <w:rsid w:val="47054E22"/>
    <w:rsid w:val="48056F7C"/>
    <w:rsid w:val="495030C0"/>
    <w:rsid w:val="4A3E51A2"/>
    <w:rsid w:val="4B466C62"/>
    <w:rsid w:val="4D7C5756"/>
    <w:rsid w:val="4EAC3639"/>
    <w:rsid w:val="4F7954C4"/>
    <w:rsid w:val="51D82708"/>
    <w:rsid w:val="54420812"/>
    <w:rsid w:val="56B90CEF"/>
    <w:rsid w:val="58C61892"/>
    <w:rsid w:val="59C32F4F"/>
    <w:rsid w:val="5A5F46C3"/>
    <w:rsid w:val="5A651133"/>
    <w:rsid w:val="5B9E3935"/>
    <w:rsid w:val="5D711A8F"/>
    <w:rsid w:val="5DC0755C"/>
    <w:rsid w:val="5E50525A"/>
    <w:rsid w:val="5F250FEC"/>
    <w:rsid w:val="5F3A28A9"/>
    <w:rsid w:val="5F4F25AD"/>
    <w:rsid w:val="5FF067F2"/>
    <w:rsid w:val="609671BC"/>
    <w:rsid w:val="634758A5"/>
    <w:rsid w:val="63A73AA6"/>
    <w:rsid w:val="641735C8"/>
    <w:rsid w:val="64C02C86"/>
    <w:rsid w:val="66810C73"/>
    <w:rsid w:val="6A630C07"/>
    <w:rsid w:val="6AF27D0B"/>
    <w:rsid w:val="6B5349C4"/>
    <w:rsid w:val="6BBB5F84"/>
    <w:rsid w:val="6C1A7FA6"/>
    <w:rsid w:val="6D4B2BBE"/>
    <w:rsid w:val="6D621716"/>
    <w:rsid w:val="6E073B29"/>
    <w:rsid w:val="6EF44A6F"/>
    <w:rsid w:val="6F96026A"/>
    <w:rsid w:val="701439B4"/>
    <w:rsid w:val="70D82698"/>
    <w:rsid w:val="72CE5B0A"/>
    <w:rsid w:val="742E40C6"/>
    <w:rsid w:val="767103C8"/>
    <w:rsid w:val="79601719"/>
    <w:rsid w:val="79AA0E9F"/>
    <w:rsid w:val="7A197CCC"/>
    <w:rsid w:val="7AD658E6"/>
    <w:rsid w:val="7B5F1EB5"/>
    <w:rsid w:val="7CD2109B"/>
    <w:rsid w:val="7F0F22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2"/>
      <w:lang w:val="en-US" w:eastAsia="zh-CN" w:bidi="ar-SA"/>
    </w:rPr>
  </w:style>
  <w:style w:type="paragraph" w:styleId="2">
    <w:name w:val="heading 1"/>
    <w:basedOn w:val="1"/>
    <w:next w:val="1"/>
    <w:qFormat/>
    <w:uiPriority w:val="0"/>
    <w:pPr>
      <w:keepNext/>
      <w:keepLines/>
      <w:numPr>
        <w:ilvl w:val="0"/>
        <w:numId w:val="1"/>
      </w:numPr>
      <w:spacing w:line="360" w:lineRule="auto"/>
      <w:ind w:left="0" w:firstLine="0"/>
      <w:outlineLvl w:val="0"/>
    </w:pPr>
    <w:rPr>
      <w:b/>
      <w:kern w:val="44"/>
      <w:sz w:val="32"/>
    </w:rPr>
  </w:style>
  <w:style w:type="paragraph" w:styleId="3">
    <w:name w:val="heading 2"/>
    <w:basedOn w:val="1"/>
    <w:next w:val="1"/>
    <w:unhideWhenUsed/>
    <w:qFormat/>
    <w:uiPriority w:val="0"/>
    <w:pPr>
      <w:keepNext/>
      <w:keepLines/>
      <w:numPr>
        <w:ilvl w:val="0"/>
        <w:numId w:val="2"/>
      </w:numPr>
      <w:spacing w:before="260" w:after="26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9"/>
    <w:basedOn w:val="1"/>
    <w:next w:val="1"/>
    <w:unhideWhenUsed/>
    <w:qFormat/>
    <w:uiPriority w:val="0"/>
    <w:pPr>
      <w:keepNext/>
      <w:keepLines/>
      <w:spacing w:before="240" w:after="64" w:line="317" w:lineRule="auto"/>
      <w:outlineLvl w:val="8"/>
    </w:pPr>
    <w:rPr>
      <w:rFonts w:ascii="Arial" w:hAnsi="Arial" w:eastAsia="黑体"/>
      <w:sz w:val="21"/>
    </w:rPr>
  </w:style>
  <w:style w:type="character" w:default="1" w:styleId="14">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rFonts w:ascii="Arial" w:hAnsi="Arial"/>
      <w:kern w:val="0"/>
      <w:szCs w:val="20"/>
    </w:rPr>
  </w:style>
  <w:style w:type="paragraph" w:styleId="7">
    <w:name w:val="Body Text"/>
    <w:basedOn w:val="1"/>
    <w:qFormat/>
    <w:uiPriority w:val="0"/>
    <w:rPr>
      <w:rFonts w:ascii="宋体" w:hAnsi="宋体"/>
      <w:szCs w:val="28"/>
    </w:rPr>
  </w:style>
  <w:style w:type="paragraph" w:styleId="8">
    <w:name w:val="toc 3"/>
    <w:basedOn w:val="1"/>
    <w:next w:val="1"/>
    <w:qFormat/>
    <w:uiPriority w:val="0"/>
    <w:pPr>
      <w:ind w:left="840" w:leftChars="400"/>
    </w:pPr>
  </w:style>
  <w:style w:type="paragraph" w:styleId="9">
    <w:name w:val="footer"/>
    <w:basedOn w:val="1"/>
    <w:link w:val="22"/>
    <w:qFormat/>
    <w:uiPriority w:val="99"/>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style>
  <w:style w:type="paragraph" w:styleId="12">
    <w:name w:val="toc 2"/>
    <w:basedOn w:val="1"/>
    <w:next w:val="1"/>
    <w:qFormat/>
    <w:uiPriority w:val="0"/>
    <w:pPr>
      <w:ind w:left="420" w:leftChars="200"/>
    </w:pPr>
  </w:style>
  <w:style w:type="character" w:styleId="15">
    <w:name w:val="Emphasis"/>
    <w:basedOn w:val="14"/>
    <w:qFormat/>
    <w:uiPriority w:val="0"/>
    <w:rPr>
      <w:i/>
    </w:rPr>
  </w:style>
  <w:style w:type="character" w:styleId="16">
    <w:name w:val="Hyperlink"/>
    <w:basedOn w:val="14"/>
    <w:unhideWhenUsed/>
    <w:qFormat/>
    <w:uiPriority w:val="99"/>
    <w:rPr>
      <w:color w:val="0563C1" w:themeColor="hyperlink"/>
      <w:u w:val="single"/>
    </w:rPr>
  </w:style>
  <w:style w:type="paragraph" w:customStyle="1" w:styleId="17">
    <w:name w:val="样式1"/>
    <w:basedOn w:val="2"/>
    <w:qFormat/>
    <w:uiPriority w:val="0"/>
    <w:pPr>
      <w:numPr>
        <w:ilvl w:val="0"/>
        <w:numId w:val="3"/>
      </w:numPr>
    </w:pPr>
  </w:style>
  <w:style w:type="paragraph" w:customStyle="1" w:styleId="18">
    <w:name w:val="默认段落字体 Para"/>
    <w:basedOn w:val="1"/>
    <w:qFormat/>
    <w:uiPriority w:val="0"/>
    <w:rPr>
      <w:rFonts w:ascii="Tahoma" w:hAnsi="Tahoma"/>
      <w:szCs w:val="20"/>
    </w:rPr>
  </w:style>
  <w:style w:type="paragraph" w:customStyle="1" w:styleId="19">
    <w:name w:val="列出段落1"/>
    <w:basedOn w:val="1"/>
    <w:qFormat/>
    <w:uiPriority w:val="34"/>
    <w:pPr>
      <w:ind w:firstLine="420" w:firstLineChars="200"/>
    </w:pPr>
    <w:rPr>
      <w:rFonts w:ascii="Calibri" w:hAnsi="Calibri"/>
      <w:sz w:val="21"/>
    </w:rPr>
  </w:style>
  <w:style w:type="paragraph" w:customStyle="1" w:styleId="20">
    <w:name w:val="列出段落2"/>
    <w:basedOn w:val="1"/>
    <w:qFormat/>
    <w:uiPriority w:val="99"/>
    <w:pPr>
      <w:ind w:firstLine="420" w:firstLineChars="200"/>
    </w:pPr>
  </w:style>
  <w:style w:type="paragraph" w:customStyle="1" w:styleId="21">
    <w:name w:val="List Paragraph"/>
    <w:basedOn w:val="1"/>
    <w:unhideWhenUsed/>
    <w:qFormat/>
    <w:uiPriority w:val="99"/>
    <w:pPr>
      <w:ind w:firstLine="420" w:firstLineChars="200"/>
    </w:pPr>
  </w:style>
  <w:style w:type="character" w:customStyle="1" w:styleId="22">
    <w:name w:val="页脚 Char"/>
    <w:basedOn w:val="14"/>
    <w:link w:val="9"/>
    <w:qFormat/>
    <w:uiPriority w:val="99"/>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C4935-04D1-4C18-B940-887FB6F8B89F}">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Pages>
  <Words>486</Words>
  <Characters>2775</Characters>
  <Lines>23</Lines>
  <Paragraphs>6</Paragraphs>
  <TotalTime>10</TotalTime>
  <ScaleCrop>false</ScaleCrop>
  <LinksUpToDate>false</LinksUpToDate>
  <CharactersWithSpaces>3255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2017-03-18T15:03:00Z</dcterms:created>
  <dc:creator>Administrator</dc:creator>
  <cp:lastModifiedBy>莫春球</cp:lastModifiedBy>
  <dcterms:modified xsi:type="dcterms:W3CDTF">2024-09-06T00:55:01Z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F31A0657030242AE890309045A09AF8F</vt:lpwstr>
  </property>
</Properties>
</file>